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rPr>
          <w:color w:val="FF0000"/>
        </w:rPr>
        <w:t xml:space="preserve">1  Finite-size corrections for the charge-changing alchemical legs</w:t>
      </w:r>
    </w:p>
    <w:p>
      <w:pPr>
        <w:pStyle w:val="Heading1"/>
      </w:pPr>
      <w:r>
        <w:rPr>
          <w:color w:val="FF0000"/>
        </w:rPr>
        <w:t xml:space="preserve">2  Sensitivity of the MM/GBSA energies to the ligand charge model</w:t>
      </w:r>
    </w:p>
    <w:p>
      <w:pPr>
        <w:pStyle w:val="Heading1"/>
      </w:pPr>
      <w:r>
        <w:rPr>
          <w:color w:val="FF0000"/>
        </w:rPr>
        <w:t xml:space="preserve">3  Sensitivity of the MM/GBSA energies to the snapshot relaxation protocol</w:t>
      </w:r>
    </w:p>
    <w:p>
      <w:pPr>
        <w:pStyle w:val="Heading1"/>
      </w:pPr>
      <w:r>
        <w:rPr>
          <w:color w:val="FF0000"/>
        </w:rPr>
        <w:t xml:space="preserve">4  Conformation of the unliganded binding pocket</w:t>
      </w:r>
    </w:p>
    <w:p>
      <w:pPr>
        <w:pStyle w:val="Heading1"/>
      </w:pPr>
      <w:r>
        <w:rPr>
          <w:color w:val="FF0000"/>
        </w:rPr>
        <w:t xml:space="preserve">5  Supplementary Figures</w:t>
      </w:r>
    </w:p>
    <w:p>
      <w:pPr>
        <w:jc w:val="center"/>
      </w:pPr>
      <w:r>
        <w:drawing>
          <wp:inline xmlns:wp="http://schemas.openxmlformats.org/drawingml/2006/wordprocessingDrawing" distT="0" distB="0" distL="0" distR="0">
            <wp:extent cx="5943600" cy="5284123"/>
            <wp:docPr id="913" name="suppfig1"/>
            <a:graphic xmlns:a="http://schemas.openxmlformats.org/drawingml/2006/main">
              <a:graphicData uri="http://schemas.openxmlformats.org/drawingml/2006/picture">
                <pic:pic xmlns:pic="http://schemas.openxmlformats.org/drawingml/2006/picture">
                  <pic:nvPicPr>
                    <pic:cNvPr id="913" name="suppfig1"/>
                    <pic:cNvPicPr/>
                  </pic:nvPicPr>
                  <pic:blipFill>
                    <a:blip xmlns:r="http://schemas.openxmlformats.org/officeDocument/2006/relationships" r:embed="rId13"/>
                    <a:stretch>
                      <a:fillRect/>
                    </a:stretch>
                  </pic:blipFill>
                  <pic:spPr>
                    <a:xfrm>
                      <a:off x="0" y="0"/>
                      <a:ext cx="5943600" cy="5284123"/>
                    </a:xfrm>
                    <a:prstGeom prst="rect">
                      <a:avLst/>
                    </a:prstGeom>
                  </pic:spPr>
                </pic:pic>
              </a:graphicData>
            </a:graphic>
          </wp:inline>
        </w:drawing>
      </w:r>
    </w:p>
    <w:p>
      <w:pPr>
        <w:pStyle w:val="Heading1"/>
      </w:pPr>
      <w:r>
        <w:rPr>
          <w:color w:val="FF0000"/>
        </w:rPr>
        <w:t xml:space="preserve">Supplementary Figure 1. Convergence of the production simulations. (A–C) Time traces of three observables, one line per genotype averaged over its three replicates, with the median across genotypes in red: DOR internal RMSD, the DOR–RT centre-of-mass distance, and Cα RMSD. (D–F) Normalised autocorrelation functions of the same observables. (G–I) Statistical inefficiency g against block length, shaded with the chi-square interval on the median. DOR RMSD is stationary within a few nanoseconds and its autocorrelation decays by about 5 ns, whereas Cα RMSD rises throughout the 100 ns and its autocorrelation persists beyond 25 ns, so the ligand pose is sampled far better than the protein-global coordinates. Block lengths are converted to frames separately for each replicate and block means are pooled across the three replicates, so the longest block shown, 50 ns, rests on six blocks. Definitions are given in Methods.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rP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