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color w:val="FF0000"/>
        </w:rPr>
        <w:t xml:space="preserve">Additions for Revision 1 (placeholders)</w:t>
      </w:r>
    </w:p>
    <w:p>
      <w:pPr>
        <w:spacing w:after="200"/>
      </w:pPr>
      <w:r>
        <w:rPr>
          <w:color w:val="FF0000"/>
        </w:rPr>
        <w:t xml:space="preserve">The sections below are referenced from the revised manuscript and are to be completed once the corresponding analyses finish. They are listed here so that every forward reference in the manuscript has a destination.</w:t>
      </w:r>
    </w:p>
    <w:p>
      <w:pPr>
        <w:spacing w:after="200"/>
      </w:pPr>
      <w:r>
        <w:rPr>
          <w:color w:val="FF0000"/>
        </w:rP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p>
      <w:pPr>
        <w:spacing w:after="200"/>
      </w:pPr>
      <w:r>
        <w:rPr>
          <w:color w:val="FF0000"/>
        </w:rP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200"/>
      </w:pPr>
      <w:r>
        <w:rPr>
          <w:color w:val="FF0000"/>
        </w:rPr>
        <w:t xml:space="preserve">Supplementary Note 2. Effect of the ligand charge model. MM/GBSA energies recomputed with AM1-BCC partial charges for a subset of genotypes, compared against the Gasteiger values reported in the main text. Addresses Reviewer 2, comment 5.</w:t>
      </w:r>
    </w:p>
    <w:p>
      <w:pPr>
        <w:spacing w:after="200"/>
      </w:pPr>
      <w:r>
        <w:rPr>
          <w:color w:val="FF0000"/>
        </w:rPr>
        <w:t xml:space="preserve">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spacing w:after="200"/>
      </w:pPr>
      <w:r>
        <w:rPr>
          <w:color w:val="FF0000"/>
        </w:rPr>
        <w:t xml:space="preserve">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spacing w:after="200"/>
      </w:pPr>
      <w:r>
        <w:rPr>
          <w:color w:val="FF0000"/>
        </w:rPr>
        <w:t xml:space="preserve">Supplementary Figure 5. Apo and holo NNIBP volume distributions. Per-frame pocket volume for the bound state over full production, and for the unliganded state over a matched 10 ns window, since the wild-type apo trajectories are 10 ns and serve as the reference. The unliganded pocket is substantially collapsed relative to the bound state, and the difference between the two medians — the conformational change DOR must pay for — is larger than wild type (129 Å³) for all three genotypes whose ΔΔGbind misses the phenotype: G190E (253 Å³), V106I+F227C and A98G+F227C (172 Å³ each) and K103N+M230L (163 Å³). In two of three G190E apo replicates the measured volume expands beyond what the measurement sphere can contain after roughly 20 ns; those frames are excluded from interpretation.</w:t>
      </w: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