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39AA3E7" w14:textId="45AFF22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586D29F5" w14:textId="1F3B3A40"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15C4AC9D" w14:textId="52F04A2F"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 xml:space="preserve">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6032F443" w14:textId="77777777" w:rsidR="00DE7C44" w:rsidRDefault="00DE7C44">
      <w:pPr>
        <w:rPr>
          <w:rFonts w:ascii="Times New Roman" w:hAnsi="Times New Roman" w:cs="Times New Roman"/>
          <w:sz w:val="20"/>
          <w:szCs w:val="20"/>
        </w:rPr>
      </w:pPr>
    </w:p>
    <w:p w14:paraId="0DAF385D" w14:textId="77777777" w:rsidR="00DE7C44" w:rsidRDefault="00DE7C44">
      <w:pPr>
        <w:rPr>
          <w:rFonts w:ascii="Times New Roman" w:hAnsi="Times New Roman" w:cs="Times New Roman"/>
          <w:sz w:val="20"/>
          <w:szCs w:val="20"/>
        </w:rPr>
      </w:pPr>
    </w:p>
    <w:p w14:paraId="4D36F01D" w14:textId="77777777" w:rsidR="00DE7C44" w:rsidRDefault="00DE7C44">
      <w:pPr>
        <w:rPr>
          <w:rFonts w:ascii="Times New Roman" w:hAnsi="Times New Roman" w:cs="Times New Roman"/>
          <w:sz w:val="20"/>
          <w:szCs w:val="20"/>
        </w:rPr>
      </w:pPr>
    </w:p>
    <w:p w14:paraId="3B0DA616" w14:textId="77777777" w:rsidR="00DE7C44" w:rsidRDefault="00DE7C44">
      <w:pPr>
        <w:rPr>
          <w:rFonts w:ascii="Times New Roman" w:hAnsi="Times New Roman" w:cs="Times New Roman"/>
          <w:sz w:val="20"/>
          <w:szCs w:val="20"/>
        </w:rPr>
      </w:pPr>
    </w:p>
    <w:p w14:paraId="1E272293" w14:textId="77777777" w:rsidR="00DE7C44" w:rsidRDefault="00DE7C44">
      <w:pPr>
        <w:rPr>
          <w:rFonts w:ascii="Times New Roman" w:hAnsi="Times New Roman" w:cs="Times New Roman"/>
          <w:sz w:val="20"/>
          <w:szCs w:val="20"/>
        </w:rPr>
      </w:pPr>
    </w:p>
    <w:p w14:paraId="0F2FF6E9" w14:textId="77777777" w:rsidR="00DE7C44" w:rsidRDefault="00DE7C44">
      <w:pPr>
        <w:rPr>
          <w:rFonts w:ascii="Times New Roman" w:hAnsi="Times New Roman" w:cs="Times New Roman"/>
          <w:sz w:val="20"/>
          <w:szCs w:val="20"/>
        </w:rPr>
      </w:pPr>
    </w:p>
    <w:p w14:paraId="6DCCEF46" w14:textId="77777777" w:rsidR="00DE7C44" w:rsidRDefault="00DE7C44">
      <w:pPr>
        <w:rPr>
          <w:rFonts w:ascii="Times New Roman" w:hAnsi="Times New Roman" w:cs="Times New Roman"/>
          <w:sz w:val="20"/>
          <w:szCs w:val="20"/>
        </w:rPr>
      </w:pPr>
    </w:p>
    <w:p w14:paraId="40A1FF1A" w14:textId="77777777" w:rsidR="00DE7C44" w:rsidRDefault="00DE7C44">
      <w:pPr>
        <w:rPr>
          <w:rFonts w:ascii="Times New Roman" w:hAnsi="Times New Roman" w:cs="Times New Roman"/>
          <w:sz w:val="20"/>
          <w:szCs w:val="20"/>
        </w:rPr>
      </w:pPr>
    </w:p>
    <w:p w14:paraId="052F4561" w14:textId="77777777" w:rsidR="00DE7C44" w:rsidRDefault="00DE7C44">
      <w:pPr>
        <w:rPr>
          <w:rFonts w:ascii="Times New Roman" w:hAnsi="Times New Roman" w:cs="Times New Roman"/>
          <w:sz w:val="20"/>
          <w:szCs w:val="20"/>
        </w:rPr>
      </w:pPr>
    </w:p>
    <w:p w14:paraId="6FCCF0A0" w14:textId="77777777" w:rsidR="00DE7C44" w:rsidRDefault="00DE7C44">
      <w:pPr>
        <w:rPr>
          <w:rFonts w:ascii="Times New Roman" w:hAnsi="Times New Roman" w:cs="Times New Roman"/>
          <w:sz w:val="20"/>
          <w:szCs w:val="20"/>
        </w:rPr>
      </w:pPr>
    </w:p>
    <w:p w14:paraId="1A9A0BC5" w14:textId="77777777" w:rsidR="00DE7C44" w:rsidRDefault="00DE7C44">
      <w:pPr>
        <w:rPr>
          <w:rFonts w:ascii="Times New Roman" w:hAnsi="Times New Roman" w:cs="Times New Roman"/>
          <w:sz w:val="20"/>
          <w:szCs w:val="20"/>
        </w:rPr>
      </w:pPr>
    </w:p>
    <w:p w14:paraId="13E38205" w14:textId="77777777" w:rsidR="00DE7C44" w:rsidRDefault="00DE7C44">
      <w:pPr>
        <w:rPr>
          <w:rFonts w:ascii="Times New Roman" w:hAnsi="Times New Roman" w:cs="Times New Roman"/>
          <w:sz w:val="20"/>
          <w:szCs w:val="20"/>
        </w:rPr>
      </w:pPr>
    </w:p>
    <w:p w14:paraId="010C8365" w14:textId="77777777" w:rsidR="00DE7C44" w:rsidRDefault="00DE7C44">
      <w:pPr>
        <w:rPr>
          <w:rFonts w:ascii="Times New Roman" w:hAnsi="Times New Roman" w:cs="Times New Roman"/>
          <w:sz w:val="20"/>
          <w:szCs w:val="20"/>
        </w:rPr>
      </w:pPr>
    </w:p>
    <w:p w14:paraId="63CE2D29" w14:textId="77777777" w:rsidR="00DE7C44" w:rsidRDefault="00DE7C44">
      <w:pPr>
        <w:rPr>
          <w:rFonts w:ascii="Times New Roman" w:hAnsi="Times New Roman" w:cs="Times New Roman"/>
          <w:sz w:val="20"/>
          <w:szCs w:val="20"/>
        </w:rPr>
      </w:pPr>
    </w:p>
    <w:p w14:paraId="6DFF6960" w14:textId="77777777" w:rsidR="00DE7C44" w:rsidRDefault="00DE7C44">
      <w:pPr>
        <w:rPr>
          <w:rFonts w:ascii="Times New Roman" w:hAnsi="Times New Roman" w:cs="Times New Roman"/>
          <w:sz w:val="20"/>
          <w:szCs w:val="20"/>
        </w:rPr>
      </w:pPr>
    </w:p>
    <w:p w14:paraId="46A41CF7" w14:textId="77777777" w:rsidR="00DE7C44" w:rsidRDefault="00DE7C44">
      <w:pPr>
        <w:rPr>
          <w:rFonts w:ascii="Times New Roman" w:hAnsi="Times New Roman" w:cs="Times New Roman"/>
          <w:sz w:val="20"/>
          <w:szCs w:val="20"/>
        </w:rPr>
      </w:pPr>
    </w:p>
    <w:p w14:paraId="66C7B562" w14:textId="77777777" w:rsidR="00DE7C44" w:rsidRDefault="00DE7C44">
      <w:pPr>
        <w:rPr>
          <w:rFonts w:ascii="Times New Roman" w:hAnsi="Times New Roman" w:cs="Times New Roman"/>
          <w:sz w:val="20"/>
          <w:szCs w:val="20"/>
        </w:rPr>
      </w:pPr>
    </w:p>
    <w:p w14:paraId="39331F1A" w14:textId="77777777" w:rsidR="00DE7C44" w:rsidRDefault="00DE7C44">
      <w:pPr>
        <w:rPr>
          <w:rFonts w:ascii="Times New Roman" w:hAnsi="Times New Roman" w:cs="Times New Roman"/>
          <w:sz w:val="20"/>
          <w:szCs w:val="20"/>
        </w:rPr>
      </w:pPr>
    </w:p>
    <w:p w14:paraId="3470BD7C" w14:textId="77777777" w:rsidR="00DE7C44" w:rsidRDefault="00DE7C44">
      <w:pPr>
        <w:rPr>
          <w:rFonts w:ascii="Times New Roman" w:hAnsi="Times New Roman" w:cs="Times New Roman"/>
          <w:sz w:val="20"/>
          <w:szCs w:val="20"/>
        </w:rPr>
      </w:pPr>
    </w:p>
    <w:p w14:paraId="0B572D00" w14:textId="77777777" w:rsidR="00DE7C44" w:rsidRDefault="00DE7C44">
      <w:pPr>
        <w:rPr>
          <w:rFonts w:ascii="Times New Roman" w:hAnsi="Times New Roman" w:cs="Times New Roman"/>
          <w:sz w:val="20"/>
          <w:szCs w:val="20"/>
        </w:rPr>
      </w:pPr>
    </w:p>
    <w:p w14:paraId="2B241186" w14:textId="77777777" w:rsidR="00DE7C44" w:rsidRDefault="00DE7C44">
      <w:pPr>
        <w:rPr>
          <w:rFonts w:ascii="Times New Roman" w:hAnsi="Times New Roman" w:cs="Times New Roman"/>
          <w:sz w:val="20"/>
          <w:szCs w:val="20"/>
        </w:rPr>
      </w:pPr>
    </w:p>
    <w:p w14:paraId="0689232B" w14:textId="77777777" w:rsidR="00DE7C44" w:rsidRDefault="00DE7C44">
      <w:pPr>
        <w:rPr>
          <w:rFonts w:ascii="Times New Roman" w:hAnsi="Times New Roman" w:cs="Times New Roman"/>
          <w:sz w:val="20"/>
          <w:szCs w:val="20"/>
        </w:rPr>
      </w:pPr>
    </w:p>
    <w:p w14:paraId="4490CD91" w14:textId="77777777" w:rsidR="00DE7C44" w:rsidRDefault="00DE7C44">
      <w:pPr>
        <w:rPr>
          <w:rFonts w:ascii="Times New Roman" w:hAnsi="Times New Roman" w:cs="Times New Roman"/>
          <w:sz w:val="20"/>
          <w:szCs w:val="20"/>
        </w:rPr>
      </w:pPr>
    </w:p>
    <w:p w14:paraId="486D55BB" w14:textId="77777777" w:rsidR="00DE7C44" w:rsidRDefault="00DE7C44">
      <w:pPr>
        <w:rPr>
          <w:rFonts w:ascii="Times New Roman" w:hAnsi="Times New Roman" w:cs="Times New Roman"/>
          <w:sz w:val="20"/>
          <w:szCs w:val="20"/>
        </w:rPr>
      </w:pPr>
    </w:p>
    <w:p w14:paraId="08383152" w14:textId="77777777" w:rsidR="00DE7C44" w:rsidRDefault="00DE7C44">
      <w:pPr>
        <w:rPr>
          <w:rFonts w:ascii="Times New Roman" w:hAnsi="Times New Roman" w:cs="Times New Roman"/>
          <w:sz w:val="20"/>
          <w:szCs w:val="20"/>
        </w:rPr>
      </w:pPr>
    </w:p>
    <w:p w14:paraId="25B71EE4" w14:textId="77777777" w:rsidR="00DE7C44" w:rsidRDefault="00DE7C44">
      <w:pPr>
        <w:rPr>
          <w:rFonts w:ascii="Times New Roman" w:hAnsi="Times New Roman" w:cs="Times New Roman"/>
          <w:sz w:val="20"/>
          <w:szCs w:val="20"/>
        </w:rPr>
      </w:pPr>
    </w:p>
    <w:p w14:paraId="2010F53C" w14:textId="77777777" w:rsidR="00DE7C44" w:rsidRDefault="00DE7C44">
      <w:pPr>
        <w:rPr>
          <w:rFonts w:ascii="Times New Roman" w:hAnsi="Times New Roman" w:cs="Times New Roman"/>
          <w:sz w:val="20"/>
          <w:szCs w:val="20"/>
        </w:rPr>
      </w:pPr>
    </w:p>
    <w:p w14:paraId="2969E258" w14:textId="77777777" w:rsidR="00DE7C44" w:rsidRDefault="00DE7C44">
      <w:pPr>
        <w:rPr>
          <w:rFonts w:ascii="Times New Roman" w:hAnsi="Times New Roman" w:cs="Times New Roman"/>
          <w:sz w:val="20"/>
          <w:szCs w:val="20"/>
        </w:rPr>
      </w:pPr>
    </w:p>
    <w:p w14:paraId="19AC8AA8" w14:textId="77777777" w:rsidR="00DE7C44" w:rsidRDefault="00DE7C44">
      <w:pPr>
        <w:rPr>
          <w:rFonts w:ascii="Times New Roman" w:hAnsi="Times New Roman" w:cs="Times New Roman"/>
          <w:sz w:val="20"/>
          <w:szCs w:val="20"/>
        </w:rPr>
      </w:pPr>
    </w:p>
    <w:p w14:paraId="1A3A6758" w14:textId="77777777" w:rsidR="00DE7C44" w:rsidRDefault="00DE7C44">
      <w:pPr>
        <w:rPr>
          <w:rFonts w:ascii="Times New Roman" w:hAnsi="Times New Roman" w:cs="Times New Roman"/>
          <w:sz w:val="20"/>
          <w:szCs w:val="20"/>
        </w:rPr>
      </w:pPr>
    </w:p>
    <w:p w14:paraId="5E95499D" w14:textId="77777777" w:rsidR="00DE7C44" w:rsidRDefault="00DE7C44">
      <w:pPr>
        <w:rPr>
          <w:rFonts w:ascii="Times New Roman" w:hAnsi="Times New Roman" w:cs="Times New Roman"/>
          <w:sz w:val="20"/>
          <w:szCs w:val="20"/>
        </w:rPr>
      </w:pPr>
    </w:p>
    <w:p w14:paraId="5241A227" w14:textId="48EF52F4"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78A1126C">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 xml:space="preserve">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DE5C884" w14:textId="77777777" w:rsidR="00357877" w:rsidRDefault="00357877">
      <w:pPr>
        <w:rPr>
          <w:rFonts w:ascii="Times New Roman" w:hAnsi="Times New Roman" w:cs="Times New Roman"/>
          <w:sz w:val="20"/>
          <w:szCs w:val="20"/>
        </w:rPr>
      </w:pPr>
    </w:p>
    <w:p w14:paraId="188230D3" w14:textId="77777777" w:rsidR="002C069F" w:rsidRDefault="002C069F">
      <w:pPr>
        <w:rPr>
          <w:rFonts w:ascii="Times New Roman" w:hAnsi="Times New Roman" w:cs="Times New Roman"/>
          <w:sz w:val="20"/>
          <w:szCs w:val="20"/>
        </w:rPr>
      </w:pPr>
    </w:p>
    <w:p>
      <w:pPr>
        <w:spacing w:after="200"/>
      </w:pPr>
      <w:r>
        <w:rPr>
          <w:b/>
          <w:color w:val="FF0000"/>
        </w:rPr>
        <w:t xml:space="preserve">Supplementary Notes and Tables added in revision</w:t>
      </w:r>
    </w:p>
    <w:p>
      <w:pPr>
        <w:spacing w:after="200"/>
      </w:pPr>
      <w:r>
        <w:rPr>
          <w:color w:val="FF0000"/>
        </w:rPr>
        <w:t xml:space="preserve">The analyses below were added in response to review. Each is referenced from the revised manuscript at the point where the corresponding choice is made.</w:t>
      </w:r>
    </w:p>
    <w:p>
      <w:pPr>
        <w:spacing w:after="200"/>
      </w:pPr>
      <w:r>
        <w:rPr>
          <w:color w:val="FF0000"/>
        </w:rPr>
        <w:t xml:space="preserve">Supplementary Table 5. Sensitivity of MM/GBSA energies to the snapshot relaxation protocol. ΔΔETotal and each component for a subset of genotypes, computed under single-point evaluation (no relaxation), hydrogen-only relaxation with heavy atoms restrained, and the unrestrained full minimization used in the main text. Addresses Reviewer 3, comment 3(b).</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0"/>
        <w:gridCol w:w="1300"/>
        <w:gridCol w:w="2200"/>
        <w:gridCol w:w="2000"/>
        <w:gridCol w:w="1800"/>
      </w:tblGrid>
      <w:tr>
        <w:trPr>
          <w:tblHeader/>
        </w:trPr>
        <w:tc>
          <w:tcPr>
            <w:tcW w:w="1500" w:type="dxa"/>
            <w:vAlign w:val="center"/>
          </w:tcPr>
          <w:p>
            <w:pPr>
              <w:spacing w:after="0" w:line="240" w:lineRule="auto"/>
              <w:jc w:val="center"/>
            </w:pPr>
            <w:r>
              <w:rPr>
                <w:b/>
                <w:sz w:val="14"/>
                <w:szCs w:val="14"/>
              </w:rPr>
              <w:t xml:space="preserve">Genotype</w:t>
            </w:r>
          </w:p>
        </w:tc>
        <w:tc>
          <w:tcPr>
            <w:tcW w:w="1300" w:type="dxa"/>
            <w:vAlign w:val="center"/>
          </w:tcPr>
          <w:p>
            <w:pPr>
              <w:spacing w:after="0" w:line="240" w:lineRule="auto"/>
              <w:jc w:val="center"/>
            </w:pPr>
            <w:r>
              <w:rPr>
                <w:b/>
                <w:sz w:val="14"/>
                <w:szCs w:val="14"/>
              </w:rPr>
              <w:t xml:space="preserve">Component</w:t>
            </w:r>
          </w:p>
        </w:tc>
        <w:tc>
          <w:tcPr>
            <w:tcW w:w="2200" w:type="dxa"/>
            <w:vAlign w:val="center"/>
          </w:tcPr>
          <w:p>
            <w:pPr>
              <w:spacing w:after="0" w:line="240" w:lineRule="auto"/>
              <w:jc w:val="center"/>
            </w:pPr>
            <w:r>
              <w:rPr>
                <w:b/>
                <w:sz w:val="14"/>
                <w:szCs w:val="14"/>
              </w:rPr>
              <w:t xml:space="preserve">Single-point</w:t>
            </w:r>
          </w:p>
        </w:tc>
        <w:tc>
          <w:tcPr>
            <w:tcW w:w="2000" w:type="dxa"/>
            <w:vAlign w:val="center"/>
          </w:tcPr>
          <w:p>
            <w:pPr>
              <w:spacing w:after="0" w:line="240" w:lineRule="auto"/>
              <w:jc w:val="center"/>
            </w:pPr>
            <w:r>
              <w:rPr>
                <w:b/>
                <w:sz w:val="14"/>
                <w:szCs w:val="14"/>
              </w:rPr>
              <w:t xml:space="preserve">H-only relaxation</w:t>
            </w:r>
          </w:p>
        </w:tc>
        <w:tc>
          <w:tcPr>
            <w:tcW w:w="1800" w:type="dxa"/>
            <w:vAlign w:val="center"/>
          </w:tcPr>
          <w:p>
            <w:pPr>
              <w:spacing w:after="0" w:line="240" w:lineRule="auto"/>
              <w:jc w:val="center"/>
            </w:pPr>
            <w:r>
              <w:rPr>
                <w:b/>
                <w:sz w:val="14"/>
                <w:szCs w:val="14"/>
              </w:rPr>
              <w:t xml:space="preserve">Full minimization</w:t>
            </w:r>
          </w:p>
        </w:tc>
      </w:tr>
      <w:tr>
        <w:tc>
          <w:tcPr>
            <w:tcW w:w="1500" w:type="dxa"/>
            <w:vAlign w:val="center"/>
          </w:tcPr>
          <w:p>
            <w:pPr>
              <w:spacing w:after="0" w:line="240" w:lineRule="auto"/>
              <w:jc w:val="center"/>
            </w:pPr>
            <w:r>
              <w:rPr>
                <w:color w:val="FF0000"/>
                <w:sz w:val="14"/>
                <w:szCs w:val="14"/>
              </w:rPr>
              <w:t xml:space="preserve">G190E</w:t>
            </w:r>
          </w:p>
        </w:tc>
        <w:tc>
          <w:tcPr>
            <w:tcW w:w="1300" w:type="dxa"/>
            <w:vAlign w:val="center"/>
          </w:tcPr>
          <w:p>
            <w:pPr>
              <w:spacing w:after="0" w:line="240" w:lineRule="auto"/>
              <w:jc w:val="center"/>
            </w:pPr>
            <w:r>
              <w:rPr>
                <w:color w:val="FF0000"/>
                <w:sz w:val="14"/>
                <w:szCs w:val="14"/>
              </w:rPr>
              <w:t xml:space="preserve">ΔΔE Total</w:t>
            </w:r>
          </w:p>
        </w:tc>
        <w:tc>
          <w:tcPr>
            <w:tcW w:w="2200" w:type="dxa"/>
            <w:vAlign w:val="center"/>
          </w:tcPr>
          <w:p>
            <w:pPr>
              <w:spacing w:after="0" w:line="240" w:lineRule="auto"/>
              <w:jc w:val="center"/>
            </w:pPr>
            <w:r>
              <w:rPr>
                <w:color w:val="FF0000"/>
                <w:sz w:val="14"/>
                <w:szCs w:val="14"/>
              </w:rPr>
              <w:t xml:space="preserve">1.74e+06 ± 9.7e+05</w:t>
            </w:r>
          </w:p>
        </w:tc>
        <w:tc>
          <w:tcPr>
            <w:tcW w:w="2000" w:type="dxa"/>
            <w:vAlign w:val="center"/>
          </w:tcPr>
          <w:p>
            <w:pPr>
              <w:spacing w:after="0" w:line="240" w:lineRule="auto"/>
              <w:jc w:val="center"/>
            </w:pPr>
            <w:r>
              <w:rPr>
                <w:color w:val="FF0000"/>
                <w:sz w:val="14"/>
                <w:szCs w:val="14"/>
              </w:rPr>
              <w:t xml:space="preserve">28.32 ± 15.12</w:t>
            </w:r>
          </w:p>
        </w:tc>
        <w:tc>
          <w:tcPr>
            <w:tcW w:w="1800" w:type="dxa"/>
            <w:vAlign w:val="center"/>
          </w:tcPr>
          <w:p>
            <w:pPr>
              <w:spacing w:after="0" w:line="240" w:lineRule="auto"/>
              <w:jc w:val="center"/>
            </w:pPr>
            <w:r>
              <w:rPr>
                <w:color w:val="FF0000"/>
                <w:sz w:val="14"/>
                <w:szCs w:val="14"/>
              </w:rPr>
              <w:t xml:space="preserve">1.94 ± 0.40</w:t>
            </w:r>
          </w:p>
        </w:tc>
      </w:tr>
      <w:tr>
        <w:tc>
          <w:tcPr>
            <w:tcW w:w="1500" w:type="dxa"/>
            <w:vAlign w:val="center"/>
          </w:tcPr>
          <w:p>
            <w:pPr>
              <w:spacing w:after="0" w:line="240" w:lineRule="auto"/>
              <w:jc w:val="center"/>
            </w:pPr>
            <w:r>
              <w:rPr>
                <w:color w:val="FF0000"/>
                <w:sz w:val="14"/>
                <w:szCs w:val="14"/>
              </w:rPr>
              <w:t xml:space="preserve">G190E</w:t>
            </w:r>
          </w:p>
        </w:tc>
        <w:tc>
          <w:tcPr>
            <w:tcW w:w="1300" w:type="dxa"/>
            <w:vAlign w:val="center"/>
          </w:tcPr>
          <w:p>
            <w:pPr>
              <w:spacing w:after="0" w:line="240" w:lineRule="auto"/>
              <w:jc w:val="center"/>
            </w:pPr>
            <w:r>
              <w:rPr>
                <w:color w:val="FF0000"/>
                <w:sz w:val="14"/>
                <w:szCs w:val="14"/>
              </w:rPr>
              <w:t xml:space="preserve">ΔΔE vdW</w:t>
            </w:r>
          </w:p>
        </w:tc>
        <w:tc>
          <w:tcPr>
            <w:tcW w:w="2200" w:type="dxa"/>
            <w:vAlign w:val="center"/>
          </w:tcPr>
          <w:p>
            <w:pPr>
              <w:spacing w:after="0" w:line="240" w:lineRule="auto"/>
              <w:jc w:val="center"/>
            </w:pPr>
            <w:r>
              <w:rPr>
                <w:color w:val="FF0000"/>
                <w:sz w:val="14"/>
                <w:szCs w:val="14"/>
              </w:rPr>
              <w:t xml:space="preserve">1.74e+06 ± 9.7e+05</w:t>
            </w:r>
          </w:p>
        </w:tc>
        <w:tc>
          <w:tcPr>
            <w:tcW w:w="2000" w:type="dxa"/>
            <w:vAlign w:val="center"/>
          </w:tcPr>
          <w:p>
            <w:pPr>
              <w:spacing w:after="0" w:line="240" w:lineRule="auto"/>
              <w:jc w:val="center"/>
            </w:pPr>
            <w:r>
              <w:rPr>
                <w:color w:val="FF0000"/>
                <w:sz w:val="14"/>
                <w:szCs w:val="14"/>
              </w:rPr>
              <w:t xml:space="preserve">26.37 ± 14.81</w:t>
            </w:r>
          </w:p>
        </w:tc>
        <w:tc>
          <w:tcPr>
            <w:tcW w:w="1800" w:type="dxa"/>
            <w:vAlign w:val="center"/>
          </w:tcPr>
          <w:p>
            <w:pPr>
              <w:spacing w:after="0" w:line="240" w:lineRule="auto"/>
              <w:jc w:val="center"/>
            </w:pPr>
            <w:r>
              <w:rPr>
                <w:color w:val="FF0000"/>
                <w:sz w:val="14"/>
                <w:szCs w:val="14"/>
              </w:rPr>
              <w:t xml:space="preserve">0.88 ± 0.61</w:t>
            </w:r>
          </w:p>
        </w:tc>
      </w:tr>
      <w:tr>
        <w:tc>
          <w:tcPr>
            <w:tcW w:w="1500" w:type="dxa"/>
            <w:vAlign w:val="center"/>
          </w:tcPr>
          <w:p>
            <w:pPr>
              <w:spacing w:after="0" w:line="240" w:lineRule="auto"/>
              <w:jc w:val="center"/>
            </w:pPr>
            <w:r>
              <w:rPr>
                <w:color w:val="FF0000"/>
                <w:sz w:val="14"/>
                <w:szCs w:val="14"/>
              </w:rPr>
              <w:t xml:space="preserve">G190E</w:t>
            </w:r>
          </w:p>
        </w:tc>
        <w:tc>
          <w:tcPr>
            <w:tcW w:w="1300" w:type="dxa"/>
            <w:vAlign w:val="center"/>
          </w:tcPr>
          <w:p>
            <w:pPr>
              <w:spacing w:after="0" w:line="240" w:lineRule="auto"/>
              <w:jc w:val="center"/>
            </w:pPr>
            <w:r>
              <w:rPr>
                <w:color w:val="FF0000"/>
                <w:sz w:val="14"/>
                <w:szCs w:val="14"/>
              </w:rPr>
              <w:t xml:space="preserve">ΔΔE elec</w:t>
            </w:r>
          </w:p>
        </w:tc>
        <w:tc>
          <w:tcPr>
            <w:tcW w:w="2200" w:type="dxa"/>
            <w:vAlign w:val="center"/>
          </w:tcPr>
          <w:p>
            <w:pPr>
              <w:spacing w:after="0" w:line="240" w:lineRule="auto"/>
              <w:jc w:val="center"/>
            </w:pPr>
            <w:r>
              <w:rPr>
                <w:color w:val="FF0000"/>
                <w:sz w:val="14"/>
                <w:szCs w:val="14"/>
              </w:rPr>
              <w:t xml:space="preserve">0.65 ± 0.57</w:t>
            </w:r>
          </w:p>
        </w:tc>
        <w:tc>
          <w:tcPr>
            <w:tcW w:w="2000" w:type="dxa"/>
            <w:vAlign w:val="center"/>
          </w:tcPr>
          <w:p>
            <w:pPr>
              <w:spacing w:after="0" w:line="240" w:lineRule="auto"/>
              <w:jc w:val="center"/>
            </w:pPr>
            <w:r>
              <w:rPr>
                <w:color w:val="FF0000"/>
                <w:sz w:val="14"/>
                <w:szCs w:val="14"/>
              </w:rPr>
              <w:t xml:space="preserve">0.71 ± 0.87</w:t>
            </w:r>
          </w:p>
        </w:tc>
        <w:tc>
          <w:tcPr>
            <w:tcW w:w="1800" w:type="dxa"/>
            <w:vAlign w:val="center"/>
          </w:tcPr>
          <w:p>
            <w:pPr>
              <w:spacing w:after="0" w:line="240" w:lineRule="auto"/>
              <w:jc w:val="center"/>
            </w:pPr>
            <w:r>
              <w:rPr>
                <w:color w:val="FF0000"/>
                <w:sz w:val="14"/>
                <w:szCs w:val="14"/>
              </w:rPr>
              <w:t xml:space="preserve">-1.37 ± 0.43</w:t>
            </w:r>
          </w:p>
        </w:tc>
      </w:tr>
      <w:tr>
        <w:tc>
          <w:tcPr>
            <w:tcW w:w="1500" w:type="dxa"/>
            <w:vAlign w:val="center"/>
          </w:tcPr>
          <w:p>
            <w:pPr>
              <w:spacing w:after="0" w:line="240" w:lineRule="auto"/>
              <w:jc w:val="center"/>
            </w:pPr>
            <w:r>
              <w:rPr>
                <w:color w:val="FF0000"/>
                <w:sz w:val="14"/>
                <w:szCs w:val="14"/>
              </w:rPr>
              <w:t xml:space="preserve">G190E</w:t>
            </w:r>
          </w:p>
        </w:tc>
        <w:tc>
          <w:tcPr>
            <w:tcW w:w="1300" w:type="dxa"/>
            <w:vAlign w:val="center"/>
          </w:tcPr>
          <w:p>
            <w:pPr>
              <w:spacing w:after="0" w:line="240" w:lineRule="auto"/>
              <w:jc w:val="center"/>
            </w:pPr>
            <w:r>
              <w:rPr>
                <w:color w:val="FF0000"/>
                <w:sz w:val="14"/>
                <w:szCs w:val="14"/>
              </w:rPr>
              <w:t xml:space="preserve">ΔΔE GB</w:t>
            </w:r>
          </w:p>
        </w:tc>
        <w:tc>
          <w:tcPr>
            <w:tcW w:w="2200" w:type="dxa"/>
            <w:vAlign w:val="center"/>
          </w:tcPr>
          <w:p>
            <w:pPr>
              <w:spacing w:after="0" w:line="240" w:lineRule="auto"/>
              <w:jc w:val="center"/>
            </w:pPr>
            <w:r>
              <w:rPr>
                <w:color w:val="FF0000"/>
                <w:sz w:val="14"/>
                <w:szCs w:val="14"/>
              </w:rPr>
              <w:t xml:space="preserve">1.35 ± 0.54</w:t>
            </w:r>
          </w:p>
        </w:tc>
        <w:tc>
          <w:tcPr>
            <w:tcW w:w="2000" w:type="dxa"/>
            <w:vAlign w:val="center"/>
          </w:tcPr>
          <w:p>
            <w:pPr>
              <w:spacing w:after="0" w:line="240" w:lineRule="auto"/>
              <w:jc w:val="center"/>
            </w:pPr>
            <w:r>
              <w:rPr>
                <w:color w:val="FF0000"/>
                <w:sz w:val="14"/>
                <w:szCs w:val="14"/>
              </w:rPr>
              <w:t xml:space="preserve">1.31 ± 0.60</w:t>
            </w:r>
          </w:p>
        </w:tc>
        <w:tc>
          <w:tcPr>
            <w:tcW w:w="1800" w:type="dxa"/>
            <w:vAlign w:val="center"/>
          </w:tcPr>
          <w:p>
            <w:pPr>
              <w:spacing w:after="0" w:line="240" w:lineRule="auto"/>
              <w:jc w:val="center"/>
            </w:pPr>
            <w:r>
              <w:rPr>
                <w:color w:val="FF0000"/>
                <w:sz w:val="14"/>
                <w:szCs w:val="14"/>
              </w:rPr>
              <w:t xml:space="preserve">2.50 ± 0.32</w:t>
            </w:r>
          </w:p>
        </w:tc>
      </w:tr>
      <w:tr>
        <w:tc>
          <w:tcPr>
            <w:tcW w:w="1500" w:type="dxa"/>
            <w:vAlign w:val="center"/>
          </w:tcPr>
          <w:p>
            <w:pPr>
              <w:spacing w:after="0" w:line="240" w:lineRule="auto"/>
              <w:jc w:val="center"/>
            </w:pPr>
            <w:r>
              <w:rPr>
                <w:color w:val="FF0000"/>
                <w:sz w:val="14"/>
                <w:szCs w:val="14"/>
              </w:rPr>
              <w:t xml:space="preserve">K103N</w:t>
            </w:r>
          </w:p>
        </w:tc>
        <w:tc>
          <w:tcPr>
            <w:tcW w:w="1300" w:type="dxa"/>
            <w:vAlign w:val="center"/>
          </w:tcPr>
          <w:p>
            <w:pPr>
              <w:spacing w:after="0" w:line="240" w:lineRule="auto"/>
              <w:jc w:val="center"/>
            </w:pPr>
            <w:r>
              <w:rPr>
                <w:color w:val="FF0000"/>
                <w:sz w:val="14"/>
                <w:szCs w:val="14"/>
              </w:rPr>
              <w:t xml:space="preserve">ΔΔE Total</w:t>
            </w:r>
          </w:p>
        </w:tc>
        <w:tc>
          <w:tcPr>
            <w:tcW w:w="2200" w:type="dxa"/>
            <w:vAlign w:val="center"/>
          </w:tcPr>
          <w:p>
            <w:pPr>
              <w:spacing w:after="0" w:line="240" w:lineRule="auto"/>
              <w:jc w:val="center"/>
            </w:pPr>
            <w:r>
              <w:rPr>
                <w:color w:val="FF0000"/>
                <w:sz w:val="14"/>
                <w:szCs w:val="14"/>
              </w:rPr>
              <w:t xml:space="preserve">2.99e+04 ± 3.8e+04</w:t>
            </w:r>
          </w:p>
        </w:tc>
        <w:tc>
          <w:tcPr>
            <w:tcW w:w="2000" w:type="dxa"/>
            <w:vAlign w:val="center"/>
          </w:tcPr>
          <w:p>
            <w:pPr>
              <w:spacing w:after="0" w:line="240" w:lineRule="auto"/>
              <w:jc w:val="center"/>
            </w:pPr>
            <w:r>
              <w:rPr>
                <w:color w:val="FF0000"/>
                <w:sz w:val="14"/>
                <w:szCs w:val="14"/>
              </w:rPr>
              <w:t xml:space="preserve">5.71 ± 9.49</w:t>
            </w:r>
          </w:p>
        </w:tc>
        <w:tc>
          <w:tcPr>
            <w:tcW w:w="1800" w:type="dxa"/>
            <w:vAlign w:val="center"/>
          </w:tcPr>
          <w:p>
            <w:pPr>
              <w:spacing w:after="0" w:line="240" w:lineRule="auto"/>
              <w:jc w:val="center"/>
            </w:pPr>
            <w:r>
              <w:rPr>
                <w:color w:val="FF0000"/>
                <w:sz w:val="14"/>
                <w:szCs w:val="14"/>
              </w:rPr>
              <w:t xml:space="preserve">-0.75 ± 0.13</w:t>
            </w:r>
          </w:p>
        </w:tc>
      </w:tr>
      <w:tr>
        <w:tc>
          <w:tcPr>
            <w:tcW w:w="1500" w:type="dxa"/>
            <w:vAlign w:val="center"/>
          </w:tcPr>
          <w:p>
            <w:pPr>
              <w:spacing w:after="0" w:line="240" w:lineRule="auto"/>
              <w:jc w:val="center"/>
            </w:pPr>
            <w:r>
              <w:rPr>
                <w:color w:val="FF0000"/>
                <w:sz w:val="14"/>
                <w:szCs w:val="14"/>
              </w:rPr>
              <w:t xml:space="preserve">K103N</w:t>
            </w:r>
          </w:p>
        </w:tc>
        <w:tc>
          <w:tcPr>
            <w:tcW w:w="1300" w:type="dxa"/>
            <w:vAlign w:val="center"/>
          </w:tcPr>
          <w:p>
            <w:pPr>
              <w:spacing w:after="0" w:line="240" w:lineRule="auto"/>
              <w:jc w:val="center"/>
            </w:pPr>
            <w:r>
              <w:rPr>
                <w:color w:val="FF0000"/>
                <w:sz w:val="14"/>
                <w:szCs w:val="14"/>
              </w:rPr>
              <w:t xml:space="preserve">ΔΔE vdW</w:t>
            </w:r>
          </w:p>
        </w:tc>
        <w:tc>
          <w:tcPr>
            <w:tcW w:w="2200" w:type="dxa"/>
            <w:vAlign w:val="center"/>
          </w:tcPr>
          <w:p>
            <w:pPr>
              <w:spacing w:after="0" w:line="240" w:lineRule="auto"/>
              <w:jc w:val="center"/>
            </w:pPr>
            <w:r>
              <w:rPr>
                <w:color w:val="FF0000"/>
                <w:sz w:val="14"/>
                <w:szCs w:val="14"/>
              </w:rPr>
              <w:t xml:space="preserve">2.99e+04 ± 3.8e+04</w:t>
            </w:r>
          </w:p>
        </w:tc>
        <w:tc>
          <w:tcPr>
            <w:tcW w:w="2000" w:type="dxa"/>
            <w:vAlign w:val="center"/>
          </w:tcPr>
          <w:p>
            <w:pPr>
              <w:spacing w:after="0" w:line="240" w:lineRule="auto"/>
              <w:jc w:val="center"/>
            </w:pPr>
            <w:r>
              <w:rPr>
                <w:color w:val="FF0000"/>
                <w:sz w:val="14"/>
                <w:szCs w:val="14"/>
              </w:rPr>
              <w:t xml:space="preserve">5.48 ± 9.34</w:t>
            </w:r>
          </w:p>
        </w:tc>
        <w:tc>
          <w:tcPr>
            <w:tcW w:w="1800" w:type="dxa"/>
            <w:vAlign w:val="center"/>
          </w:tcPr>
          <w:p>
            <w:pPr>
              <w:spacing w:after="0" w:line="240" w:lineRule="auto"/>
              <w:jc w:val="center"/>
            </w:pPr>
            <w:r>
              <w:rPr>
                <w:color w:val="FF0000"/>
                <w:sz w:val="14"/>
                <w:szCs w:val="14"/>
              </w:rPr>
              <w:t xml:space="preserve">-0.60 ± 0.11</w:t>
            </w:r>
          </w:p>
        </w:tc>
      </w:tr>
      <w:tr>
        <w:tc>
          <w:tcPr>
            <w:tcW w:w="1500" w:type="dxa"/>
            <w:vAlign w:val="center"/>
          </w:tcPr>
          <w:p>
            <w:pPr>
              <w:spacing w:after="0" w:line="240" w:lineRule="auto"/>
              <w:jc w:val="center"/>
            </w:pPr>
            <w:r>
              <w:rPr>
                <w:color w:val="FF0000"/>
                <w:sz w:val="14"/>
                <w:szCs w:val="14"/>
              </w:rPr>
              <w:t xml:space="preserve">K103N</w:t>
            </w:r>
          </w:p>
        </w:tc>
        <w:tc>
          <w:tcPr>
            <w:tcW w:w="1300" w:type="dxa"/>
            <w:vAlign w:val="center"/>
          </w:tcPr>
          <w:p>
            <w:pPr>
              <w:spacing w:after="0" w:line="240" w:lineRule="auto"/>
              <w:jc w:val="center"/>
            </w:pPr>
            <w:r>
              <w:rPr>
                <w:color w:val="FF0000"/>
                <w:sz w:val="14"/>
                <w:szCs w:val="14"/>
              </w:rPr>
              <w:t xml:space="preserve">ΔΔE elec</w:t>
            </w:r>
          </w:p>
        </w:tc>
        <w:tc>
          <w:tcPr>
            <w:tcW w:w="2200" w:type="dxa"/>
            <w:vAlign w:val="center"/>
          </w:tcPr>
          <w:p>
            <w:pPr>
              <w:spacing w:after="0" w:line="240" w:lineRule="auto"/>
              <w:jc w:val="center"/>
            </w:pPr>
            <w:r>
              <w:rPr>
                <w:color w:val="FF0000"/>
                <w:sz w:val="14"/>
                <w:szCs w:val="14"/>
              </w:rPr>
              <w:t xml:space="preserve">-2.01 ± 0.36</w:t>
            </w:r>
          </w:p>
        </w:tc>
        <w:tc>
          <w:tcPr>
            <w:tcW w:w="2000" w:type="dxa"/>
            <w:vAlign w:val="center"/>
          </w:tcPr>
          <w:p>
            <w:pPr>
              <w:spacing w:after="0" w:line="240" w:lineRule="auto"/>
              <w:jc w:val="center"/>
            </w:pPr>
            <w:r>
              <w:rPr>
                <w:color w:val="FF0000"/>
                <w:sz w:val="14"/>
                <w:szCs w:val="14"/>
              </w:rPr>
              <w:t xml:space="preserve">-2.21 ± 0.23</w:t>
            </w:r>
          </w:p>
        </w:tc>
        <w:tc>
          <w:tcPr>
            <w:tcW w:w="1800" w:type="dxa"/>
            <w:vAlign w:val="center"/>
          </w:tcPr>
          <w:p>
            <w:pPr>
              <w:spacing w:after="0" w:line="240" w:lineRule="auto"/>
              <w:jc w:val="center"/>
            </w:pPr>
            <w:r>
              <w:rPr>
                <w:color w:val="FF0000"/>
                <w:sz w:val="14"/>
                <w:szCs w:val="14"/>
              </w:rPr>
              <w:t xml:space="preserve">-2.10 ± 0.19</w:t>
            </w:r>
          </w:p>
        </w:tc>
      </w:tr>
      <w:tr>
        <w:tc>
          <w:tcPr>
            <w:tcW w:w="1500" w:type="dxa"/>
            <w:vAlign w:val="center"/>
          </w:tcPr>
          <w:p>
            <w:pPr>
              <w:spacing w:after="0" w:line="240" w:lineRule="auto"/>
              <w:jc w:val="center"/>
            </w:pPr>
            <w:r>
              <w:rPr>
                <w:color w:val="FF0000"/>
                <w:sz w:val="14"/>
                <w:szCs w:val="14"/>
              </w:rPr>
              <w:t xml:space="preserve">K103N</w:t>
            </w:r>
          </w:p>
        </w:tc>
        <w:tc>
          <w:tcPr>
            <w:tcW w:w="1300" w:type="dxa"/>
            <w:vAlign w:val="center"/>
          </w:tcPr>
          <w:p>
            <w:pPr>
              <w:spacing w:after="0" w:line="240" w:lineRule="auto"/>
              <w:jc w:val="center"/>
            </w:pPr>
            <w:r>
              <w:rPr>
                <w:color w:val="FF0000"/>
                <w:sz w:val="14"/>
                <w:szCs w:val="14"/>
              </w:rPr>
              <w:t xml:space="preserve">ΔΔE GB</w:t>
            </w:r>
          </w:p>
        </w:tc>
        <w:tc>
          <w:tcPr>
            <w:tcW w:w="2200" w:type="dxa"/>
            <w:vAlign w:val="center"/>
          </w:tcPr>
          <w:p>
            <w:pPr>
              <w:spacing w:after="0" w:line="240" w:lineRule="auto"/>
              <w:jc w:val="center"/>
            </w:pPr>
            <w:r>
              <w:rPr>
                <w:color w:val="FF0000"/>
                <w:sz w:val="14"/>
                <w:szCs w:val="14"/>
              </w:rPr>
              <w:t xml:space="preserve">2.41 ± 0.23</w:t>
            </w:r>
          </w:p>
        </w:tc>
        <w:tc>
          <w:tcPr>
            <w:tcW w:w="2000" w:type="dxa"/>
            <w:vAlign w:val="center"/>
          </w:tcPr>
          <w:p>
            <w:pPr>
              <w:spacing w:after="0" w:line="240" w:lineRule="auto"/>
              <w:jc w:val="center"/>
            </w:pPr>
            <w:r>
              <w:rPr>
                <w:color w:val="FF0000"/>
                <w:sz w:val="14"/>
                <w:szCs w:val="14"/>
              </w:rPr>
              <w:t xml:space="preserve">2.47 ± 0.19</w:t>
            </w:r>
          </w:p>
        </w:tc>
        <w:tc>
          <w:tcPr>
            <w:tcW w:w="1800" w:type="dxa"/>
            <w:vAlign w:val="center"/>
          </w:tcPr>
          <w:p>
            <w:pPr>
              <w:spacing w:after="0" w:line="240" w:lineRule="auto"/>
              <w:jc w:val="center"/>
            </w:pPr>
            <w:r>
              <w:rPr>
                <w:color w:val="FF0000"/>
                <w:sz w:val="14"/>
                <w:szCs w:val="14"/>
              </w:rPr>
              <w:t xml:space="preserve">2.00 ± 0.17</w:t>
            </w:r>
          </w:p>
        </w:tc>
      </w:tr>
      <w:tr>
        <w:tc>
          <w:tcPr>
            <w:tcW w:w="1500" w:type="dxa"/>
            <w:vAlign w:val="center"/>
          </w:tcPr>
          <w:p>
            <w:pPr>
              <w:spacing w:after="0" w:line="240" w:lineRule="auto"/>
              <w:jc w:val="center"/>
            </w:pPr>
            <w:r>
              <w:rPr>
                <w:color w:val="FF0000"/>
                <w:sz w:val="14"/>
                <w:szCs w:val="14"/>
              </w:rPr>
              <w:t xml:space="preserve">V106A</w:t>
            </w:r>
          </w:p>
        </w:tc>
        <w:tc>
          <w:tcPr>
            <w:tcW w:w="1300" w:type="dxa"/>
            <w:vAlign w:val="center"/>
          </w:tcPr>
          <w:p>
            <w:pPr>
              <w:spacing w:after="0" w:line="240" w:lineRule="auto"/>
              <w:jc w:val="center"/>
            </w:pPr>
            <w:r>
              <w:rPr>
                <w:color w:val="FF0000"/>
                <w:sz w:val="14"/>
                <w:szCs w:val="14"/>
              </w:rPr>
              <w:t xml:space="preserve">ΔΔE Total</w:t>
            </w:r>
          </w:p>
        </w:tc>
        <w:tc>
          <w:tcPr>
            <w:tcW w:w="2200" w:type="dxa"/>
            <w:vAlign w:val="center"/>
          </w:tcPr>
          <w:p>
            <w:pPr>
              <w:spacing w:after="0" w:line="240" w:lineRule="auto"/>
              <w:jc w:val="center"/>
            </w:pPr>
            <w:r>
              <w:rPr>
                <w:color w:val="FF0000"/>
                <w:sz w:val="14"/>
                <w:szCs w:val="14"/>
              </w:rPr>
              <w:t xml:space="preserve">-8938.51 ± 4769.13</w:t>
            </w:r>
          </w:p>
        </w:tc>
        <w:tc>
          <w:tcPr>
            <w:tcW w:w="2000" w:type="dxa"/>
            <w:vAlign w:val="center"/>
          </w:tcPr>
          <w:p>
            <w:pPr>
              <w:spacing w:after="0" w:line="240" w:lineRule="auto"/>
              <w:jc w:val="center"/>
            </w:pPr>
            <w:r>
              <w:rPr>
                <w:color w:val="FF0000"/>
                <w:sz w:val="14"/>
                <w:szCs w:val="14"/>
              </w:rPr>
              <w:t xml:space="preserve">2.48 ± 6.91</w:t>
            </w:r>
          </w:p>
        </w:tc>
        <w:tc>
          <w:tcPr>
            <w:tcW w:w="1800" w:type="dxa"/>
            <w:vAlign w:val="center"/>
          </w:tcPr>
          <w:p>
            <w:pPr>
              <w:spacing w:after="0" w:line="240" w:lineRule="auto"/>
              <w:jc w:val="center"/>
            </w:pPr>
            <w:r>
              <w:rPr>
                <w:color w:val="FF0000"/>
                <w:sz w:val="14"/>
                <w:szCs w:val="14"/>
              </w:rPr>
              <w:t xml:space="preserve">1.73 ± 0.41</w:t>
            </w:r>
          </w:p>
        </w:tc>
      </w:tr>
      <w:tr>
        <w:tc>
          <w:tcPr>
            <w:tcW w:w="1500" w:type="dxa"/>
            <w:vAlign w:val="center"/>
          </w:tcPr>
          <w:p>
            <w:pPr>
              <w:spacing w:after="0" w:line="240" w:lineRule="auto"/>
              <w:jc w:val="center"/>
            </w:pPr>
            <w:r>
              <w:rPr>
                <w:color w:val="FF0000"/>
                <w:sz w:val="14"/>
                <w:szCs w:val="14"/>
              </w:rPr>
              <w:t xml:space="preserve">V106A</w:t>
            </w:r>
          </w:p>
        </w:tc>
        <w:tc>
          <w:tcPr>
            <w:tcW w:w="1300" w:type="dxa"/>
            <w:vAlign w:val="center"/>
          </w:tcPr>
          <w:p>
            <w:pPr>
              <w:spacing w:after="0" w:line="240" w:lineRule="auto"/>
              <w:jc w:val="center"/>
            </w:pPr>
            <w:r>
              <w:rPr>
                <w:color w:val="FF0000"/>
                <w:sz w:val="14"/>
                <w:szCs w:val="14"/>
              </w:rPr>
              <w:t xml:space="preserve">ΔΔE vdW</w:t>
            </w:r>
          </w:p>
        </w:tc>
        <w:tc>
          <w:tcPr>
            <w:tcW w:w="2200" w:type="dxa"/>
            <w:vAlign w:val="center"/>
          </w:tcPr>
          <w:p>
            <w:pPr>
              <w:spacing w:after="0" w:line="240" w:lineRule="auto"/>
              <w:jc w:val="center"/>
            </w:pPr>
            <w:r>
              <w:rPr>
                <w:color w:val="FF0000"/>
                <w:sz w:val="14"/>
                <w:szCs w:val="14"/>
              </w:rPr>
              <w:t xml:space="preserve">-8940.19 ± 4768.84</w:t>
            </w:r>
          </w:p>
        </w:tc>
        <w:tc>
          <w:tcPr>
            <w:tcW w:w="2000" w:type="dxa"/>
            <w:vAlign w:val="center"/>
          </w:tcPr>
          <w:p>
            <w:pPr>
              <w:spacing w:after="0" w:line="240" w:lineRule="auto"/>
              <w:jc w:val="center"/>
            </w:pPr>
            <w:r>
              <w:rPr>
                <w:color w:val="FF0000"/>
                <w:sz w:val="14"/>
                <w:szCs w:val="14"/>
              </w:rPr>
              <w:t xml:space="preserve">0.92 ± 6.79</w:t>
            </w:r>
          </w:p>
        </w:tc>
        <w:tc>
          <w:tcPr>
            <w:tcW w:w="1800" w:type="dxa"/>
            <w:vAlign w:val="center"/>
          </w:tcPr>
          <w:p>
            <w:pPr>
              <w:spacing w:after="0" w:line="240" w:lineRule="auto"/>
              <w:jc w:val="center"/>
            </w:pPr>
            <w:r>
              <w:rPr>
                <w:color w:val="FF0000"/>
                <w:sz w:val="14"/>
                <w:szCs w:val="14"/>
              </w:rPr>
              <w:t xml:space="preserve">0.73 ± 0.20</w:t>
            </w:r>
          </w:p>
        </w:tc>
      </w:tr>
      <w:tr>
        <w:tc>
          <w:tcPr>
            <w:tcW w:w="1500" w:type="dxa"/>
            <w:vAlign w:val="center"/>
          </w:tcPr>
          <w:p>
            <w:pPr>
              <w:spacing w:after="0" w:line="240" w:lineRule="auto"/>
              <w:jc w:val="center"/>
            </w:pPr>
            <w:r>
              <w:rPr>
                <w:color w:val="FF0000"/>
                <w:sz w:val="14"/>
                <w:szCs w:val="14"/>
              </w:rPr>
              <w:t xml:space="preserve">V106A</w:t>
            </w:r>
          </w:p>
        </w:tc>
        <w:tc>
          <w:tcPr>
            <w:tcW w:w="1300" w:type="dxa"/>
            <w:vAlign w:val="center"/>
          </w:tcPr>
          <w:p>
            <w:pPr>
              <w:spacing w:after="0" w:line="240" w:lineRule="auto"/>
              <w:jc w:val="center"/>
            </w:pPr>
            <w:r>
              <w:rPr>
                <w:color w:val="FF0000"/>
                <w:sz w:val="14"/>
                <w:szCs w:val="14"/>
              </w:rPr>
              <w:t xml:space="preserve">ΔΔE elec</w:t>
            </w:r>
          </w:p>
        </w:tc>
        <w:tc>
          <w:tcPr>
            <w:tcW w:w="2200" w:type="dxa"/>
            <w:vAlign w:val="center"/>
          </w:tcPr>
          <w:p>
            <w:pPr>
              <w:spacing w:after="0" w:line="240" w:lineRule="auto"/>
              <w:jc w:val="center"/>
            </w:pPr>
            <w:r>
              <w:rPr>
                <w:color w:val="FF0000"/>
                <w:sz w:val="14"/>
                <w:szCs w:val="14"/>
              </w:rPr>
              <w:t xml:space="preserve">0.39 ± 0.60</w:t>
            </w:r>
          </w:p>
        </w:tc>
        <w:tc>
          <w:tcPr>
            <w:tcW w:w="2000" w:type="dxa"/>
            <w:vAlign w:val="center"/>
          </w:tcPr>
          <w:p>
            <w:pPr>
              <w:spacing w:after="0" w:line="240" w:lineRule="auto"/>
              <w:jc w:val="center"/>
            </w:pPr>
            <w:r>
              <w:rPr>
                <w:color w:val="FF0000"/>
                <w:sz w:val="14"/>
                <w:szCs w:val="14"/>
              </w:rPr>
              <w:t xml:space="preserve">0.22 ± 0.50</w:t>
            </w:r>
          </w:p>
        </w:tc>
        <w:tc>
          <w:tcPr>
            <w:tcW w:w="1800" w:type="dxa"/>
            <w:vAlign w:val="center"/>
          </w:tcPr>
          <w:p>
            <w:pPr>
              <w:spacing w:after="0" w:line="240" w:lineRule="auto"/>
              <w:jc w:val="center"/>
            </w:pPr>
            <w:r>
              <w:rPr>
                <w:color w:val="FF0000"/>
                <w:sz w:val="14"/>
                <w:szCs w:val="14"/>
              </w:rPr>
              <w:t xml:space="preserve">-0.06 ± 0.77</w:t>
            </w:r>
          </w:p>
        </w:tc>
      </w:tr>
      <w:tr>
        <w:tc>
          <w:tcPr>
            <w:tcW w:w="1500" w:type="dxa"/>
            <w:vAlign w:val="center"/>
          </w:tcPr>
          <w:p>
            <w:pPr>
              <w:spacing w:after="0" w:line="240" w:lineRule="auto"/>
              <w:jc w:val="center"/>
            </w:pPr>
            <w:r>
              <w:rPr>
                <w:color w:val="FF0000"/>
                <w:sz w:val="14"/>
                <w:szCs w:val="14"/>
              </w:rPr>
              <w:t xml:space="preserve">V106A</w:t>
            </w:r>
          </w:p>
        </w:tc>
        <w:tc>
          <w:tcPr>
            <w:tcW w:w="1300" w:type="dxa"/>
            <w:vAlign w:val="center"/>
          </w:tcPr>
          <w:p>
            <w:pPr>
              <w:spacing w:after="0" w:line="240" w:lineRule="auto"/>
              <w:jc w:val="center"/>
            </w:pPr>
            <w:r>
              <w:rPr>
                <w:color w:val="FF0000"/>
                <w:sz w:val="14"/>
                <w:szCs w:val="14"/>
              </w:rPr>
              <w:t xml:space="preserve">ΔΔE GB</w:t>
            </w:r>
          </w:p>
        </w:tc>
        <w:tc>
          <w:tcPr>
            <w:tcW w:w="2200" w:type="dxa"/>
            <w:vAlign w:val="center"/>
          </w:tcPr>
          <w:p>
            <w:pPr>
              <w:spacing w:after="0" w:line="240" w:lineRule="auto"/>
              <w:jc w:val="center"/>
            </w:pPr>
            <w:r>
              <w:rPr>
                <w:color w:val="FF0000"/>
                <w:sz w:val="14"/>
                <w:szCs w:val="14"/>
              </w:rPr>
              <w:t xml:space="preserve">1.27 ± 0.96</w:t>
            </w:r>
          </w:p>
        </w:tc>
        <w:tc>
          <w:tcPr>
            <w:tcW w:w="2000" w:type="dxa"/>
            <w:vAlign w:val="center"/>
          </w:tcPr>
          <w:p>
            <w:pPr>
              <w:spacing w:after="0" w:line="240" w:lineRule="auto"/>
              <w:jc w:val="center"/>
            </w:pPr>
            <w:r>
              <w:rPr>
                <w:color w:val="FF0000"/>
                <w:sz w:val="14"/>
                <w:szCs w:val="14"/>
              </w:rPr>
              <w:t xml:space="preserve">1.33 ± 0.63</w:t>
            </w:r>
          </w:p>
        </w:tc>
        <w:tc>
          <w:tcPr>
            <w:tcW w:w="1800" w:type="dxa"/>
            <w:vAlign w:val="center"/>
          </w:tcPr>
          <w:p>
            <w:pPr>
              <w:spacing w:after="0" w:line="240" w:lineRule="auto"/>
              <w:jc w:val="center"/>
            </w:pPr>
            <w:r>
              <w:rPr>
                <w:color w:val="FF0000"/>
                <w:sz w:val="14"/>
                <w:szCs w:val="14"/>
              </w:rPr>
              <w:t xml:space="preserve">1.05 ± 0.64</w:t>
            </w:r>
          </w:p>
        </w:tc>
      </w:tr>
      <w:tr>
        <w:tc>
          <w:tcPr>
            <w:tcW w:w="1500" w:type="dxa"/>
            <w:vAlign w:val="center"/>
          </w:tcPr>
          <w:p>
            <w:pPr>
              <w:spacing w:after="0" w:line="240" w:lineRule="auto"/>
              <w:jc w:val="center"/>
            </w:pPr>
            <w:r>
              <w:rPr>
                <w:color w:val="FF0000"/>
                <w:sz w:val="14"/>
                <w:szCs w:val="14"/>
              </w:rPr>
              <w:t xml:space="preserve">V106I+F227C</w:t>
            </w:r>
          </w:p>
        </w:tc>
        <w:tc>
          <w:tcPr>
            <w:tcW w:w="1300" w:type="dxa"/>
            <w:vAlign w:val="center"/>
          </w:tcPr>
          <w:p>
            <w:pPr>
              <w:spacing w:after="0" w:line="240" w:lineRule="auto"/>
              <w:jc w:val="center"/>
            </w:pPr>
            <w:r>
              <w:rPr>
                <w:color w:val="FF0000"/>
                <w:sz w:val="14"/>
                <w:szCs w:val="14"/>
              </w:rPr>
              <w:t xml:space="preserve">ΔΔE Total</w:t>
            </w:r>
          </w:p>
        </w:tc>
        <w:tc>
          <w:tcPr>
            <w:tcW w:w="2200" w:type="dxa"/>
            <w:vAlign w:val="center"/>
          </w:tcPr>
          <w:p>
            <w:pPr>
              <w:spacing w:after="0" w:line="240" w:lineRule="auto"/>
              <w:jc w:val="center"/>
            </w:pPr>
            <w:r>
              <w:rPr>
                <w:color w:val="FF0000"/>
                <w:sz w:val="14"/>
                <w:szCs w:val="14"/>
              </w:rPr>
              <w:t xml:space="preserve">5.72e+04 ± 3.8e+04</w:t>
            </w:r>
          </w:p>
        </w:tc>
        <w:tc>
          <w:tcPr>
            <w:tcW w:w="2000" w:type="dxa"/>
            <w:vAlign w:val="center"/>
          </w:tcPr>
          <w:p>
            <w:pPr>
              <w:spacing w:after="0" w:line="240" w:lineRule="auto"/>
              <w:jc w:val="center"/>
            </w:pPr>
            <w:r>
              <w:rPr>
                <w:color w:val="FF0000"/>
                <w:sz w:val="14"/>
                <w:szCs w:val="14"/>
              </w:rPr>
              <w:t xml:space="preserve">14.89 ± 12.64</w:t>
            </w:r>
          </w:p>
        </w:tc>
        <w:tc>
          <w:tcPr>
            <w:tcW w:w="1800" w:type="dxa"/>
            <w:vAlign w:val="center"/>
          </w:tcPr>
          <w:p>
            <w:pPr>
              <w:spacing w:after="0" w:line="240" w:lineRule="auto"/>
              <w:jc w:val="center"/>
            </w:pPr>
            <w:r>
              <w:rPr>
                <w:color w:val="FF0000"/>
                <w:sz w:val="14"/>
                <w:szCs w:val="14"/>
              </w:rPr>
              <w:t xml:space="preserve">0.99 ± 0.54</w:t>
            </w:r>
          </w:p>
        </w:tc>
      </w:tr>
      <w:tr>
        <w:tc>
          <w:tcPr>
            <w:tcW w:w="1500" w:type="dxa"/>
            <w:vAlign w:val="center"/>
          </w:tcPr>
          <w:p>
            <w:pPr>
              <w:spacing w:after="0" w:line="240" w:lineRule="auto"/>
              <w:jc w:val="center"/>
            </w:pPr>
            <w:r>
              <w:rPr>
                <w:color w:val="FF0000"/>
                <w:sz w:val="14"/>
                <w:szCs w:val="14"/>
              </w:rPr>
              <w:t xml:space="preserve">V106I+F227C</w:t>
            </w:r>
          </w:p>
        </w:tc>
        <w:tc>
          <w:tcPr>
            <w:tcW w:w="1300" w:type="dxa"/>
            <w:vAlign w:val="center"/>
          </w:tcPr>
          <w:p>
            <w:pPr>
              <w:spacing w:after="0" w:line="240" w:lineRule="auto"/>
              <w:jc w:val="center"/>
            </w:pPr>
            <w:r>
              <w:rPr>
                <w:color w:val="FF0000"/>
                <w:sz w:val="14"/>
                <w:szCs w:val="14"/>
              </w:rPr>
              <w:t xml:space="preserve">ΔΔE vdW</w:t>
            </w:r>
          </w:p>
        </w:tc>
        <w:tc>
          <w:tcPr>
            <w:tcW w:w="2200" w:type="dxa"/>
            <w:vAlign w:val="center"/>
          </w:tcPr>
          <w:p>
            <w:pPr>
              <w:spacing w:after="0" w:line="240" w:lineRule="auto"/>
              <w:jc w:val="center"/>
            </w:pPr>
            <w:r>
              <w:rPr>
                <w:color w:val="FF0000"/>
                <w:sz w:val="14"/>
                <w:szCs w:val="14"/>
              </w:rPr>
              <w:t xml:space="preserve">5.72e+04 ± 3.8e+04</w:t>
            </w:r>
          </w:p>
        </w:tc>
        <w:tc>
          <w:tcPr>
            <w:tcW w:w="2000" w:type="dxa"/>
            <w:vAlign w:val="center"/>
          </w:tcPr>
          <w:p>
            <w:pPr>
              <w:spacing w:after="0" w:line="240" w:lineRule="auto"/>
              <w:jc w:val="center"/>
            </w:pPr>
            <w:r>
              <w:rPr>
                <w:color w:val="FF0000"/>
                <w:sz w:val="14"/>
                <w:szCs w:val="14"/>
              </w:rPr>
              <w:t xml:space="preserve">14.09 ± 11.98</w:t>
            </w:r>
          </w:p>
        </w:tc>
        <w:tc>
          <w:tcPr>
            <w:tcW w:w="1800" w:type="dxa"/>
            <w:vAlign w:val="center"/>
          </w:tcPr>
          <w:p>
            <w:pPr>
              <w:spacing w:after="0" w:line="240" w:lineRule="auto"/>
              <w:jc w:val="center"/>
            </w:pPr>
            <w:r>
              <w:rPr>
                <w:color w:val="FF0000"/>
                <w:sz w:val="14"/>
                <w:szCs w:val="14"/>
              </w:rPr>
              <w:t xml:space="preserve">1.05 ± 0.57</w:t>
            </w:r>
          </w:p>
        </w:tc>
      </w:tr>
      <w:tr>
        <w:tc>
          <w:tcPr>
            <w:tcW w:w="1500" w:type="dxa"/>
            <w:vAlign w:val="center"/>
          </w:tcPr>
          <w:p>
            <w:pPr>
              <w:spacing w:after="0" w:line="240" w:lineRule="auto"/>
              <w:jc w:val="center"/>
            </w:pPr>
            <w:r>
              <w:rPr>
                <w:color w:val="FF0000"/>
                <w:sz w:val="14"/>
                <w:szCs w:val="14"/>
              </w:rPr>
              <w:t xml:space="preserve">V106I+F227C</w:t>
            </w:r>
          </w:p>
        </w:tc>
        <w:tc>
          <w:tcPr>
            <w:tcW w:w="1300" w:type="dxa"/>
            <w:vAlign w:val="center"/>
          </w:tcPr>
          <w:p>
            <w:pPr>
              <w:spacing w:after="0" w:line="240" w:lineRule="auto"/>
              <w:jc w:val="center"/>
            </w:pPr>
            <w:r>
              <w:rPr>
                <w:color w:val="FF0000"/>
                <w:sz w:val="14"/>
                <w:szCs w:val="14"/>
              </w:rPr>
              <w:t xml:space="preserve">ΔΔE elec</w:t>
            </w:r>
          </w:p>
        </w:tc>
        <w:tc>
          <w:tcPr>
            <w:tcW w:w="2200" w:type="dxa"/>
            <w:vAlign w:val="center"/>
          </w:tcPr>
          <w:p>
            <w:pPr>
              <w:spacing w:after="0" w:line="240" w:lineRule="auto"/>
              <w:jc w:val="center"/>
            </w:pPr>
            <w:r>
              <w:rPr>
                <w:color w:val="FF0000"/>
                <w:sz w:val="14"/>
                <w:szCs w:val="14"/>
              </w:rPr>
              <w:t xml:space="preserve">0.34 ± 0.35</w:t>
            </w:r>
          </w:p>
        </w:tc>
        <w:tc>
          <w:tcPr>
            <w:tcW w:w="2000" w:type="dxa"/>
            <w:vAlign w:val="center"/>
          </w:tcPr>
          <w:p>
            <w:pPr>
              <w:spacing w:after="0" w:line="240" w:lineRule="auto"/>
              <w:jc w:val="center"/>
            </w:pPr>
            <w:r>
              <w:rPr>
                <w:color w:val="FF0000"/>
                <w:sz w:val="14"/>
                <w:szCs w:val="14"/>
              </w:rPr>
              <w:t xml:space="preserve">0.67 ± 0.39</w:t>
            </w:r>
          </w:p>
        </w:tc>
        <w:tc>
          <w:tcPr>
            <w:tcW w:w="1800" w:type="dxa"/>
            <w:vAlign w:val="center"/>
          </w:tcPr>
          <w:p>
            <w:pPr>
              <w:spacing w:after="0" w:line="240" w:lineRule="auto"/>
              <w:jc w:val="center"/>
            </w:pPr>
            <w:r>
              <w:rPr>
                <w:color w:val="FF0000"/>
                <w:sz w:val="14"/>
                <w:szCs w:val="14"/>
              </w:rPr>
              <w:t xml:space="preserve">-0.05 ± 0.26</w:t>
            </w:r>
          </w:p>
        </w:tc>
      </w:tr>
      <w:tr>
        <w:tc>
          <w:tcPr>
            <w:tcW w:w="1500" w:type="dxa"/>
            <w:vAlign w:val="center"/>
          </w:tcPr>
          <w:p>
            <w:pPr>
              <w:spacing w:after="0" w:line="240" w:lineRule="auto"/>
              <w:jc w:val="center"/>
            </w:pPr>
            <w:r>
              <w:rPr>
                <w:color w:val="FF0000"/>
                <w:sz w:val="14"/>
                <w:szCs w:val="14"/>
              </w:rPr>
              <w:t xml:space="preserve">V106I+F227C</w:t>
            </w:r>
          </w:p>
        </w:tc>
        <w:tc>
          <w:tcPr>
            <w:tcW w:w="1300" w:type="dxa"/>
            <w:vAlign w:val="center"/>
          </w:tcPr>
          <w:p>
            <w:pPr>
              <w:spacing w:after="0" w:line="240" w:lineRule="auto"/>
              <w:jc w:val="center"/>
            </w:pPr>
            <w:r>
              <w:rPr>
                <w:color w:val="FF0000"/>
                <w:sz w:val="14"/>
                <w:szCs w:val="14"/>
              </w:rPr>
              <w:t xml:space="preserve">ΔΔE GB</w:t>
            </w:r>
          </w:p>
        </w:tc>
        <w:tc>
          <w:tcPr>
            <w:tcW w:w="2200" w:type="dxa"/>
            <w:vAlign w:val="center"/>
          </w:tcPr>
          <w:p>
            <w:pPr>
              <w:spacing w:after="0" w:line="240" w:lineRule="auto"/>
              <w:jc w:val="center"/>
            </w:pPr>
            <w:r>
              <w:rPr>
                <w:color w:val="FF0000"/>
                <w:sz w:val="14"/>
                <w:szCs w:val="14"/>
              </w:rPr>
              <w:t xml:space="preserve">0.45 ± 1.33</w:t>
            </w:r>
          </w:p>
        </w:tc>
        <w:tc>
          <w:tcPr>
            <w:tcW w:w="2000" w:type="dxa"/>
            <w:vAlign w:val="center"/>
          </w:tcPr>
          <w:p>
            <w:pPr>
              <w:spacing w:after="0" w:line="240" w:lineRule="auto"/>
              <w:jc w:val="center"/>
            </w:pPr>
            <w:r>
              <w:rPr>
                <w:color w:val="FF0000"/>
                <w:sz w:val="14"/>
                <w:szCs w:val="14"/>
              </w:rPr>
              <w:t xml:space="preserve">0.12 ± 0.87</w:t>
            </w:r>
          </w:p>
        </w:tc>
        <w:tc>
          <w:tcPr>
            <w:tcW w:w="1800" w:type="dxa"/>
            <w:vAlign w:val="center"/>
          </w:tcPr>
          <w:p>
            <w:pPr>
              <w:spacing w:after="0" w:line="240" w:lineRule="auto"/>
              <w:jc w:val="center"/>
            </w:pPr>
            <w:r>
              <w:rPr>
                <w:color w:val="FF0000"/>
                <w:sz w:val="14"/>
                <w:szCs w:val="14"/>
              </w:rPr>
              <w:t xml:space="preserve">-0.02 ± 0.26</w:t>
            </w:r>
          </w:p>
        </w:tc>
      </w:tr>
      <w:tr>
        <w:tc>
          <w:tcPr>
            <w:tcW w:w="1500" w:type="dxa"/>
            <w:vAlign w:val="center"/>
          </w:tcPr>
          <w:p>
            <w:pPr>
              <w:spacing w:after="0" w:line="240" w:lineRule="auto"/>
              <w:jc w:val="center"/>
            </w:pPr>
            <w:r>
              <w:rPr>
                <w:color w:val="FF0000"/>
                <w:sz w:val="14"/>
                <w:szCs w:val="14"/>
              </w:rPr>
              <w:t xml:space="preserve">Y188L</w:t>
            </w:r>
          </w:p>
        </w:tc>
        <w:tc>
          <w:tcPr>
            <w:tcW w:w="1300" w:type="dxa"/>
            <w:vAlign w:val="center"/>
          </w:tcPr>
          <w:p>
            <w:pPr>
              <w:spacing w:after="0" w:line="240" w:lineRule="auto"/>
              <w:jc w:val="center"/>
            </w:pPr>
            <w:r>
              <w:rPr>
                <w:color w:val="FF0000"/>
                <w:sz w:val="14"/>
                <w:szCs w:val="14"/>
              </w:rPr>
              <w:t xml:space="preserve">ΔΔE Total</w:t>
            </w:r>
          </w:p>
        </w:tc>
        <w:tc>
          <w:tcPr>
            <w:tcW w:w="2200" w:type="dxa"/>
            <w:vAlign w:val="center"/>
          </w:tcPr>
          <w:p>
            <w:pPr>
              <w:spacing w:after="0" w:line="240" w:lineRule="auto"/>
              <w:jc w:val="center"/>
            </w:pPr>
            <w:r>
              <w:rPr>
                <w:color w:val="FF0000"/>
                <w:sz w:val="14"/>
                <w:szCs w:val="14"/>
              </w:rPr>
              <w:t xml:space="preserve">7.16e+08 ± 7.2e+08</w:t>
            </w:r>
          </w:p>
        </w:tc>
        <w:tc>
          <w:tcPr>
            <w:tcW w:w="2000" w:type="dxa"/>
            <w:vAlign w:val="center"/>
          </w:tcPr>
          <w:p>
            <w:pPr>
              <w:spacing w:after="0" w:line="240" w:lineRule="auto"/>
              <w:jc w:val="center"/>
            </w:pPr>
            <w:r>
              <w:rPr>
                <w:color w:val="FF0000"/>
                <w:sz w:val="14"/>
                <w:szCs w:val="14"/>
              </w:rPr>
              <w:t xml:space="preserve">22.55 ± 26.51</w:t>
            </w:r>
          </w:p>
        </w:tc>
        <w:tc>
          <w:tcPr>
            <w:tcW w:w="1800" w:type="dxa"/>
            <w:vAlign w:val="center"/>
          </w:tcPr>
          <w:p>
            <w:pPr>
              <w:spacing w:after="0" w:line="240" w:lineRule="auto"/>
              <w:jc w:val="center"/>
            </w:pPr>
            <w:r>
              <w:rPr>
                <w:color w:val="FF0000"/>
                <w:sz w:val="14"/>
                <w:szCs w:val="14"/>
              </w:rPr>
              <w:t xml:space="preserve">2.78 ± 0.42</w:t>
            </w:r>
          </w:p>
        </w:tc>
      </w:tr>
      <w:tr>
        <w:tc>
          <w:tcPr>
            <w:tcW w:w="1500" w:type="dxa"/>
            <w:vAlign w:val="center"/>
          </w:tcPr>
          <w:p>
            <w:pPr>
              <w:spacing w:after="0" w:line="240" w:lineRule="auto"/>
              <w:jc w:val="center"/>
            </w:pPr>
            <w:r>
              <w:rPr>
                <w:color w:val="FF0000"/>
                <w:sz w:val="14"/>
                <w:szCs w:val="14"/>
              </w:rPr>
              <w:t xml:space="preserve">Y188L</w:t>
            </w:r>
          </w:p>
        </w:tc>
        <w:tc>
          <w:tcPr>
            <w:tcW w:w="1300" w:type="dxa"/>
            <w:vAlign w:val="center"/>
          </w:tcPr>
          <w:p>
            <w:pPr>
              <w:spacing w:after="0" w:line="240" w:lineRule="auto"/>
              <w:jc w:val="center"/>
            </w:pPr>
            <w:r>
              <w:rPr>
                <w:color w:val="FF0000"/>
                <w:sz w:val="14"/>
                <w:szCs w:val="14"/>
              </w:rPr>
              <w:t xml:space="preserve">ΔΔE vdW</w:t>
            </w:r>
          </w:p>
        </w:tc>
        <w:tc>
          <w:tcPr>
            <w:tcW w:w="2200" w:type="dxa"/>
            <w:vAlign w:val="center"/>
          </w:tcPr>
          <w:p>
            <w:pPr>
              <w:spacing w:after="0" w:line="240" w:lineRule="auto"/>
              <w:jc w:val="center"/>
            </w:pPr>
            <w:r>
              <w:rPr>
                <w:color w:val="FF0000"/>
                <w:sz w:val="14"/>
                <w:szCs w:val="14"/>
              </w:rPr>
              <w:t xml:space="preserve">7.16e+08 ± 7.2e+08</w:t>
            </w:r>
          </w:p>
        </w:tc>
        <w:tc>
          <w:tcPr>
            <w:tcW w:w="2000" w:type="dxa"/>
            <w:vAlign w:val="center"/>
          </w:tcPr>
          <w:p>
            <w:pPr>
              <w:spacing w:after="0" w:line="240" w:lineRule="auto"/>
              <w:jc w:val="center"/>
            </w:pPr>
            <w:r>
              <w:rPr>
                <w:color w:val="FF0000"/>
                <w:sz w:val="14"/>
                <w:szCs w:val="14"/>
              </w:rPr>
              <w:t xml:space="preserve">20.60 ± 24.55</w:t>
            </w:r>
          </w:p>
        </w:tc>
        <w:tc>
          <w:tcPr>
            <w:tcW w:w="1800" w:type="dxa"/>
            <w:vAlign w:val="center"/>
          </w:tcPr>
          <w:p>
            <w:pPr>
              <w:spacing w:after="0" w:line="240" w:lineRule="auto"/>
              <w:jc w:val="center"/>
            </w:pPr>
            <w:r>
              <w:rPr>
                <w:color w:val="FF0000"/>
                <w:sz w:val="14"/>
                <w:szCs w:val="14"/>
              </w:rPr>
              <w:t xml:space="preserve">2.25 ± 0.20</w:t>
            </w:r>
          </w:p>
        </w:tc>
      </w:tr>
      <w:tr>
        <w:tc>
          <w:tcPr>
            <w:tcW w:w="1500" w:type="dxa"/>
            <w:vAlign w:val="center"/>
          </w:tcPr>
          <w:p>
            <w:pPr>
              <w:spacing w:after="0" w:line="240" w:lineRule="auto"/>
              <w:jc w:val="center"/>
            </w:pPr>
            <w:r>
              <w:rPr>
                <w:color w:val="FF0000"/>
                <w:sz w:val="14"/>
                <w:szCs w:val="14"/>
              </w:rPr>
              <w:t xml:space="preserve">Y188L</w:t>
            </w:r>
          </w:p>
        </w:tc>
        <w:tc>
          <w:tcPr>
            <w:tcW w:w="1300" w:type="dxa"/>
            <w:vAlign w:val="center"/>
          </w:tcPr>
          <w:p>
            <w:pPr>
              <w:spacing w:after="0" w:line="240" w:lineRule="auto"/>
              <w:jc w:val="center"/>
            </w:pPr>
            <w:r>
              <w:rPr>
                <w:color w:val="FF0000"/>
                <w:sz w:val="14"/>
                <w:szCs w:val="14"/>
              </w:rPr>
              <w:t xml:space="preserve">ΔΔE elec</w:t>
            </w:r>
          </w:p>
        </w:tc>
        <w:tc>
          <w:tcPr>
            <w:tcW w:w="2200" w:type="dxa"/>
            <w:vAlign w:val="center"/>
          </w:tcPr>
          <w:p>
            <w:pPr>
              <w:spacing w:after="0" w:line="240" w:lineRule="auto"/>
              <w:jc w:val="center"/>
            </w:pPr>
            <w:r>
              <w:rPr>
                <w:color w:val="FF0000"/>
                <w:sz w:val="14"/>
                <w:szCs w:val="14"/>
              </w:rPr>
              <w:t xml:space="preserve">1.51 ± 1.30</w:t>
            </w:r>
          </w:p>
        </w:tc>
        <w:tc>
          <w:tcPr>
            <w:tcW w:w="2000" w:type="dxa"/>
            <w:vAlign w:val="center"/>
          </w:tcPr>
          <w:p>
            <w:pPr>
              <w:spacing w:after="0" w:line="240" w:lineRule="auto"/>
              <w:jc w:val="center"/>
            </w:pPr>
            <w:r>
              <w:rPr>
                <w:color w:val="FF0000"/>
                <w:sz w:val="14"/>
                <w:szCs w:val="14"/>
              </w:rPr>
              <w:t xml:space="preserve">1.82 ± 1.73</w:t>
            </w:r>
          </w:p>
        </w:tc>
        <w:tc>
          <w:tcPr>
            <w:tcW w:w="1800" w:type="dxa"/>
            <w:vAlign w:val="center"/>
          </w:tcPr>
          <w:p>
            <w:pPr>
              <w:spacing w:after="0" w:line="240" w:lineRule="auto"/>
              <w:jc w:val="center"/>
            </w:pPr>
            <w:r>
              <w:rPr>
                <w:color w:val="FF0000"/>
                <w:sz w:val="14"/>
                <w:szCs w:val="14"/>
              </w:rPr>
              <w:t xml:space="preserve">0.31 ± 0.26</w:t>
            </w:r>
          </w:p>
        </w:tc>
      </w:tr>
      <w:tr>
        <w:tc>
          <w:tcPr>
            <w:tcW w:w="1500" w:type="dxa"/>
            <w:vAlign w:val="center"/>
          </w:tcPr>
          <w:p>
            <w:pPr>
              <w:spacing w:after="0" w:line="240" w:lineRule="auto"/>
              <w:jc w:val="center"/>
            </w:pPr>
            <w:r>
              <w:rPr>
                <w:color w:val="FF0000"/>
                <w:sz w:val="14"/>
                <w:szCs w:val="14"/>
              </w:rPr>
              <w:t xml:space="preserve">Y188L</w:t>
            </w:r>
          </w:p>
        </w:tc>
        <w:tc>
          <w:tcPr>
            <w:tcW w:w="1300" w:type="dxa"/>
            <w:vAlign w:val="center"/>
          </w:tcPr>
          <w:p>
            <w:pPr>
              <w:spacing w:after="0" w:line="240" w:lineRule="auto"/>
              <w:jc w:val="center"/>
            </w:pPr>
            <w:r>
              <w:rPr>
                <w:color w:val="FF0000"/>
                <w:sz w:val="14"/>
                <w:szCs w:val="14"/>
              </w:rPr>
              <w:t xml:space="preserve">ΔΔE GB</w:t>
            </w:r>
          </w:p>
        </w:tc>
        <w:tc>
          <w:tcPr>
            <w:tcW w:w="2200" w:type="dxa"/>
            <w:vAlign w:val="center"/>
          </w:tcPr>
          <w:p>
            <w:pPr>
              <w:spacing w:after="0" w:line="240" w:lineRule="auto"/>
              <w:jc w:val="center"/>
            </w:pPr>
            <w:r>
              <w:rPr>
                <w:color w:val="FF0000"/>
                <w:sz w:val="14"/>
                <w:szCs w:val="14"/>
              </w:rPr>
              <w:t xml:space="preserve">0.94 ± 1.25</w:t>
            </w:r>
          </w:p>
        </w:tc>
        <w:tc>
          <w:tcPr>
            <w:tcW w:w="2000" w:type="dxa"/>
            <w:vAlign w:val="center"/>
          </w:tcPr>
          <w:p>
            <w:pPr>
              <w:spacing w:after="0" w:line="240" w:lineRule="auto"/>
              <w:jc w:val="center"/>
            </w:pPr>
            <w:r>
              <w:rPr>
                <w:color w:val="FF0000"/>
                <w:sz w:val="14"/>
                <w:szCs w:val="14"/>
              </w:rPr>
              <w:t xml:space="preserve">0.16 ± 0.22</w:t>
            </w:r>
          </w:p>
        </w:tc>
        <w:tc>
          <w:tcPr>
            <w:tcW w:w="1800" w:type="dxa"/>
            <w:vAlign w:val="center"/>
          </w:tcPr>
          <w:p>
            <w:pPr>
              <w:spacing w:after="0" w:line="240" w:lineRule="auto"/>
              <w:jc w:val="center"/>
            </w:pPr>
            <w:r>
              <w:rPr>
                <w:color w:val="FF0000"/>
                <w:sz w:val="14"/>
                <w:szCs w:val="14"/>
              </w:rPr>
              <w:t xml:space="preserve">0.26 ± 0.12</w:t>
            </w:r>
          </w:p>
        </w:tc>
      </w:tr>
    </w:tbl>
    <w:p>
      <w:pPr>
        <w:spacing w:after="0"/>
      </w:pPr>
    </w:p>
    <w:p>
      <w:pPr>
        <w:spacing w:after="200"/>
      </w:pPr>
      <w:r>
        <w:rPr>
          <w:color w:val="FF0000"/>
        </w:rPr>
        <w:t xml:space="preserve">Supplementary Note 4. Sensitivity of the MM/GBSA energies to snapshot relaxation. Each snapshot is energy-minimized before its energy is evaluated. We compared three treatments on six genotypes: no relaxation, hydrogen atoms only with heavy atoms restrained, and the full minimization used in the main text. Supplementary Table 5 gives ΔΔETotal and its components under all three. The differences between the three treatments fall almost entirely in the van der Waals term. The electrostatic and polar solvation terms agree to within 1 to 2 kcal/mol across all three. Without relaxation the van der Waals term is dominated by close atomic contacts in the stored snapshots, and ΔΔETotal reaches values as large as 7 × 10⁸ kcal/mol. The effect depends on the genotype. In wild type, none of the 100 scored snapshots gives a value above +100 kcal/mol; in G190E, half of them do. Hydrogen-only relaxation reduces these contacts but does not remove them, and leaves replicate standard errors of 6.9 to 26.5 kcal/mol, which are larger than the shifts being measured. With full minimization the replicate standard errors are 0.13 to 0.54 kcal/mol. Full minimization may also shift the individual components, and these data cannot separate that from the reduction in noise.</w:t>
      </w:r>
    </w:p>
    <w:p>
      <w:pPr>
        <w:spacing w:after="200"/>
      </w:pPr>
      <w:r>
        <w:rPr>
          <w:color w:val="FF0000"/>
        </w:rP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pPr>
        <w:spacing w:after="200"/>
      </w:pPr>
      <w:r>
        <w:rPr>
          <w:color w:val="FF0000"/>
        </w:rPr>
        <w:t xml:space="preserve">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pPr>
        <w:spacing w:after="200"/>
      </w:pPr>
      <w:r>
        <w:rPr>
          <w:color w:val="FF0000"/>
        </w:rPr>
        <w:t xml:space="preserve">Supplementary Table 6. Effect of the ligand charge model on WT-referenced MM/GBSA energies. The same trajectories and snapshots re-scored with Gasteiger and with AM1-BCC partial charges, three replicates per genotype. Values are kcal/mol, mean ± SEM over replicates.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00"/>
        <w:gridCol w:w="1500"/>
        <w:gridCol w:w="2000"/>
        <w:gridCol w:w="2000"/>
        <w:gridCol w:w="1400"/>
      </w:tblGrid>
      <w:tr>
        <w:trPr>
          <w:tblHeader/>
        </w:trPr>
        <w:tc>
          <w:tcPr>
            <w:tcW w:w="1700" w:type="dxa"/>
            <w:vAlign w:val="center"/>
          </w:tcPr>
          <w:p>
            <w:pPr>
              <w:spacing w:after="0" w:line="240" w:lineRule="auto"/>
              <w:jc w:val="center"/>
            </w:pPr>
            <w:r>
              <w:rPr>
                <w:b/>
                <w:sz w:val="16"/>
                <w:szCs w:val="16"/>
              </w:rPr>
              <w:t xml:space="preserve">Genotype</w:t>
            </w:r>
          </w:p>
        </w:tc>
        <w:tc>
          <w:tcPr>
            <w:tcW w:w="1500" w:type="dxa"/>
            <w:vAlign w:val="center"/>
          </w:tcPr>
          <w:p>
            <w:pPr>
              <w:spacing w:after="0" w:line="240" w:lineRule="auto"/>
              <w:jc w:val="center"/>
            </w:pPr>
            <w:r>
              <w:rPr>
                <w:b/>
                <w:sz w:val="16"/>
                <w:szCs w:val="16"/>
              </w:rPr>
              <w:t xml:space="preserve">Component</w:t>
            </w:r>
          </w:p>
        </w:tc>
        <w:tc>
          <w:tcPr>
            <w:tcW w:w="2000" w:type="dxa"/>
            <w:vAlign w:val="center"/>
          </w:tcPr>
          <w:p>
            <w:pPr>
              <w:spacing w:after="0" w:line="240" w:lineRule="auto"/>
              <w:jc w:val="center"/>
            </w:pPr>
            <w:r>
              <w:rPr>
                <w:b/>
                <w:sz w:val="16"/>
                <w:szCs w:val="16"/>
              </w:rPr>
              <w:t xml:space="preserve">Gasteiger</w:t>
            </w:r>
          </w:p>
        </w:tc>
        <w:tc>
          <w:tcPr>
            <w:tcW w:w="2000" w:type="dxa"/>
            <w:vAlign w:val="center"/>
          </w:tcPr>
          <w:p>
            <w:pPr>
              <w:spacing w:after="0" w:line="240" w:lineRule="auto"/>
              <w:jc w:val="center"/>
            </w:pPr>
            <w:r>
              <w:rPr>
                <w:b/>
                <w:sz w:val="16"/>
                <w:szCs w:val="16"/>
              </w:rPr>
              <w:t xml:space="preserve">AM1-BCC</w:t>
            </w:r>
          </w:p>
        </w:tc>
        <w:tc>
          <w:tcPr>
            <w:tcW w:w="1400" w:type="dxa"/>
            <w:vAlign w:val="center"/>
          </w:tcPr>
          <w:p>
            <w:pPr>
              <w:spacing w:after="0" w:line="240" w:lineRule="auto"/>
              <w:jc w:val="center"/>
            </w:pPr>
            <w:r>
              <w:rPr>
                <w:b/>
                <w:sz w:val="16"/>
                <w:szCs w:val="16"/>
              </w:rPr>
              <w:t xml:space="preserve">Difference</w:t>
            </w:r>
          </w:p>
        </w:tc>
      </w:tr>
      <w:tr>
        <w:tc>
          <w:tcPr>
            <w:tcW w:w="1700" w:type="dxa"/>
            <w:vAlign w:val="center"/>
          </w:tcPr>
          <w:p>
            <w:pPr>
              <w:spacing w:after="0" w:line="240" w:lineRule="auto"/>
              <w:jc w:val="center"/>
            </w:pPr>
            <w:r>
              <w:rPr>
                <w:color w:val="FF0000"/>
                <w:sz w:val="16"/>
                <w:szCs w:val="16"/>
              </w:rPr>
              <w:t xml:space="preserve">V106A</w:t>
            </w:r>
          </w:p>
        </w:tc>
        <w:tc>
          <w:tcPr>
            <w:tcW w:w="1500" w:type="dxa"/>
            <w:vAlign w:val="center"/>
          </w:tcPr>
          <w:p>
            <w:pPr>
              <w:spacing w:after="0" w:line="240" w:lineRule="auto"/>
              <w:jc w:val="center"/>
            </w:pPr>
            <w:r>
              <w:rPr>
                <w:color w:val="FF0000"/>
                <w:sz w:val="16"/>
                <w:szCs w:val="16"/>
              </w:rPr>
              <w:t xml:space="preserve">ΔΔE Total</w:t>
            </w:r>
          </w:p>
        </w:tc>
        <w:tc>
          <w:tcPr>
            <w:tcW w:w="2000" w:type="dxa"/>
            <w:vAlign w:val="center"/>
          </w:tcPr>
          <w:p>
            <w:pPr>
              <w:spacing w:after="0" w:line="240" w:lineRule="auto"/>
              <w:jc w:val="center"/>
            </w:pPr>
            <w:r>
              <w:rPr>
                <w:color w:val="FF0000"/>
                <w:sz w:val="16"/>
                <w:szCs w:val="16"/>
              </w:rPr>
              <w:t xml:space="preserve">1.73 ± 0.41</w:t>
            </w:r>
          </w:p>
        </w:tc>
        <w:tc>
          <w:tcPr>
            <w:tcW w:w="2000" w:type="dxa"/>
            <w:vAlign w:val="center"/>
          </w:tcPr>
          <w:p>
            <w:pPr>
              <w:spacing w:after="0" w:line="240" w:lineRule="auto"/>
              <w:jc w:val="center"/>
            </w:pPr>
            <w:r>
              <w:rPr>
                <w:color w:val="FF0000"/>
                <w:sz w:val="16"/>
                <w:szCs w:val="16"/>
              </w:rPr>
              <w:t xml:space="preserve">2.54 ± 0.55</w:t>
            </w:r>
          </w:p>
        </w:tc>
        <w:tc>
          <w:tcPr>
            <w:tcW w:w="1400" w:type="dxa"/>
            <w:vAlign w:val="center"/>
          </w:tcPr>
          <w:p>
            <w:pPr>
              <w:spacing w:after="0" w:line="240" w:lineRule="auto"/>
              <w:jc w:val="center"/>
            </w:pPr>
            <w:r>
              <w:rPr>
                <w:color w:val="FF0000"/>
                <w:sz w:val="16"/>
                <w:szCs w:val="16"/>
              </w:rPr>
              <w:t xml:space="preserve">+0.81</w:t>
            </w:r>
          </w:p>
        </w:tc>
      </w:tr>
      <w:tr>
        <w:tc>
          <w:tcPr>
            <w:tcW w:w="1700" w:type="dxa"/>
            <w:vAlign w:val="center"/>
          </w:tcPr>
          <w:p>
            <w:pPr>
              <w:spacing w:after="0" w:line="240" w:lineRule="auto"/>
              <w:jc w:val="center"/>
            </w:pPr>
            <w:r>
              <w:rPr>
                <w:color w:val="FF0000"/>
                <w:sz w:val="16"/>
                <w:szCs w:val="16"/>
              </w:rPr>
              <w:t xml:space="preserve">V106A</w:t>
            </w:r>
          </w:p>
        </w:tc>
        <w:tc>
          <w:tcPr>
            <w:tcW w:w="1500" w:type="dxa"/>
            <w:vAlign w:val="center"/>
          </w:tcPr>
          <w:p>
            <w:pPr>
              <w:spacing w:after="0" w:line="240" w:lineRule="auto"/>
              <w:jc w:val="center"/>
            </w:pPr>
            <w:r>
              <w:rPr>
                <w:color w:val="FF0000"/>
                <w:sz w:val="16"/>
                <w:szCs w:val="16"/>
              </w:rPr>
              <w:t xml:space="preserve">ΔΔE vdW</w:t>
            </w:r>
          </w:p>
        </w:tc>
        <w:tc>
          <w:tcPr>
            <w:tcW w:w="2000" w:type="dxa"/>
            <w:vAlign w:val="center"/>
          </w:tcPr>
          <w:p>
            <w:pPr>
              <w:spacing w:after="0" w:line="240" w:lineRule="auto"/>
              <w:jc w:val="center"/>
            </w:pPr>
            <w:r>
              <w:rPr>
                <w:color w:val="FF0000"/>
                <w:sz w:val="16"/>
                <w:szCs w:val="16"/>
              </w:rPr>
              <w:t xml:space="preserve">0.73 ± 0.20</w:t>
            </w:r>
          </w:p>
        </w:tc>
        <w:tc>
          <w:tcPr>
            <w:tcW w:w="2000" w:type="dxa"/>
            <w:vAlign w:val="center"/>
          </w:tcPr>
          <w:p>
            <w:pPr>
              <w:spacing w:after="0" w:line="240" w:lineRule="auto"/>
              <w:jc w:val="center"/>
            </w:pPr>
            <w:r>
              <w:rPr>
                <w:color w:val="FF0000"/>
                <w:sz w:val="16"/>
                <w:szCs w:val="16"/>
              </w:rPr>
              <w:t xml:space="preserve">1.02 ± 0.20</w:t>
            </w:r>
          </w:p>
        </w:tc>
        <w:tc>
          <w:tcPr>
            <w:tcW w:w="1400" w:type="dxa"/>
            <w:vAlign w:val="center"/>
          </w:tcPr>
          <w:p>
            <w:pPr>
              <w:spacing w:after="0" w:line="240" w:lineRule="auto"/>
              <w:jc w:val="center"/>
            </w:pPr>
            <w:r>
              <w:rPr>
                <w:color w:val="FF0000"/>
                <w:sz w:val="16"/>
                <w:szCs w:val="16"/>
              </w:rPr>
              <w:t xml:space="preserve">+0.29</w:t>
            </w:r>
          </w:p>
        </w:tc>
      </w:tr>
      <w:tr>
        <w:tc>
          <w:tcPr>
            <w:tcW w:w="1700" w:type="dxa"/>
            <w:vAlign w:val="center"/>
          </w:tcPr>
          <w:p>
            <w:pPr>
              <w:spacing w:after="0" w:line="240" w:lineRule="auto"/>
              <w:jc w:val="center"/>
            </w:pPr>
            <w:r>
              <w:rPr>
                <w:color w:val="FF0000"/>
                <w:sz w:val="16"/>
                <w:szCs w:val="16"/>
              </w:rPr>
              <w:t xml:space="preserve">V106A</w:t>
            </w:r>
          </w:p>
        </w:tc>
        <w:tc>
          <w:tcPr>
            <w:tcW w:w="1500" w:type="dxa"/>
            <w:vAlign w:val="center"/>
          </w:tcPr>
          <w:p>
            <w:pPr>
              <w:spacing w:after="0" w:line="240" w:lineRule="auto"/>
              <w:jc w:val="center"/>
            </w:pPr>
            <w:r>
              <w:rPr>
                <w:color w:val="FF0000"/>
                <w:sz w:val="16"/>
                <w:szCs w:val="16"/>
              </w:rPr>
              <w:t xml:space="preserve">ΔΔE elec</w:t>
            </w:r>
          </w:p>
        </w:tc>
        <w:tc>
          <w:tcPr>
            <w:tcW w:w="2000" w:type="dxa"/>
            <w:vAlign w:val="center"/>
          </w:tcPr>
          <w:p>
            <w:pPr>
              <w:spacing w:after="0" w:line="240" w:lineRule="auto"/>
              <w:jc w:val="center"/>
            </w:pPr>
            <w:r>
              <w:rPr>
                <w:color w:val="FF0000"/>
                <w:sz w:val="16"/>
                <w:szCs w:val="16"/>
              </w:rPr>
              <w:t xml:space="preserve">-0.07 ± 0.77</w:t>
            </w:r>
          </w:p>
        </w:tc>
        <w:tc>
          <w:tcPr>
            <w:tcW w:w="2000" w:type="dxa"/>
            <w:vAlign w:val="center"/>
          </w:tcPr>
          <w:p>
            <w:pPr>
              <w:spacing w:after="0" w:line="240" w:lineRule="auto"/>
              <w:jc w:val="center"/>
            </w:pPr>
            <w:r>
              <w:rPr>
                <w:color w:val="FF0000"/>
                <w:sz w:val="16"/>
                <w:szCs w:val="16"/>
              </w:rPr>
              <w:t xml:space="preserve">-0.88 ± 1.51</w:t>
            </w:r>
          </w:p>
        </w:tc>
        <w:tc>
          <w:tcPr>
            <w:tcW w:w="1400" w:type="dxa"/>
            <w:vAlign w:val="center"/>
          </w:tcPr>
          <w:p>
            <w:pPr>
              <w:spacing w:after="0" w:line="240" w:lineRule="auto"/>
              <w:jc w:val="center"/>
            </w:pPr>
            <w:r>
              <w:rPr>
                <w:color w:val="FF0000"/>
                <w:sz w:val="16"/>
                <w:szCs w:val="16"/>
              </w:rPr>
              <w:t xml:space="preserve">-0.81</w:t>
            </w:r>
          </w:p>
        </w:tc>
      </w:tr>
      <w:tr>
        <w:tc>
          <w:tcPr>
            <w:tcW w:w="1700" w:type="dxa"/>
            <w:vAlign w:val="center"/>
          </w:tcPr>
          <w:p>
            <w:pPr>
              <w:spacing w:after="0" w:line="240" w:lineRule="auto"/>
              <w:jc w:val="center"/>
            </w:pPr>
            <w:r>
              <w:rPr>
                <w:color w:val="FF0000"/>
                <w:sz w:val="16"/>
                <w:szCs w:val="16"/>
              </w:rPr>
              <w:t xml:space="preserve">V106A</w:t>
            </w:r>
          </w:p>
        </w:tc>
        <w:tc>
          <w:tcPr>
            <w:tcW w:w="1500" w:type="dxa"/>
            <w:vAlign w:val="center"/>
          </w:tcPr>
          <w:p>
            <w:pPr>
              <w:spacing w:after="0" w:line="240" w:lineRule="auto"/>
              <w:jc w:val="center"/>
            </w:pPr>
            <w:r>
              <w:rPr>
                <w:color w:val="FF0000"/>
                <w:sz w:val="16"/>
                <w:szCs w:val="16"/>
              </w:rPr>
              <w:t xml:space="preserve">ΔΔE GB</w:t>
            </w:r>
          </w:p>
        </w:tc>
        <w:tc>
          <w:tcPr>
            <w:tcW w:w="2000" w:type="dxa"/>
            <w:vAlign w:val="center"/>
          </w:tcPr>
          <w:p>
            <w:pPr>
              <w:spacing w:after="0" w:line="240" w:lineRule="auto"/>
              <w:jc w:val="center"/>
            </w:pPr>
            <w:r>
              <w:rPr>
                <w:color w:val="FF0000"/>
                <w:sz w:val="16"/>
                <w:szCs w:val="16"/>
              </w:rPr>
              <w:t xml:space="preserve">1.05 ± 0.64</w:t>
            </w:r>
          </w:p>
        </w:tc>
        <w:tc>
          <w:tcPr>
            <w:tcW w:w="2000" w:type="dxa"/>
            <w:vAlign w:val="center"/>
          </w:tcPr>
          <w:p>
            <w:pPr>
              <w:spacing w:after="0" w:line="240" w:lineRule="auto"/>
              <w:jc w:val="center"/>
            </w:pPr>
            <w:r>
              <w:rPr>
                <w:color w:val="FF0000"/>
                <w:sz w:val="16"/>
                <w:szCs w:val="16"/>
              </w:rPr>
              <w:t xml:space="preserve">2.37 ± 1.16</w:t>
            </w:r>
          </w:p>
        </w:tc>
        <w:tc>
          <w:tcPr>
            <w:tcW w:w="1400" w:type="dxa"/>
            <w:vAlign w:val="center"/>
          </w:tcPr>
          <w:p>
            <w:pPr>
              <w:spacing w:after="0" w:line="240" w:lineRule="auto"/>
              <w:jc w:val="center"/>
            </w:pPr>
            <w:r>
              <w:rPr>
                <w:color w:val="FF0000"/>
                <w:sz w:val="16"/>
                <w:szCs w:val="16"/>
              </w:rPr>
              <w:t xml:space="preserve">+1.32</w:t>
            </w:r>
          </w:p>
        </w:tc>
      </w:tr>
      <w:tr>
        <w:tc>
          <w:tcPr>
            <w:tcW w:w="1700" w:type="dxa"/>
            <w:vAlign w:val="center"/>
          </w:tcPr>
          <w:p>
            <w:pPr>
              <w:spacing w:after="0" w:line="240" w:lineRule="auto"/>
              <w:jc w:val="center"/>
            </w:pPr>
            <w:r>
              <w:rPr>
                <w:color w:val="FF0000"/>
                <w:sz w:val="16"/>
                <w:szCs w:val="16"/>
              </w:rPr>
              <w:t xml:space="preserve">Y188L</w:t>
            </w:r>
          </w:p>
        </w:tc>
        <w:tc>
          <w:tcPr>
            <w:tcW w:w="1500" w:type="dxa"/>
            <w:vAlign w:val="center"/>
          </w:tcPr>
          <w:p>
            <w:pPr>
              <w:spacing w:after="0" w:line="240" w:lineRule="auto"/>
              <w:jc w:val="center"/>
            </w:pPr>
            <w:r>
              <w:rPr>
                <w:color w:val="FF0000"/>
                <w:sz w:val="16"/>
                <w:szCs w:val="16"/>
              </w:rPr>
              <w:t xml:space="preserve">ΔΔE Total</w:t>
            </w:r>
          </w:p>
        </w:tc>
        <w:tc>
          <w:tcPr>
            <w:tcW w:w="2000" w:type="dxa"/>
            <w:vAlign w:val="center"/>
          </w:tcPr>
          <w:p>
            <w:pPr>
              <w:spacing w:after="0" w:line="240" w:lineRule="auto"/>
              <w:jc w:val="center"/>
            </w:pPr>
            <w:r>
              <w:rPr>
                <w:color w:val="FF0000"/>
                <w:sz w:val="16"/>
                <w:szCs w:val="16"/>
              </w:rPr>
              <w:t xml:space="preserve">2.78 ± 0.42</w:t>
            </w:r>
          </w:p>
        </w:tc>
        <w:tc>
          <w:tcPr>
            <w:tcW w:w="2000" w:type="dxa"/>
            <w:vAlign w:val="center"/>
          </w:tcPr>
          <w:p>
            <w:pPr>
              <w:spacing w:after="0" w:line="240" w:lineRule="auto"/>
              <w:jc w:val="center"/>
            </w:pPr>
            <w:r>
              <w:rPr>
                <w:color w:val="FF0000"/>
                <w:sz w:val="16"/>
                <w:szCs w:val="16"/>
              </w:rPr>
              <w:t xml:space="preserve">2.34 ± 0.14</w:t>
            </w:r>
          </w:p>
        </w:tc>
        <w:tc>
          <w:tcPr>
            <w:tcW w:w="1400" w:type="dxa"/>
            <w:vAlign w:val="center"/>
          </w:tcPr>
          <w:p>
            <w:pPr>
              <w:spacing w:after="0" w:line="240" w:lineRule="auto"/>
              <w:jc w:val="center"/>
            </w:pPr>
            <w:r>
              <w:rPr>
                <w:color w:val="FF0000"/>
                <w:sz w:val="16"/>
                <w:szCs w:val="16"/>
              </w:rPr>
              <w:t xml:space="preserve">-0.45</w:t>
            </w:r>
          </w:p>
        </w:tc>
      </w:tr>
      <w:tr>
        <w:tc>
          <w:tcPr>
            <w:tcW w:w="1700" w:type="dxa"/>
            <w:vAlign w:val="center"/>
          </w:tcPr>
          <w:p>
            <w:pPr>
              <w:spacing w:after="0" w:line="240" w:lineRule="auto"/>
              <w:jc w:val="center"/>
            </w:pPr>
            <w:r>
              <w:rPr>
                <w:color w:val="FF0000"/>
                <w:sz w:val="16"/>
                <w:szCs w:val="16"/>
              </w:rPr>
              <w:t xml:space="preserve">Y188L</w:t>
            </w:r>
          </w:p>
        </w:tc>
        <w:tc>
          <w:tcPr>
            <w:tcW w:w="1500" w:type="dxa"/>
            <w:vAlign w:val="center"/>
          </w:tcPr>
          <w:p>
            <w:pPr>
              <w:spacing w:after="0" w:line="240" w:lineRule="auto"/>
              <w:jc w:val="center"/>
            </w:pPr>
            <w:r>
              <w:rPr>
                <w:color w:val="FF0000"/>
                <w:sz w:val="16"/>
                <w:szCs w:val="16"/>
              </w:rPr>
              <w:t xml:space="preserve">ΔΔE vdW</w:t>
            </w:r>
          </w:p>
        </w:tc>
        <w:tc>
          <w:tcPr>
            <w:tcW w:w="2000" w:type="dxa"/>
            <w:vAlign w:val="center"/>
          </w:tcPr>
          <w:p>
            <w:pPr>
              <w:spacing w:after="0" w:line="240" w:lineRule="auto"/>
              <w:jc w:val="center"/>
            </w:pPr>
            <w:r>
              <w:rPr>
                <w:color w:val="FF0000"/>
                <w:sz w:val="16"/>
                <w:szCs w:val="16"/>
              </w:rPr>
              <w:t xml:space="preserve">2.25 ± 0.20</w:t>
            </w:r>
          </w:p>
        </w:tc>
        <w:tc>
          <w:tcPr>
            <w:tcW w:w="2000" w:type="dxa"/>
            <w:vAlign w:val="center"/>
          </w:tcPr>
          <w:p>
            <w:pPr>
              <w:spacing w:after="0" w:line="240" w:lineRule="auto"/>
              <w:jc w:val="center"/>
            </w:pPr>
            <w:r>
              <w:rPr>
                <w:color w:val="FF0000"/>
                <w:sz w:val="16"/>
                <w:szCs w:val="16"/>
              </w:rPr>
              <w:t xml:space="preserve">2.48 ± 0.23</w:t>
            </w:r>
          </w:p>
        </w:tc>
        <w:tc>
          <w:tcPr>
            <w:tcW w:w="1400" w:type="dxa"/>
            <w:vAlign w:val="center"/>
          </w:tcPr>
          <w:p>
            <w:pPr>
              <w:spacing w:after="0" w:line="240" w:lineRule="auto"/>
              <w:jc w:val="center"/>
            </w:pPr>
            <w:r>
              <w:rPr>
                <w:color w:val="FF0000"/>
                <w:sz w:val="16"/>
                <w:szCs w:val="16"/>
              </w:rPr>
              <w:t xml:space="preserve">+0.23</w:t>
            </w:r>
          </w:p>
        </w:tc>
      </w:tr>
      <w:tr>
        <w:tc>
          <w:tcPr>
            <w:tcW w:w="1700" w:type="dxa"/>
            <w:vAlign w:val="center"/>
          </w:tcPr>
          <w:p>
            <w:pPr>
              <w:spacing w:after="0" w:line="240" w:lineRule="auto"/>
              <w:jc w:val="center"/>
            </w:pPr>
            <w:r>
              <w:rPr>
                <w:color w:val="FF0000"/>
                <w:sz w:val="16"/>
                <w:szCs w:val="16"/>
              </w:rPr>
              <w:t xml:space="preserve">Y188L</w:t>
            </w:r>
          </w:p>
        </w:tc>
        <w:tc>
          <w:tcPr>
            <w:tcW w:w="1500" w:type="dxa"/>
            <w:vAlign w:val="center"/>
          </w:tcPr>
          <w:p>
            <w:pPr>
              <w:spacing w:after="0" w:line="240" w:lineRule="auto"/>
              <w:jc w:val="center"/>
            </w:pPr>
            <w:r>
              <w:rPr>
                <w:color w:val="FF0000"/>
                <w:sz w:val="16"/>
                <w:szCs w:val="16"/>
              </w:rPr>
              <w:t xml:space="preserve">ΔΔE elec</w:t>
            </w:r>
          </w:p>
        </w:tc>
        <w:tc>
          <w:tcPr>
            <w:tcW w:w="2000" w:type="dxa"/>
            <w:vAlign w:val="center"/>
          </w:tcPr>
          <w:p>
            <w:pPr>
              <w:spacing w:after="0" w:line="240" w:lineRule="auto"/>
              <w:jc w:val="center"/>
            </w:pPr>
            <w:r>
              <w:rPr>
                <w:color w:val="FF0000"/>
                <w:sz w:val="16"/>
                <w:szCs w:val="16"/>
              </w:rPr>
              <w:t xml:space="preserve">0.31 ± 0.26</w:t>
            </w:r>
          </w:p>
        </w:tc>
        <w:tc>
          <w:tcPr>
            <w:tcW w:w="2000" w:type="dxa"/>
            <w:vAlign w:val="center"/>
          </w:tcPr>
          <w:p>
            <w:pPr>
              <w:spacing w:after="0" w:line="240" w:lineRule="auto"/>
              <w:jc w:val="center"/>
            </w:pPr>
            <w:r>
              <w:rPr>
                <w:color w:val="FF0000"/>
                <w:sz w:val="16"/>
                <w:szCs w:val="16"/>
              </w:rPr>
              <w:t xml:space="preserve">-0.85 ± 0.38</w:t>
            </w:r>
          </w:p>
        </w:tc>
        <w:tc>
          <w:tcPr>
            <w:tcW w:w="1400" w:type="dxa"/>
            <w:vAlign w:val="center"/>
          </w:tcPr>
          <w:p>
            <w:pPr>
              <w:spacing w:after="0" w:line="240" w:lineRule="auto"/>
              <w:jc w:val="center"/>
            </w:pPr>
            <w:r>
              <w:rPr>
                <w:color w:val="FF0000"/>
                <w:sz w:val="16"/>
                <w:szCs w:val="16"/>
              </w:rPr>
              <w:t xml:space="preserve">-1.17</w:t>
            </w:r>
          </w:p>
        </w:tc>
      </w:tr>
      <w:tr>
        <w:tc>
          <w:tcPr>
            <w:tcW w:w="1700" w:type="dxa"/>
            <w:vAlign w:val="center"/>
          </w:tcPr>
          <w:p>
            <w:pPr>
              <w:spacing w:after="0" w:line="240" w:lineRule="auto"/>
              <w:jc w:val="center"/>
            </w:pPr>
            <w:r>
              <w:rPr>
                <w:color w:val="FF0000"/>
                <w:sz w:val="16"/>
                <w:szCs w:val="16"/>
              </w:rPr>
              <w:t xml:space="preserve">Y188L</w:t>
            </w:r>
          </w:p>
        </w:tc>
        <w:tc>
          <w:tcPr>
            <w:tcW w:w="1500" w:type="dxa"/>
            <w:vAlign w:val="center"/>
          </w:tcPr>
          <w:p>
            <w:pPr>
              <w:spacing w:after="0" w:line="240" w:lineRule="auto"/>
              <w:jc w:val="center"/>
            </w:pPr>
            <w:r>
              <w:rPr>
                <w:color w:val="FF0000"/>
                <w:sz w:val="16"/>
                <w:szCs w:val="16"/>
              </w:rPr>
              <w:t xml:space="preserve">ΔΔE GB</w:t>
            </w:r>
          </w:p>
        </w:tc>
        <w:tc>
          <w:tcPr>
            <w:tcW w:w="2000" w:type="dxa"/>
            <w:vAlign w:val="center"/>
          </w:tcPr>
          <w:p>
            <w:pPr>
              <w:spacing w:after="0" w:line="240" w:lineRule="auto"/>
              <w:jc w:val="center"/>
            </w:pPr>
            <w:r>
              <w:rPr>
                <w:color w:val="FF0000"/>
                <w:sz w:val="16"/>
                <w:szCs w:val="16"/>
              </w:rPr>
              <w:t xml:space="preserve">0.26 ± 0.12</w:t>
            </w:r>
          </w:p>
        </w:tc>
        <w:tc>
          <w:tcPr>
            <w:tcW w:w="2000" w:type="dxa"/>
            <w:vAlign w:val="center"/>
          </w:tcPr>
          <w:p>
            <w:pPr>
              <w:spacing w:after="0" w:line="240" w:lineRule="auto"/>
              <w:jc w:val="center"/>
            </w:pPr>
            <w:r>
              <w:rPr>
                <w:color w:val="FF0000"/>
                <w:sz w:val="16"/>
                <w:szCs w:val="16"/>
              </w:rPr>
              <w:t xml:space="preserve">0.74 ± 0.14</w:t>
            </w:r>
          </w:p>
        </w:tc>
        <w:tc>
          <w:tcPr>
            <w:tcW w:w="1400" w:type="dxa"/>
            <w:vAlign w:val="center"/>
          </w:tcPr>
          <w:p>
            <w:pPr>
              <w:spacing w:after="0" w:line="240" w:lineRule="auto"/>
              <w:jc w:val="center"/>
            </w:pPr>
            <w:r>
              <w:rPr>
                <w:color w:val="FF0000"/>
                <w:sz w:val="16"/>
                <w:szCs w:val="16"/>
              </w:rPr>
              <w:t xml:space="preserve">+0.48</w:t>
            </w:r>
          </w:p>
        </w:tc>
      </w:tr>
    </w:tbl>
    <w:p>
      <w:pPr>
        <w:spacing w:after="0"/>
      </w:pPr>
    </w:p>
    <w:p>
      <w:pPr>
        <w:spacing w:after="200"/>
      </w:pPr>
      <w:r>
        <w:rPr>
          <w:color w:val="FF0000"/>
        </w:rPr>
        <w:t xml:space="preserve">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pPr>
        <w:spacing w:after="200"/>
      </w:pPr>
      <w:r>
        <w:rPr>
          <w:color w:val="FF0000"/>
        </w:rPr>
        <w:t xml:space="preserve">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pPr>
        <w:spacing w:after="200"/>
      </w:pPr>
      <w:r>
        <w:rPr>
          <w:color w:val="FF0000"/>
        </w:rPr>
        <w:t xml:space="preserve">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pPr>
        <w:spacing w:after="200"/>
      </w:pPr>
      <w:r>
        <w:rPr>
          <w:color w:val="FF0000"/>
        </w:rPr>
        <w:t xml:space="preserve">Supplementary Note 3.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pPr>
        <w:spacing w:after="200"/>
      </w:pPr>
      <w:r>
        <w:rPr>
          <w:color w:val="FF0000"/>
        </w:rPr>
        <w:t xml:space="preserve">Supplementary Table 7. Unliganded (apo) and bound (holo) NNIBP pocket volume. Apo values are the mean ± SD over the matched 10 ns window across three replicates; holo values are the replicate means from Table 3. The induced-fit gap is holo minus apo. Genotypes are ordered by apo pocket volume.</w:t>
      </w:r>
      <w:r>
        <w:rPr>
          <w:color w:val="FF0000"/>
        </w:rPr>
        <w:t xml:space="preserve"> *In all three G190E apo simulations RT became extended after 18.5 ns or later, and the trajectories were not usable past that point. The value shown comes from the matched 10 ns window, which precedes the change in every replicate.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00"/>
        <w:gridCol w:w="1100"/>
        <w:gridCol w:w="1800"/>
        <w:gridCol w:w="1700"/>
        <w:gridCol w:w="1700"/>
        <w:gridCol w:w="1500"/>
      </w:tblGrid>
      <w:tr>
        <w:trPr>
          <w:tblHeader/>
        </w:trPr>
        <w:tc>
          <w:tcPr>
            <w:tcW w:w="1700" w:type="dxa"/>
            <w:vAlign w:val="center"/>
          </w:tcPr>
          <w:p>
            <w:pPr>
              <w:spacing w:after="0" w:line="240" w:lineRule="auto"/>
              <w:jc w:val="center"/>
            </w:pPr>
            <w:r>
              <w:rPr>
                <w:b/>
                <w:sz w:val="16"/>
                <w:szCs w:val="16"/>
              </w:rPr>
              <w:t xml:space="preserve">Genotype</w:t>
            </w:r>
          </w:p>
        </w:tc>
        <w:tc>
          <w:tcPr>
            <w:tcW w:w="1100" w:type="dxa"/>
            <w:vAlign w:val="center"/>
          </w:tcPr>
          <w:p>
            <w:pPr>
              <w:spacing w:after="0" w:line="240" w:lineRule="auto"/>
              <w:jc w:val="center"/>
            </w:pPr>
            <w:r>
              <w:rPr>
                <w:b/>
                <w:sz w:val="16"/>
                <w:szCs w:val="16"/>
              </w:rPr>
              <w:t xml:space="preserve">Replicates</w:t>
            </w:r>
          </w:p>
        </w:tc>
        <w:tc>
          <w:tcPr>
            <w:tcW w:w="1800" w:type="dxa"/>
            <w:vAlign w:val="center"/>
          </w:tcPr>
          <w:p>
            <w:pPr>
              <w:spacing w:after="0" w:line="240" w:lineRule="auto"/>
              <w:jc w:val="center"/>
            </w:pPr>
            <w:r>
              <w:rPr>
                <w:b/>
                <w:sz w:val="16"/>
                <w:szCs w:val="16"/>
              </w:rPr>
              <w:t xml:space="preserve">Apo V(NNIBP) (Å³)</w:t>
            </w:r>
          </w:p>
        </w:tc>
        <w:tc>
          <w:tcPr>
            <w:tcW w:w="1700" w:type="dxa"/>
            <w:vAlign w:val="center"/>
          </w:tcPr>
          <w:p>
            <w:pPr>
              <w:spacing w:after="0" w:line="240" w:lineRule="auto"/>
              <w:jc w:val="center"/>
            </w:pPr>
            <w:r>
              <w:rPr>
                <w:b/>
                <w:sz w:val="16"/>
                <w:szCs w:val="16"/>
              </w:rPr>
              <w:t xml:space="preserve">Holo V(NNIBP) (Å³)</w:t>
            </w:r>
          </w:p>
        </w:tc>
        <w:tc>
          <w:tcPr>
            <w:tcW w:w="1700" w:type="dxa"/>
            <w:vAlign w:val="center"/>
          </w:tcPr>
          <w:p>
            <w:pPr>
              <w:spacing w:after="0" w:line="240" w:lineRule="auto"/>
              <w:jc w:val="center"/>
            </w:pPr>
            <w:r>
              <w:rPr>
                <w:b/>
                <w:sz w:val="16"/>
                <w:szCs w:val="16"/>
              </w:rPr>
              <w:t xml:space="preserve">Induced-fit gap (Å³)</w:t>
            </w:r>
          </w:p>
        </w:tc>
        <w:tc>
          <w:tcPr>
            <w:tcW w:w="1500" w:type="dxa"/>
            <w:vAlign w:val="center"/>
          </w:tcPr>
          <w:p>
            <w:pPr>
              <w:spacing w:after="0" w:line="240" w:lineRule="auto"/>
              <w:jc w:val="center"/>
            </w:pPr>
            <w:r>
              <w:rPr>
                <w:b/>
                <w:sz w:val="16"/>
                <w:szCs w:val="16"/>
              </w:rPr>
              <w:t xml:space="preserve">ΔApo vs WT (Å³)</w:t>
            </w:r>
          </w:p>
        </w:tc>
      </w:tr>
      <w:tr>
        <w:tc>
          <w:tcPr>
            <w:tcW w:w="1700" w:type="dxa"/>
            <w:vAlign w:val="center"/>
          </w:tcPr>
          <w:p>
            <w:pPr>
              <w:spacing w:after="0" w:line="240" w:lineRule="auto"/>
              <w:jc w:val="center"/>
            </w:pPr>
            <w:r>
              <w:rPr>
                <w:color w:val="FF0000"/>
                <w:sz w:val="16"/>
                <w:szCs w:val="16"/>
              </w:rPr>
              <w:t xml:space="preserve">G190E*</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42.0 ± 16.6</w:t>
            </w:r>
          </w:p>
        </w:tc>
        <w:tc>
          <w:tcPr>
            <w:tcW w:w="1700" w:type="dxa"/>
            <w:vAlign w:val="center"/>
          </w:tcPr>
          <w:p>
            <w:pPr>
              <w:spacing w:after="0" w:line="240" w:lineRule="auto"/>
              <w:jc w:val="center"/>
            </w:pPr>
            <w:r>
              <w:rPr>
                <w:color w:val="FF0000"/>
                <w:sz w:val="16"/>
                <w:szCs w:val="16"/>
              </w:rPr>
              <w:t xml:space="preserve">284.3</w:t>
            </w:r>
          </w:p>
        </w:tc>
        <w:tc>
          <w:tcPr>
            <w:tcW w:w="1700" w:type="dxa"/>
            <w:vAlign w:val="center"/>
          </w:tcPr>
          <w:p>
            <w:pPr>
              <w:spacing w:after="0" w:line="240" w:lineRule="auto"/>
              <w:jc w:val="center"/>
            </w:pPr>
            <w:r>
              <w:rPr>
                <w:color w:val="FF0000"/>
                <w:sz w:val="16"/>
                <w:szCs w:val="16"/>
              </w:rPr>
              <w:t xml:space="preserve">242</w:t>
            </w:r>
          </w:p>
        </w:tc>
        <w:tc>
          <w:tcPr>
            <w:tcW w:w="1500" w:type="dxa"/>
            <w:vAlign w:val="center"/>
          </w:tcPr>
          <w:p>
            <w:pPr>
              <w:spacing w:after="0" w:line="240" w:lineRule="auto"/>
              <w:jc w:val="center"/>
            </w:pPr>
            <w:r>
              <w:rPr>
                <w:color w:val="FF0000"/>
                <w:sz w:val="16"/>
                <w:szCs w:val="16"/>
              </w:rPr>
              <w:t xml:space="preserve">-49.0</w:t>
            </w:r>
          </w:p>
        </w:tc>
      </w:tr>
      <w:tr>
        <w:tc>
          <w:tcPr>
            <w:tcW w:w="1700" w:type="dxa"/>
            <w:vAlign w:val="center"/>
          </w:tcPr>
          <w:p>
            <w:pPr>
              <w:spacing w:after="0" w:line="240" w:lineRule="auto"/>
              <w:jc w:val="center"/>
            </w:pPr>
            <w:r>
              <w:rPr>
                <w:color w:val="FF0000"/>
                <w:sz w:val="16"/>
                <w:szCs w:val="16"/>
              </w:rPr>
              <w:t xml:space="preserve">V106I+F227C</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54.4 ± 27.6</w:t>
            </w:r>
          </w:p>
        </w:tc>
        <w:tc>
          <w:tcPr>
            <w:tcW w:w="1700" w:type="dxa"/>
            <w:vAlign w:val="center"/>
          </w:tcPr>
          <w:p>
            <w:pPr>
              <w:spacing w:after="0" w:line="240" w:lineRule="auto"/>
              <w:jc w:val="center"/>
            </w:pPr>
            <w:r>
              <w:rPr>
                <w:color w:val="FF0000"/>
                <w:sz w:val="16"/>
                <w:szCs w:val="16"/>
              </w:rPr>
              <w:t xml:space="preserve">232.8</w:t>
            </w:r>
          </w:p>
        </w:tc>
        <w:tc>
          <w:tcPr>
            <w:tcW w:w="1700" w:type="dxa"/>
            <w:vAlign w:val="center"/>
          </w:tcPr>
          <w:p>
            <w:pPr>
              <w:spacing w:after="0" w:line="240" w:lineRule="auto"/>
              <w:jc w:val="center"/>
            </w:pPr>
            <w:r>
              <w:rPr>
                <w:color w:val="FF0000"/>
                <w:sz w:val="16"/>
                <w:szCs w:val="16"/>
              </w:rPr>
              <w:t xml:space="preserve">178</w:t>
            </w:r>
          </w:p>
        </w:tc>
        <w:tc>
          <w:tcPr>
            <w:tcW w:w="1500" w:type="dxa"/>
            <w:vAlign w:val="center"/>
          </w:tcPr>
          <w:p>
            <w:pPr>
              <w:spacing w:after="0" w:line="240" w:lineRule="auto"/>
              <w:jc w:val="center"/>
            </w:pPr>
            <w:r>
              <w:rPr>
                <w:color w:val="FF0000"/>
                <w:sz w:val="16"/>
                <w:szCs w:val="16"/>
              </w:rPr>
              <w:t xml:space="preserve">-36.6</w:t>
            </w:r>
          </w:p>
        </w:tc>
      </w:tr>
      <w:tr>
        <w:tc>
          <w:tcPr>
            <w:tcW w:w="1700" w:type="dxa"/>
            <w:vAlign w:val="center"/>
          </w:tcPr>
          <w:p>
            <w:pPr>
              <w:spacing w:after="0" w:line="240" w:lineRule="auto"/>
              <w:jc w:val="center"/>
            </w:pPr>
            <w:r>
              <w:rPr>
                <w:color w:val="FF0000"/>
                <w:sz w:val="16"/>
                <w:szCs w:val="16"/>
              </w:rPr>
              <w:t xml:space="preserve">A98G+F227C</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62.6 ± 21.0</w:t>
            </w:r>
          </w:p>
        </w:tc>
        <w:tc>
          <w:tcPr>
            <w:tcW w:w="1700" w:type="dxa"/>
            <w:vAlign w:val="center"/>
          </w:tcPr>
          <w:p>
            <w:pPr>
              <w:spacing w:after="0" w:line="240" w:lineRule="auto"/>
              <w:jc w:val="center"/>
            </w:pPr>
            <w:r>
              <w:rPr>
                <w:color w:val="FF0000"/>
                <w:sz w:val="16"/>
                <w:szCs w:val="16"/>
              </w:rPr>
              <w:t xml:space="preserve">238.1</w:t>
            </w:r>
          </w:p>
        </w:tc>
        <w:tc>
          <w:tcPr>
            <w:tcW w:w="1700" w:type="dxa"/>
            <w:vAlign w:val="center"/>
          </w:tcPr>
          <w:p>
            <w:pPr>
              <w:spacing w:after="0" w:line="240" w:lineRule="auto"/>
              <w:jc w:val="center"/>
            </w:pPr>
            <w:r>
              <w:rPr>
                <w:color w:val="FF0000"/>
                <w:sz w:val="16"/>
                <w:szCs w:val="16"/>
              </w:rPr>
              <w:t xml:space="preserve">176</w:t>
            </w:r>
          </w:p>
        </w:tc>
        <w:tc>
          <w:tcPr>
            <w:tcW w:w="1500" w:type="dxa"/>
            <w:vAlign w:val="center"/>
          </w:tcPr>
          <w:p>
            <w:pPr>
              <w:spacing w:after="0" w:line="240" w:lineRule="auto"/>
              <w:jc w:val="center"/>
            </w:pPr>
            <w:r>
              <w:rPr>
                <w:color w:val="FF0000"/>
                <w:sz w:val="16"/>
                <w:szCs w:val="16"/>
              </w:rPr>
              <w:t xml:space="preserve">-28.4</w:t>
            </w:r>
          </w:p>
        </w:tc>
      </w:tr>
      <w:tr>
        <w:tc>
          <w:tcPr>
            <w:tcW w:w="1700" w:type="dxa"/>
            <w:vAlign w:val="center"/>
          </w:tcPr>
          <w:p>
            <w:pPr>
              <w:spacing w:after="0" w:line="240" w:lineRule="auto"/>
              <w:jc w:val="center"/>
            </w:pPr>
            <w:r>
              <w:rPr>
                <w:color w:val="FF0000"/>
                <w:sz w:val="16"/>
                <w:szCs w:val="16"/>
              </w:rPr>
              <w:t xml:space="preserve">F227C</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74.8 ± 25.7</w:t>
            </w:r>
          </w:p>
        </w:tc>
        <w:tc>
          <w:tcPr>
            <w:tcW w:w="1700" w:type="dxa"/>
            <w:vAlign w:val="center"/>
          </w:tcPr>
          <w:p>
            <w:pPr>
              <w:spacing w:after="0" w:line="240" w:lineRule="auto"/>
              <w:jc w:val="center"/>
            </w:pPr>
            <w:r>
              <w:rPr>
                <w:color w:val="FF0000"/>
                <w:sz w:val="16"/>
                <w:szCs w:val="16"/>
              </w:rPr>
              <w:t xml:space="preserve">n/a</w:t>
            </w:r>
          </w:p>
        </w:tc>
        <w:tc>
          <w:tcPr>
            <w:tcW w:w="1700" w:type="dxa"/>
            <w:vAlign w:val="center"/>
          </w:tcPr>
          <w:p>
            <w:pPr>
              <w:spacing w:after="0" w:line="240" w:lineRule="auto"/>
              <w:jc w:val="center"/>
            </w:pPr>
            <w:r>
              <w:rPr>
                <w:color w:val="FF0000"/>
                <w:sz w:val="16"/>
                <w:szCs w:val="16"/>
              </w:rPr>
              <w:t xml:space="preserve">n/a</w:t>
            </w:r>
          </w:p>
        </w:tc>
        <w:tc>
          <w:tcPr>
            <w:tcW w:w="1500" w:type="dxa"/>
            <w:vAlign w:val="center"/>
          </w:tcPr>
          <w:p>
            <w:pPr>
              <w:spacing w:after="0" w:line="240" w:lineRule="auto"/>
              <w:jc w:val="center"/>
            </w:pPr>
            <w:r>
              <w:rPr>
                <w:color w:val="FF0000"/>
                <w:sz w:val="16"/>
                <w:szCs w:val="16"/>
              </w:rPr>
              <w:t xml:space="preserve">-16.2</w:t>
            </w:r>
          </w:p>
        </w:tc>
      </w:tr>
      <w:tr>
        <w:tc>
          <w:tcPr>
            <w:tcW w:w="1700" w:type="dxa"/>
            <w:vAlign w:val="center"/>
          </w:tcPr>
          <w:p>
            <w:pPr>
              <w:spacing w:after="0" w:line="240" w:lineRule="auto"/>
              <w:jc w:val="center"/>
            </w:pPr>
            <w:r>
              <w:rPr>
                <w:color w:val="FF0000"/>
                <w:sz w:val="16"/>
                <w:szCs w:val="16"/>
              </w:rPr>
              <w:t xml:space="preserve">WT</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91.0 ± 23.7</w:t>
            </w:r>
          </w:p>
        </w:tc>
        <w:tc>
          <w:tcPr>
            <w:tcW w:w="1700" w:type="dxa"/>
            <w:vAlign w:val="center"/>
          </w:tcPr>
          <w:p>
            <w:pPr>
              <w:spacing w:after="0" w:line="240" w:lineRule="auto"/>
              <w:jc w:val="center"/>
            </w:pPr>
            <w:r>
              <w:rPr>
                <w:color w:val="FF0000"/>
                <w:sz w:val="16"/>
                <w:szCs w:val="16"/>
              </w:rPr>
              <w:t xml:space="preserve">228.4</w:t>
            </w:r>
          </w:p>
        </w:tc>
        <w:tc>
          <w:tcPr>
            <w:tcW w:w="1700" w:type="dxa"/>
            <w:vAlign w:val="center"/>
          </w:tcPr>
          <w:p>
            <w:pPr>
              <w:spacing w:after="0" w:line="240" w:lineRule="auto"/>
              <w:jc w:val="center"/>
            </w:pPr>
            <w:r>
              <w:rPr>
                <w:color w:val="FF0000"/>
                <w:sz w:val="16"/>
                <w:szCs w:val="16"/>
              </w:rPr>
              <w:t xml:space="preserve">137</w:t>
            </w:r>
          </w:p>
        </w:tc>
        <w:tc>
          <w:tcPr>
            <w:tcW w:w="1500" w:type="dxa"/>
            <w:vAlign w:val="center"/>
          </w:tcPr>
          <w:p>
            <w:pPr>
              <w:spacing w:after="0" w:line="240" w:lineRule="auto"/>
              <w:jc w:val="center"/>
            </w:pPr>
            <w:r>
              <w:rPr>
                <w:color w:val="FF0000"/>
                <w:sz w:val="16"/>
                <w:szCs w:val="16"/>
              </w:rPr>
              <w:t xml:space="preserve">+0.0</w:t>
            </w:r>
          </w:p>
        </w:tc>
      </w:tr>
      <w:tr>
        <w:tc>
          <w:tcPr>
            <w:tcW w:w="1700" w:type="dxa"/>
            <w:vAlign w:val="center"/>
          </w:tcPr>
          <w:p>
            <w:pPr>
              <w:spacing w:after="0" w:line="240" w:lineRule="auto"/>
              <w:jc w:val="center"/>
            </w:pPr>
            <w:r>
              <w:rPr>
                <w:color w:val="FF0000"/>
                <w:sz w:val="16"/>
                <w:szCs w:val="16"/>
              </w:rPr>
              <w:t xml:space="preserve">K103N+M230L</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93.0 ± 23.8</w:t>
            </w:r>
          </w:p>
        </w:tc>
        <w:tc>
          <w:tcPr>
            <w:tcW w:w="1700" w:type="dxa"/>
            <w:vAlign w:val="center"/>
          </w:tcPr>
          <w:p>
            <w:pPr>
              <w:spacing w:after="0" w:line="240" w:lineRule="auto"/>
              <w:jc w:val="center"/>
            </w:pPr>
            <w:r>
              <w:rPr>
                <w:color w:val="FF0000"/>
                <w:sz w:val="16"/>
                <w:szCs w:val="16"/>
              </w:rPr>
              <w:t xml:space="preserve">250.5</w:t>
            </w:r>
          </w:p>
        </w:tc>
        <w:tc>
          <w:tcPr>
            <w:tcW w:w="1700" w:type="dxa"/>
            <w:vAlign w:val="center"/>
          </w:tcPr>
          <w:p>
            <w:pPr>
              <w:spacing w:after="0" w:line="240" w:lineRule="auto"/>
              <w:jc w:val="center"/>
            </w:pPr>
            <w:r>
              <w:rPr>
                <w:color w:val="FF0000"/>
                <w:sz w:val="16"/>
                <w:szCs w:val="16"/>
              </w:rPr>
              <w:t xml:space="preserve">158</w:t>
            </w:r>
          </w:p>
        </w:tc>
        <w:tc>
          <w:tcPr>
            <w:tcW w:w="1500" w:type="dxa"/>
            <w:vAlign w:val="center"/>
          </w:tcPr>
          <w:p>
            <w:pPr>
              <w:spacing w:after="0" w:line="240" w:lineRule="auto"/>
              <w:jc w:val="center"/>
            </w:pPr>
            <w:r>
              <w:rPr>
                <w:color w:val="FF0000"/>
                <w:sz w:val="16"/>
                <w:szCs w:val="16"/>
              </w:rPr>
              <w:t xml:space="preserve">+2.0</w:t>
            </w:r>
          </w:p>
        </w:tc>
      </w:tr>
      <w:tr>
        <w:tc>
          <w:tcPr>
            <w:tcW w:w="1700" w:type="dxa"/>
            <w:vAlign w:val="center"/>
          </w:tcPr>
          <w:p>
            <w:pPr>
              <w:spacing w:after="0" w:line="240" w:lineRule="auto"/>
              <w:jc w:val="center"/>
            </w:pPr>
            <w:r>
              <w:rPr>
                <w:color w:val="FF0000"/>
                <w:sz w:val="16"/>
                <w:szCs w:val="16"/>
              </w:rPr>
              <w:t xml:space="preserve">V106A</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103.5 ± 42.0</w:t>
            </w:r>
          </w:p>
        </w:tc>
        <w:tc>
          <w:tcPr>
            <w:tcW w:w="1700" w:type="dxa"/>
            <w:vAlign w:val="center"/>
          </w:tcPr>
          <w:p>
            <w:pPr>
              <w:spacing w:after="0" w:line="240" w:lineRule="auto"/>
              <w:jc w:val="center"/>
            </w:pPr>
            <w:r>
              <w:rPr>
                <w:color w:val="FF0000"/>
                <w:sz w:val="16"/>
                <w:szCs w:val="16"/>
              </w:rPr>
              <w:t xml:space="preserve">250.5</w:t>
            </w:r>
          </w:p>
        </w:tc>
        <w:tc>
          <w:tcPr>
            <w:tcW w:w="1700" w:type="dxa"/>
            <w:vAlign w:val="center"/>
          </w:tcPr>
          <w:p>
            <w:pPr>
              <w:spacing w:after="0" w:line="240" w:lineRule="auto"/>
              <w:jc w:val="center"/>
            </w:pPr>
            <w:r>
              <w:rPr>
                <w:color w:val="FF0000"/>
                <w:sz w:val="16"/>
                <w:szCs w:val="16"/>
              </w:rPr>
              <w:t xml:space="preserve">147</w:t>
            </w:r>
          </w:p>
        </w:tc>
        <w:tc>
          <w:tcPr>
            <w:tcW w:w="1500" w:type="dxa"/>
            <w:vAlign w:val="center"/>
          </w:tcPr>
          <w:p>
            <w:pPr>
              <w:spacing w:after="0" w:line="240" w:lineRule="auto"/>
              <w:jc w:val="center"/>
            </w:pPr>
            <w:r>
              <w:rPr>
                <w:color w:val="FF0000"/>
                <w:sz w:val="16"/>
                <w:szCs w:val="16"/>
              </w:rPr>
              <w:t xml:space="preserve">+12.5</w:t>
            </w:r>
          </w:p>
        </w:tc>
      </w:tr>
      <w:tr>
        <w:tc>
          <w:tcPr>
            <w:tcW w:w="1700" w:type="dxa"/>
            <w:vAlign w:val="center"/>
          </w:tcPr>
          <w:p>
            <w:pPr>
              <w:spacing w:after="0" w:line="240" w:lineRule="auto"/>
              <w:jc w:val="center"/>
            </w:pPr>
            <w:r>
              <w:rPr>
                <w:color w:val="FF0000"/>
                <w:sz w:val="16"/>
                <w:szCs w:val="16"/>
              </w:rPr>
              <w:t xml:space="preserve">V106A+P225H</w:t>
            </w:r>
          </w:p>
        </w:tc>
        <w:tc>
          <w:tcPr>
            <w:tcW w:w="1100" w:type="dxa"/>
            <w:vAlign w:val="center"/>
          </w:tcPr>
          <w:p>
            <w:pPr>
              <w:spacing w:after="0" w:line="240" w:lineRule="auto"/>
              <w:jc w:val="center"/>
            </w:pPr>
            <w:r>
              <w:rPr>
                <w:color w:val="FF0000"/>
                <w:sz w:val="16"/>
                <w:szCs w:val="16"/>
              </w:rPr>
              <w:t xml:space="preserve">3</w:t>
            </w:r>
          </w:p>
        </w:tc>
        <w:tc>
          <w:tcPr>
            <w:tcW w:w="1800" w:type="dxa"/>
            <w:vAlign w:val="center"/>
          </w:tcPr>
          <w:p>
            <w:pPr>
              <w:spacing w:after="0" w:line="240" w:lineRule="auto"/>
              <w:jc w:val="center"/>
            </w:pPr>
            <w:r>
              <w:rPr>
                <w:color w:val="FF0000"/>
                <w:sz w:val="16"/>
                <w:szCs w:val="16"/>
              </w:rPr>
              <w:t xml:space="preserve">106.7 ± 26.0</w:t>
            </w:r>
          </w:p>
        </w:tc>
        <w:tc>
          <w:tcPr>
            <w:tcW w:w="1700" w:type="dxa"/>
            <w:vAlign w:val="center"/>
          </w:tcPr>
          <w:p>
            <w:pPr>
              <w:spacing w:after="0" w:line="240" w:lineRule="auto"/>
              <w:jc w:val="center"/>
            </w:pPr>
            <w:r>
              <w:rPr>
                <w:color w:val="FF0000"/>
                <w:sz w:val="16"/>
                <w:szCs w:val="16"/>
              </w:rPr>
              <w:t xml:space="preserve">223.3</w:t>
            </w:r>
          </w:p>
        </w:tc>
        <w:tc>
          <w:tcPr>
            <w:tcW w:w="1700" w:type="dxa"/>
            <w:vAlign w:val="center"/>
          </w:tcPr>
          <w:p>
            <w:pPr>
              <w:spacing w:after="0" w:line="240" w:lineRule="auto"/>
              <w:jc w:val="center"/>
            </w:pPr>
            <w:r>
              <w:rPr>
                <w:color w:val="FF0000"/>
                <w:sz w:val="16"/>
                <w:szCs w:val="16"/>
              </w:rPr>
              <w:t xml:space="preserve">117</w:t>
            </w:r>
          </w:p>
        </w:tc>
        <w:tc>
          <w:tcPr>
            <w:tcW w:w="1500" w:type="dxa"/>
            <w:vAlign w:val="center"/>
          </w:tcPr>
          <w:p>
            <w:pPr>
              <w:spacing w:after="0" w:line="240" w:lineRule="auto"/>
              <w:jc w:val="center"/>
            </w:pPr>
            <w:r>
              <w:rPr>
                <w:color w:val="FF0000"/>
                <w:sz w:val="16"/>
                <w:szCs w:val="16"/>
              </w:rPr>
              <w:t xml:space="preserve">+15.7</w:t>
            </w:r>
          </w:p>
        </w:tc>
      </w:tr>
    </w:tbl>
    <w:p>
      <w:pPr>
        <w:spacing w:after="0"/>
      </w:pPr>
    </w:p>
    <w:sectPr w:rsidR="002C069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66E86"/>
    <w:rsid w:val="00201571"/>
    <w:rsid w:val="002812FE"/>
    <w:rsid w:val="002C069F"/>
    <w:rsid w:val="003271CC"/>
    <w:rsid w:val="00344758"/>
    <w:rsid w:val="00357877"/>
    <w:rsid w:val="003E3F5B"/>
    <w:rsid w:val="00447195"/>
    <w:rsid w:val="004B4122"/>
    <w:rsid w:val="004F1873"/>
    <w:rsid w:val="004F5449"/>
    <w:rsid w:val="00556141"/>
    <w:rsid w:val="005A1526"/>
    <w:rsid w:val="005A57D3"/>
    <w:rsid w:val="00624DE4"/>
    <w:rsid w:val="006C78C4"/>
    <w:rsid w:val="00732041"/>
    <w:rsid w:val="008C3960"/>
    <w:rsid w:val="00A00505"/>
    <w:rsid w:val="00A862E5"/>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C33241"/>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2</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19</cp:revision>
  <dcterms:created xsi:type="dcterms:W3CDTF">2026-05-20T18:21:00Z</dcterms:created>
  <dcterms:modified xsi:type="dcterms:W3CDTF">2026-09-02T03:41:00Z</dcterms:modified>
</cp:coreProperties>
</file>