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38213" w14:textId="77777777" w:rsidR="005A1526" w:rsidRPr="005A1526" w:rsidRDefault="005A1526" w:rsidP="005A1526">
      <w:pPr>
        <w:rPr>
          <w:rFonts w:ascii="Times New Roman" w:hAnsi="Times New Roman" w:cs="Times New Roman"/>
        </w:rPr>
      </w:pPr>
      <w:r>
        <w:rPr>
          <w:rFonts w:ascii="Times New Roman" w:hAnsi="Times New Roman" w:cs="Times New Roman"/>
        </w:rPr>
        <w:t xml:space="preserve">A)                                                                         B) </w:t>
      </w:r>
    </w:p>
    <w:p w14:paraId="2601DDFB" w14:textId="77777777" w:rsidR="00106118" w:rsidRDefault="005A1526">
      <w:r>
        <w:rPr>
          <w:noProof/>
        </w:rPr>
        <w:drawing>
          <wp:inline distT="0" distB="0" distL="0" distR="0" wp14:anchorId="004EC088" wp14:editId="5611EF41">
            <wp:extent cx="2870212" cy="1937505"/>
            <wp:effectExtent l="0" t="0" r="0" b="5715"/>
            <wp:docPr id="738111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1491" name="Picture 738111491"/>
                    <pic:cNvPicPr/>
                  </pic:nvPicPr>
                  <pic:blipFill rotWithShape="1">
                    <a:blip r:embed="rId5" cstate="print">
                      <a:extLst>
                        <a:ext uri="{28A0092B-C50C-407E-A947-70E740481C1C}">
                          <a14:useLocalDpi xmlns:a14="http://schemas.microsoft.com/office/drawing/2010/main" val="0"/>
                        </a:ext>
                      </a:extLst>
                    </a:blip>
                    <a:srcRect t="6077" r="3927"/>
                    <a:stretch>
                      <a:fillRect/>
                    </a:stretch>
                  </pic:blipFill>
                  <pic:spPr bwMode="auto">
                    <a:xfrm>
                      <a:off x="0" y="0"/>
                      <a:ext cx="2928076" cy="197656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E366904" wp14:editId="62FB8BAB">
            <wp:extent cx="2898181" cy="1899139"/>
            <wp:effectExtent l="0" t="0" r="0" b="6350"/>
            <wp:docPr id="1174811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11184" name="Picture 1174811184"/>
                    <pic:cNvPicPr/>
                  </pic:nvPicPr>
                  <pic:blipFill rotWithShape="1">
                    <a:blip r:embed="rId6" cstate="print">
                      <a:extLst>
                        <a:ext uri="{28A0092B-C50C-407E-A947-70E740481C1C}">
                          <a14:useLocalDpi xmlns:a14="http://schemas.microsoft.com/office/drawing/2010/main" val="0"/>
                        </a:ext>
                      </a:extLst>
                    </a:blip>
                    <a:srcRect t="5580"/>
                    <a:stretch>
                      <a:fillRect/>
                    </a:stretch>
                  </pic:blipFill>
                  <pic:spPr bwMode="auto">
                    <a:xfrm>
                      <a:off x="0" y="0"/>
                      <a:ext cx="2926069" cy="1917414"/>
                    </a:xfrm>
                    <a:prstGeom prst="rect">
                      <a:avLst/>
                    </a:prstGeom>
                    <a:ln>
                      <a:noFill/>
                    </a:ln>
                    <a:extLst>
                      <a:ext uri="{53640926-AAD7-44D8-BBD7-CCE9431645EC}">
                        <a14:shadowObscured xmlns:a14="http://schemas.microsoft.com/office/drawing/2010/main"/>
                      </a:ext>
                    </a:extLst>
                  </pic:spPr>
                </pic:pic>
              </a:graphicData>
            </a:graphic>
          </wp:inline>
        </w:drawing>
      </w:r>
    </w:p>
    <w:p w14:paraId="30ADC02C" w14:textId="77777777" w:rsidR="00C02DD7" w:rsidRPr="003271CC" w:rsidRDefault="00447195">
      <w:pPr>
        <w:rPr>
          <w:rFonts w:ascii="Times New Roman" w:hAnsi="Times New Roman" w:cs="Times New Roman"/>
          <w:sz w:val="20"/>
          <w:szCs w:val="20"/>
        </w:rPr>
      </w:pPr>
      <w:r>
        <w:rPr>
          <w:rFonts w:ascii="Times New Roman" w:hAnsi="Times New Roman" w:cs="Times New Roman"/>
          <w:b/>
          <w:bCs/>
          <w:sz w:val="20"/>
          <w:szCs w:val="16"/>
        </w:rPr>
        <w:t>Supplementary Figure 1. DOR Root Mean Squared Deviation (RMSD) and distance between centers of mass (COM) of DOR and RT indicate 100ns runtime is sufficient for DOR-RT interactions to stabilize.</w:t>
      </w:r>
      <w:r>
        <w:rPr>
          <w:rFonts w:ascii="Times New Roman" w:hAnsi="Times New Roman" w:cs="Times New Roman"/>
          <w:sz w:val="20"/>
          <w:szCs w:val="16"/>
        </w:rPr>
        <w:br/>
      </w:r>
      <w:r>
        <w:rPr>
          <w:rFonts w:ascii="Times New Roman" w:hAnsi="Times New Roman" w:cs="Times New Roman"/>
          <w:sz w:val="20"/>
          <w:szCs w:val="20"/>
        </w:rPr>
        <w:t xml:space="preserve">(A) Each solid line provides the average RMSD of the DOR heavy atoms vs the minimized structure within the NNIBP (at </w:t>
      </w:r>
      <w:r>
        <w:rPr>
          <w:rFonts w:ascii="Times New Roman" w:hAnsi="Times New Roman" w:cs="Times New Roman"/>
          <w:i/>
          <w:iCs/>
          <w:sz w:val="20"/>
          <w:szCs w:val="20"/>
        </w:rPr>
        <w:t xml:space="preserve">t </w:t>
      </w:r>
      <w:r>
        <w:rPr>
          <w:rFonts w:ascii="Times New Roman" w:hAnsi="Times New Roman" w:cs="Times New Roman"/>
          <w:sz w:val="20"/>
          <w:szCs w:val="20"/>
        </w:rPr>
        <w:t xml:space="preserve">= 0) computed at each time point across triplicate simulations. Shaded regions represent the standard error this mean (SEM). The red curve represents WT and the remaining trajectories are color-coded based on the respective genotype’s fold-change in susceptibility (Table 1 in main text). Inset shows the same data highlighting the rapid changes in the first 5ns of the simulations. (B) Similar plot for the average distance between the centers of mass (COM) of DOR and RT atoms. </w:t>
      </w:r>
    </w:p>
    <w:p w14:paraId="14B23799" w14:textId="77777777" w:rsidR="00DE7C44" w:rsidRDefault="00DE7C44">
      <w:pPr>
        <w:rPr>
          <w:rFonts w:ascii="Times New Roman" w:hAnsi="Times New Roman" w:cs="Times New Roman"/>
          <w:sz w:val="20"/>
          <w:szCs w:val="20"/>
        </w:rPr>
      </w:pPr>
    </w:p>
    <w:p w14:paraId="140B935E" w14:textId="77777777" w:rsidR="00DE7C44" w:rsidRDefault="00DE7C44">
      <w:pPr>
        <w:rPr>
          <w:rFonts w:ascii="Times New Roman" w:hAnsi="Times New Roman" w:cs="Times New Roman"/>
          <w:sz w:val="20"/>
          <w:szCs w:val="20"/>
        </w:rPr>
      </w:pPr>
    </w:p>
    <w:p w14:paraId="1B214C20" w14:textId="77777777" w:rsidR="00DE7C44" w:rsidRDefault="00DE7C44">
      <w:pPr>
        <w:rPr>
          <w:rFonts w:ascii="Times New Roman" w:hAnsi="Times New Roman" w:cs="Times New Roman"/>
          <w:sz w:val="20"/>
          <w:szCs w:val="20"/>
        </w:rPr>
      </w:pPr>
    </w:p>
    <w:p w14:paraId="67722C55" w14:textId="77777777" w:rsidR="00DE7C44" w:rsidRDefault="00DE7C44">
      <w:pPr>
        <w:rPr>
          <w:rFonts w:ascii="Times New Roman" w:hAnsi="Times New Roman" w:cs="Times New Roman"/>
          <w:sz w:val="20"/>
          <w:szCs w:val="20"/>
        </w:rPr>
      </w:pPr>
    </w:p>
    <w:p w14:paraId="221BA860" w14:textId="77777777" w:rsidR="00DE7C44" w:rsidRDefault="00DE7C44">
      <w:pPr>
        <w:rPr>
          <w:rFonts w:ascii="Times New Roman" w:hAnsi="Times New Roman" w:cs="Times New Roman"/>
          <w:sz w:val="20"/>
          <w:szCs w:val="20"/>
        </w:rPr>
      </w:pPr>
    </w:p>
    <w:p w14:paraId="1A172925" w14:textId="77777777" w:rsidR="00DE7C44" w:rsidRDefault="00DE7C44">
      <w:pPr>
        <w:rPr>
          <w:rFonts w:ascii="Times New Roman" w:hAnsi="Times New Roman" w:cs="Times New Roman"/>
          <w:sz w:val="20"/>
          <w:szCs w:val="20"/>
        </w:rPr>
      </w:pPr>
    </w:p>
    <w:p w14:paraId="059221C0" w14:textId="77777777" w:rsidR="00DE7C44" w:rsidRDefault="00DE7C44">
      <w:pPr>
        <w:rPr>
          <w:rFonts w:ascii="Times New Roman" w:hAnsi="Times New Roman" w:cs="Times New Roman"/>
          <w:sz w:val="20"/>
          <w:szCs w:val="20"/>
        </w:rPr>
      </w:pPr>
    </w:p>
    <w:p w14:paraId="522563CB" w14:textId="77777777" w:rsidR="00DE7C44" w:rsidRDefault="00DE7C44">
      <w:pPr>
        <w:rPr>
          <w:rFonts w:ascii="Times New Roman" w:hAnsi="Times New Roman" w:cs="Times New Roman"/>
          <w:sz w:val="20"/>
          <w:szCs w:val="20"/>
        </w:rPr>
      </w:pPr>
    </w:p>
    <w:p w14:paraId="7F72408E" w14:textId="77777777" w:rsidR="00DE7C44" w:rsidRDefault="00DE7C44">
      <w:pPr>
        <w:rPr>
          <w:rFonts w:ascii="Times New Roman" w:hAnsi="Times New Roman" w:cs="Times New Roman"/>
          <w:sz w:val="20"/>
          <w:szCs w:val="20"/>
        </w:rPr>
      </w:pPr>
    </w:p>
    <w:p w14:paraId="5D23714F" w14:textId="77777777" w:rsidR="00DE7C44" w:rsidRDefault="00DE7C44">
      <w:pPr>
        <w:rPr>
          <w:rFonts w:ascii="Times New Roman" w:hAnsi="Times New Roman" w:cs="Times New Roman"/>
          <w:sz w:val="20"/>
          <w:szCs w:val="20"/>
        </w:rPr>
      </w:pPr>
    </w:p>
    <w:p w14:paraId="33BEC8EE" w14:textId="77777777" w:rsidR="00DE7C44" w:rsidRDefault="00DE7C44">
      <w:pPr>
        <w:rPr>
          <w:rFonts w:ascii="Times New Roman" w:hAnsi="Times New Roman" w:cs="Times New Roman"/>
          <w:sz w:val="20"/>
          <w:szCs w:val="20"/>
        </w:rPr>
      </w:pPr>
    </w:p>
    <w:p w14:paraId="392F1526" w14:textId="77777777" w:rsidR="00DE7C44" w:rsidRDefault="00DE7C44">
      <w:pPr>
        <w:rPr>
          <w:rFonts w:ascii="Times New Roman" w:hAnsi="Times New Roman" w:cs="Times New Roman"/>
          <w:sz w:val="20"/>
          <w:szCs w:val="20"/>
        </w:rPr>
      </w:pPr>
    </w:p>
    <w:p w14:paraId="5E4B1F9B" w14:textId="77777777" w:rsidR="00DE7C44" w:rsidRDefault="00DE7C44">
      <w:pPr>
        <w:rPr>
          <w:rFonts w:ascii="Times New Roman" w:hAnsi="Times New Roman" w:cs="Times New Roman"/>
          <w:sz w:val="20"/>
          <w:szCs w:val="20"/>
        </w:rPr>
      </w:pPr>
    </w:p>
    <w:p w14:paraId="03085E1F" w14:textId="77777777" w:rsidR="00DE7C44" w:rsidRDefault="00DE7C44">
      <w:pPr>
        <w:rPr>
          <w:rFonts w:ascii="Times New Roman" w:hAnsi="Times New Roman" w:cs="Times New Roman"/>
          <w:sz w:val="20"/>
          <w:szCs w:val="20"/>
        </w:rPr>
      </w:pPr>
    </w:p>
    <w:p w14:paraId="730F7272" w14:textId="77777777" w:rsidR="00DE7C44" w:rsidRDefault="00DE7C44">
      <w:pPr>
        <w:rPr>
          <w:rFonts w:ascii="Times New Roman" w:hAnsi="Times New Roman" w:cs="Times New Roman"/>
          <w:sz w:val="20"/>
          <w:szCs w:val="20"/>
        </w:rPr>
      </w:pPr>
    </w:p>
    <w:p w14:paraId="32A67F8B" w14:textId="77777777" w:rsidR="00DE7C44" w:rsidRDefault="00DE7C44">
      <w:pPr>
        <w:rPr>
          <w:rFonts w:ascii="Times New Roman" w:hAnsi="Times New Roman" w:cs="Times New Roman"/>
          <w:sz w:val="20"/>
          <w:szCs w:val="20"/>
        </w:rPr>
      </w:pPr>
    </w:p>
    <w:p w14:paraId="3877D921" w14:textId="77777777" w:rsidR="00DE7C44" w:rsidRDefault="00DE7C44">
      <w:pPr>
        <w:rPr>
          <w:rFonts w:ascii="Times New Roman" w:hAnsi="Times New Roman" w:cs="Times New Roman"/>
          <w:sz w:val="20"/>
          <w:szCs w:val="20"/>
        </w:rPr>
      </w:pPr>
    </w:p>
    <w:p w14:paraId="68D19476" w14:textId="77777777" w:rsidR="00DE7C44" w:rsidRDefault="00DE7C44">
      <w:pPr>
        <w:rPr>
          <w:rFonts w:ascii="Times New Roman" w:hAnsi="Times New Roman" w:cs="Times New Roman"/>
          <w:sz w:val="20"/>
          <w:szCs w:val="20"/>
        </w:rPr>
      </w:pPr>
    </w:p>
    <w:p w14:paraId="4B396C07" w14:textId="77777777" w:rsidR="00DE7C44" w:rsidRDefault="00DE7C44">
      <w:pPr>
        <w:rPr>
          <w:rFonts w:ascii="Times New Roman" w:hAnsi="Times New Roman" w:cs="Times New Roman"/>
          <w:sz w:val="20"/>
          <w:szCs w:val="20"/>
        </w:rPr>
      </w:pPr>
    </w:p>
    <w:p w14:paraId="74F2175D" w14:textId="77777777" w:rsidR="00DE7C44" w:rsidRDefault="00DE7C44">
      <w:pPr>
        <w:rPr>
          <w:rFonts w:ascii="Times New Roman" w:hAnsi="Times New Roman" w:cs="Times New Roman"/>
          <w:sz w:val="20"/>
          <w:szCs w:val="20"/>
        </w:rPr>
      </w:pPr>
    </w:p>
    <w:p w14:paraId="06774E4A" w14:textId="77777777" w:rsidR="00DE7C44" w:rsidRDefault="00DE7C44">
      <w:pPr>
        <w:rPr>
          <w:rFonts w:ascii="Times New Roman" w:hAnsi="Times New Roman" w:cs="Times New Roman"/>
          <w:sz w:val="20"/>
          <w:szCs w:val="20"/>
        </w:rPr>
      </w:pPr>
    </w:p>
    <w:p w14:paraId="2A0317F8" w14:textId="77777777" w:rsidR="00DE7C44" w:rsidRDefault="00DE7C44">
      <w:pPr>
        <w:rPr>
          <w:rFonts w:ascii="Times New Roman" w:hAnsi="Times New Roman" w:cs="Times New Roman"/>
          <w:sz w:val="20"/>
          <w:szCs w:val="20"/>
        </w:rPr>
      </w:pPr>
    </w:p>
    <w:p w14:paraId="53BB4994" w14:textId="77777777" w:rsidR="00DE7C44" w:rsidRDefault="00DE7C44">
      <w:pPr>
        <w:rPr>
          <w:rFonts w:ascii="Times New Roman" w:hAnsi="Times New Roman" w:cs="Times New Roman"/>
          <w:sz w:val="20"/>
          <w:szCs w:val="20"/>
        </w:rPr>
      </w:pPr>
    </w:p>
    <w:p w14:paraId="53028D5A" w14:textId="77777777" w:rsidR="00DE7C44" w:rsidRDefault="00DE7C44">
      <w:pPr>
        <w:rPr>
          <w:rFonts w:ascii="Times New Roman" w:hAnsi="Times New Roman" w:cs="Times New Roman"/>
          <w:sz w:val="20"/>
          <w:szCs w:val="20"/>
        </w:rPr>
      </w:pPr>
    </w:p>
    <w:p w14:paraId="23F5A6B0" w14:textId="77777777" w:rsidR="00DE7C44" w:rsidRDefault="00DE7C44">
      <w:pPr>
        <w:rPr>
          <w:rFonts w:ascii="Times New Roman" w:hAnsi="Times New Roman" w:cs="Times New Roman"/>
          <w:sz w:val="20"/>
          <w:szCs w:val="20"/>
        </w:rPr>
      </w:pPr>
    </w:p>
    <w:p w14:paraId="2208847B" w14:textId="77777777" w:rsidR="00DE7C44" w:rsidRDefault="00DE7C44">
      <w:pPr>
        <w:rPr>
          <w:rFonts w:ascii="Times New Roman" w:hAnsi="Times New Roman" w:cs="Times New Roman"/>
          <w:sz w:val="20"/>
          <w:szCs w:val="20"/>
        </w:rPr>
      </w:pPr>
    </w:p>
    <w:p w14:paraId="3BCF34A8" w14:textId="77777777" w:rsidR="00DE7C44" w:rsidRDefault="00DE7C44">
      <w:pPr>
        <w:rPr>
          <w:rFonts w:ascii="Times New Roman" w:hAnsi="Times New Roman" w:cs="Times New Roman"/>
          <w:sz w:val="20"/>
          <w:szCs w:val="20"/>
        </w:rPr>
      </w:pPr>
    </w:p>
    <w:p w14:paraId="1723DFEF" w14:textId="77777777" w:rsidR="00DE7C44" w:rsidRDefault="00DE7C44">
      <w:pPr>
        <w:rPr>
          <w:rFonts w:ascii="Times New Roman" w:hAnsi="Times New Roman" w:cs="Times New Roman"/>
          <w:sz w:val="20"/>
          <w:szCs w:val="20"/>
        </w:rPr>
      </w:pPr>
    </w:p>
    <w:p w14:paraId="56529190" w14:textId="77777777" w:rsidR="00DE7C44" w:rsidRDefault="00DE7C44">
      <w:pPr>
        <w:rPr>
          <w:rFonts w:ascii="Times New Roman" w:hAnsi="Times New Roman" w:cs="Times New Roman"/>
          <w:sz w:val="20"/>
          <w:szCs w:val="20"/>
        </w:rPr>
      </w:pPr>
    </w:p>
    <w:p w14:paraId="38A734ED" w14:textId="77777777" w:rsidR="00DE7C44" w:rsidRDefault="00DE7C44">
      <w:pPr>
        <w:rPr>
          <w:rFonts w:ascii="Times New Roman" w:hAnsi="Times New Roman" w:cs="Times New Roman"/>
          <w:sz w:val="20"/>
          <w:szCs w:val="20"/>
        </w:rPr>
      </w:pPr>
    </w:p>
    <w:p w14:paraId="01A64C5B" w14:textId="77777777" w:rsidR="00DE7C44" w:rsidRDefault="00DE7C44">
      <w:pPr>
        <w:rPr>
          <w:rFonts w:ascii="Times New Roman" w:hAnsi="Times New Roman" w:cs="Times New Roman"/>
          <w:sz w:val="20"/>
          <w:szCs w:val="20"/>
        </w:rPr>
      </w:pPr>
    </w:p>
    <w:p w14:paraId="63CBF3E2" w14:textId="77777777" w:rsidR="00DE7C44" w:rsidRPr="00A862E5" w:rsidRDefault="00556141">
      <w:pPr>
        <w:rPr>
          <w:rFonts w:ascii="Times New Roman" w:hAnsi="Times New Roman" w:cs="Times New Roman"/>
          <w:sz w:val="22"/>
          <w:szCs w:val="22"/>
        </w:rPr>
      </w:pPr>
      <w:r>
        <w:rPr>
          <w:rFonts w:ascii="Times New Roman" w:hAnsi="Times New Roman" w:cs="Times New Roman"/>
          <w:b/>
          <w:bCs/>
          <w:noProof/>
          <w:sz w:val="20"/>
          <w:szCs w:val="16"/>
        </w:rPr>
        <w:lastRenderedPageBreak/>
        <w:drawing>
          <wp:anchor distT="0" distB="0" distL="114300" distR="114300" simplePos="0" relativeHeight="251658240" behindDoc="0" locked="0" layoutInCell="1" allowOverlap="1" wp14:anchorId="204E281E" wp14:editId="58C59C23">
            <wp:simplePos x="0" y="0"/>
            <wp:positionH relativeFrom="column">
              <wp:posOffset>0</wp:posOffset>
            </wp:positionH>
            <wp:positionV relativeFrom="paragraph">
              <wp:posOffset>0</wp:posOffset>
            </wp:positionV>
            <wp:extent cx="4916805" cy="7925435"/>
            <wp:effectExtent l="0" t="0" r="0" b="0"/>
            <wp:wrapSquare wrapText="bothSides"/>
            <wp:docPr id="1500704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4807" name="Picture 15007048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6805" cy="79254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0"/>
          <w:szCs w:val="16"/>
        </w:rPr>
        <w:t>Supplementary Figure 2. Non-equilibrium switching work distributions for all alchemical transformations.</w:t>
      </w:r>
      <w:r>
        <w:rPr>
          <w:rFonts w:ascii="Times New Roman" w:hAnsi="Times New Roman" w:cs="Times New Roman"/>
          <w:sz w:val="20"/>
          <w:szCs w:val="16"/>
        </w:rPr>
        <w:br/>
      </w:r>
      <w:r>
        <w:rPr>
          <w:rFonts w:ascii="Times New Roman" w:hAnsi="Times New Roman" w:cs="Times New Roman"/>
          <w:sz w:val="20"/>
          <w:szCs w:val="20"/>
        </w:rPr>
        <w:t xml:space="preserve">Forward (0→1, blue) and reverse (1→0, red) switching work for each of the 19 alchemical legs, shown separately for the </w:t>
      </w:r>
      <w:r>
        <w:rPr>
          <w:rFonts w:ascii="Times New Roman" w:hAnsi="Times New Roman" w:cs="Times New Roman"/>
          <w:i/>
          <w:iCs/>
          <w:sz w:val="20"/>
          <w:szCs w:val="20"/>
        </w:rPr>
        <w:t>holo</w:t>
      </w:r>
      <w:r>
        <w:rPr>
          <w:rFonts w:ascii="Times New Roman" w:hAnsi="Times New Roman" w:cs="Times New Roman"/>
          <w:sz w:val="20"/>
          <w:szCs w:val="20"/>
        </w:rPr>
        <w:t xml:space="preserve"> and </w:t>
      </w:r>
      <w:r>
        <w:rPr>
          <w:rFonts w:ascii="Times New Roman" w:hAnsi="Times New Roman" w:cs="Times New Roman"/>
          <w:i/>
          <w:iCs/>
          <w:sz w:val="20"/>
          <w:szCs w:val="20"/>
        </w:rPr>
        <w:t>apo</w:t>
      </w:r>
      <w:r>
        <w:rPr>
          <w:rFonts w:ascii="Times New Roman" w:hAnsi="Times New Roman" w:cs="Times New Roman"/>
          <w:sz w:val="20"/>
          <w:szCs w:val="20"/>
        </w:rPr>
        <w:t xml:space="preserve"> phases and pooled across three independent replicates (100 switches per direction per replicate). Dashed lines mark the BAR free energy, ∆G, of each replicate. Each panel reports the forward/reverse overlap coefficient — the shared area under the two normalized work densities, where 0 is disjoint and 1 identical — and the hysteresis </w:t>
      </w:r>
      <w:r>
        <w:rPr>
          <w:rFonts w:ascii="Cambria Math" w:hAnsi="Cambria Math" w:cs="Cambria Math"/>
          <w:sz w:val="20"/>
          <w:szCs w:val="20"/>
        </w:rPr>
        <w:t>⟨</w:t>
      </w:r>
      <w:r>
        <w:rPr>
          <w:rFonts w:ascii="Times New Roman" w:hAnsi="Times New Roman" w:cs="Times New Roman"/>
          <w:sz w:val="20"/>
          <w:szCs w:val="20"/>
        </w:rPr>
        <w:t>W</w:t>
      </w:r>
      <w:r>
        <w:rPr>
          <w:rFonts w:ascii="Times New Roman" w:hAnsi="Times New Roman" w:cs="Times New Roman"/>
          <w:sz w:val="20"/>
          <w:szCs w:val="20"/>
          <w:vertAlign w:val="subscript"/>
        </w:rPr>
        <w:t>f</w:t>
      </w:r>
      <w:r>
        <w:rPr>
          <w:rFonts w:ascii="Cambria Math" w:hAnsi="Cambria Math" w:cs="Cambria Math"/>
          <w:sz w:val="20"/>
          <w:szCs w:val="20"/>
        </w:rPr>
        <w:t>⟩</w:t>
      </w:r>
      <w:r>
        <w:rPr>
          <w:rFonts w:ascii="Times New Roman" w:hAnsi="Times New Roman" w:cs="Times New Roman"/>
          <w:sz w:val="20"/>
          <w:szCs w:val="20"/>
        </w:rPr>
        <w:t xml:space="preserve"> − </w:t>
      </w:r>
      <w:r>
        <w:rPr>
          <w:rFonts w:ascii="Cambria Math" w:hAnsi="Cambria Math" w:cs="Cambria Math"/>
          <w:sz w:val="20"/>
          <w:szCs w:val="20"/>
        </w:rPr>
        <w:t>⟨</w:t>
      </w:r>
      <w:r>
        <w:rPr>
          <w:rFonts w:ascii="Times New Roman" w:hAnsi="Times New Roman" w:cs="Times New Roman"/>
          <w:sz w:val="20"/>
          <w:szCs w:val="20"/>
        </w:rPr>
        <w:t>W</w:t>
      </w:r>
      <w:r>
        <w:rPr>
          <w:rFonts w:ascii="Times New Roman" w:hAnsi="Times New Roman" w:cs="Times New Roman"/>
          <w:sz w:val="20"/>
          <w:szCs w:val="20"/>
          <w:vertAlign w:val="subscript"/>
        </w:rPr>
        <w:t>r</w:t>
      </w:r>
      <w:r>
        <w:rPr>
          <w:rFonts w:ascii="Cambria Math" w:hAnsi="Cambria Math" w:cs="Cambria Math"/>
          <w:sz w:val="20"/>
          <w:szCs w:val="20"/>
        </w:rPr>
        <w:t>⟩</w:t>
      </w:r>
      <w:r>
        <w:rPr>
          <w:rFonts w:ascii="Times New Roman" w:hAnsi="Times New Roman" w:cs="Times New Roman"/>
          <w:sz w:val="20"/>
          <w:szCs w:val="20"/>
        </w:rPr>
        <w:t>, which measures the work dissipated by switching at finite speed. Annotations are colored red below an overlap of 0.3 and amber below 0.5. Compound genotypes are reached by two sequential legs, both shown.</w:t>
      </w:r>
    </w:p>
    <w:p w14:paraId="2258011E" w14:textId="77777777" w:rsidR="00357877" w:rsidRDefault="00357877">
      <w:pPr>
        <w:rPr>
          <w:rFonts w:ascii="Times New Roman" w:hAnsi="Times New Roman" w:cs="Times New Roman"/>
          <w:sz w:val="20"/>
          <w:szCs w:val="20"/>
        </w:rPr>
      </w:pPr>
    </w:p>
    <w:p w14:paraId="252F9CF0" w14:textId="77777777" w:rsidR="002C069F" w:rsidRDefault="002C069F">
      <w:pPr>
        <w:rPr>
          <w:rFonts w:ascii="Times New Roman" w:hAnsi="Times New Roman" w:cs="Times New Roman"/>
          <w:sz w:val="20"/>
          <w:szCs w:val="20"/>
        </w:rPr>
      </w:pPr>
    </w:p>
    <w:p w14:paraId="2EA47024" w14:textId="77777777" w:rsidR="00AC700D" w:rsidRDefault="00000000">
      <w:pPr>
        <w:spacing w:after="200"/>
      </w:pPr>
      <w:r>
        <w:rPr>
          <w:b/>
          <w:color w:val="FF0000"/>
        </w:rPr>
        <w:lastRenderedPageBreak/>
        <w:t>Supplementary Notes and Tables added in revision</w:t>
      </w:r>
    </w:p>
    <w:p w14:paraId="3932BD2D" w14:textId="77777777" w:rsidR="00AC700D" w:rsidRDefault="00000000">
      <w:pPr>
        <w:spacing w:after="200"/>
      </w:pPr>
      <w:r>
        <w:rPr>
          <w:color w:val="FF0000"/>
        </w:rPr>
        <w:t xml:space="preserve">Supplementary Table 5. Sensitivity of MM/GBSA energies to the snapshot relaxation protocol. ΔΔETotal and each component for all 19 mutant genotypes, computed under hydrogen-only relaxation with heavy atoms restrained and under the unrestrained full minimization used in the main text. Values are kcal/mol, mean ± SEM over three replicates. Addresses Reviewer 3, comment 3(b).</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1500"/>
        <w:gridCol w:w="2400"/>
        <w:gridCol w:w="2400"/>
      </w:tblGrid>
      <w:tr>
        <w:trPr>
          <w:tblHeader/>
        </w:trPr>
        <w:tc>
          <w:tcPr>
            <w:tcW w:w="2000" w:type="dxa"/>
            <w:vAlign w:val="center"/>
          </w:tcPr>
          <w:p>
            <w:pPr>
              <w:spacing w:after="0" w:line="240" w:lineRule="auto"/>
              <w:jc w:val="center"/>
            </w:pPr>
            <w:r>
              <w:rPr>
                <w:b/>
                <w:sz w:val="13"/>
                <w:szCs w:val="13"/>
              </w:rPr>
              <w:t xml:space="preserve">Genotype</w:t>
            </w:r>
          </w:p>
        </w:tc>
        <w:tc>
          <w:tcPr>
            <w:tcW w:w="1500" w:type="dxa"/>
            <w:vAlign w:val="center"/>
          </w:tcPr>
          <w:p>
            <w:pPr>
              <w:spacing w:after="0" w:line="240" w:lineRule="auto"/>
              <w:jc w:val="center"/>
            </w:pPr>
            <w:r>
              <w:rPr>
                <w:b/>
                <w:sz w:val="13"/>
                <w:szCs w:val="13"/>
              </w:rPr>
              <w:t xml:space="preserve">Component</w:t>
            </w:r>
          </w:p>
        </w:tc>
        <w:tc>
          <w:tcPr>
            <w:tcW w:w="2400" w:type="dxa"/>
            <w:vAlign w:val="center"/>
          </w:tcPr>
          <w:p>
            <w:pPr>
              <w:spacing w:after="0" w:line="240" w:lineRule="auto"/>
              <w:jc w:val="center"/>
            </w:pPr>
            <w:r>
              <w:rPr>
                <w:b/>
                <w:sz w:val="13"/>
                <w:szCs w:val="13"/>
              </w:rPr>
              <w:t xml:space="preserve">H-only relaxation</w:t>
            </w:r>
          </w:p>
        </w:tc>
        <w:tc>
          <w:tcPr>
            <w:tcW w:w="2400" w:type="dxa"/>
            <w:vAlign w:val="center"/>
          </w:tcPr>
          <w:p>
            <w:pPr>
              <w:spacing w:after="0" w:line="240" w:lineRule="auto"/>
              <w:jc w:val="center"/>
            </w:pPr>
            <w:r>
              <w:rPr>
                <w:b/>
                <w:sz w:val="13"/>
                <w:szCs w:val="13"/>
              </w:rPr>
              <w:t xml:space="preserve">Full minimization</w:t>
            </w:r>
          </w:p>
        </w:tc>
      </w:tr>
      <w:tr>
        <w:tc>
          <w:tcPr>
            <w:tcW w:w="2000" w:type="dxa"/>
            <w:vAlign w:val="center"/>
          </w:tcPr>
          <w:p>
            <w:pPr>
              <w:spacing w:after="0" w:line="240" w:lineRule="auto"/>
              <w:jc w:val="center"/>
            </w:pPr>
            <w:r>
              <w:rPr>
                <w:color w:val="FF0000"/>
                <w:sz w:val="13"/>
                <w:szCs w:val="13"/>
              </w:rPr>
              <w:t xml:space="preserve">A98G+F227C</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-5.27 ± 1.93</w:t>
            </w:r>
          </w:p>
        </w:tc>
        <w:tc>
          <w:tcPr>
            <w:tcW w:w="2400" w:type="dxa"/>
            <w:vAlign w:val="center"/>
          </w:tcPr>
          <w:p>
            <w:pPr>
              <w:spacing w:after="0" w:line="240" w:lineRule="auto"/>
              <w:jc w:val="center"/>
            </w:pPr>
            <w:r>
              <w:rPr>
                <w:color w:val="FF0000"/>
                <w:sz w:val="13"/>
                <w:szCs w:val="13"/>
              </w:rPr>
              <w:t xml:space="preserve">2.47 ± 0.24</w:t>
            </w:r>
          </w:p>
        </w:tc>
      </w:tr>
      <w:tr>
        <w:tc>
          <w:tcPr>
            <w:tcW w:w="2000" w:type="dxa"/>
            <w:vAlign w:val="center"/>
          </w:tcPr>
          <w:p>
            <w:pPr>
              <w:spacing w:after="0" w:line="240" w:lineRule="auto"/>
              <w:jc w:val="center"/>
            </w:pPr>
            <w:r>
              <w:rPr>
                <w:color w:val="FF0000"/>
                <w:sz w:val="13"/>
                <w:szCs w:val="13"/>
              </w:rPr>
              <w:t xml:space="preserve">A98G+F227C</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-5.63 ± 1.73</w:t>
            </w:r>
          </w:p>
        </w:tc>
        <w:tc>
          <w:tcPr>
            <w:tcW w:w="2400" w:type="dxa"/>
            <w:vAlign w:val="center"/>
          </w:tcPr>
          <w:p>
            <w:pPr>
              <w:spacing w:after="0" w:line="240" w:lineRule="auto"/>
              <w:jc w:val="center"/>
            </w:pPr>
            <w:r>
              <w:rPr>
                <w:color w:val="FF0000"/>
                <w:sz w:val="13"/>
                <w:szCs w:val="13"/>
              </w:rPr>
              <w:t xml:space="preserve">1.81 ± 0.27</w:t>
            </w:r>
          </w:p>
        </w:tc>
      </w:tr>
      <w:tr>
        <w:tc>
          <w:tcPr>
            <w:tcW w:w="2000" w:type="dxa"/>
            <w:vAlign w:val="center"/>
          </w:tcPr>
          <w:p>
            <w:pPr>
              <w:spacing w:after="0" w:line="240" w:lineRule="auto"/>
              <w:jc w:val="center"/>
            </w:pPr>
            <w:r>
              <w:rPr>
                <w:color w:val="FF0000"/>
                <w:sz w:val="13"/>
                <w:szCs w:val="13"/>
              </w:rPr>
              <w:t xml:space="preserve">A98G+F227C</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-0.56 ± 0.16</w:t>
            </w:r>
          </w:p>
        </w:tc>
        <w:tc>
          <w:tcPr>
            <w:tcW w:w="2400" w:type="dxa"/>
            <w:vAlign w:val="center"/>
          </w:tcPr>
          <w:p>
            <w:pPr>
              <w:spacing w:after="0" w:line="240" w:lineRule="auto"/>
              <w:jc w:val="center"/>
            </w:pPr>
            <w:r>
              <w:rPr>
                <w:color w:val="FF0000"/>
                <w:sz w:val="13"/>
                <w:szCs w:val="13"/>
              </w:rPr>
              <w:t xml:space="preserve">0.30 ± 0.22</w:t>
            </w:r>
          </w:p>
        </w:tc>
      </w:tr>
      <w:tr>
        <w:tc>
          <w:tcPr>
            <w:tcW w:w="2000" w:type="dxa"/>
            <w:vAlign w:val="center"/>
          </w:tcPr>
          <w:p>
            <w:pPr>
              <w:spacing w:after="0" w:line="240" w:lineRule="auto"/>
              <w:jc w:val="center"/>
            </w:pPr>
            <w:r>
              <w:rPr>
                <w:color w:val="FF0000"/>
                <w:sz w:val="13"/>
                <w:szCs w:val="13"/>
              </w:rPr>
              <w:t xml:space="preserve">A98G+F227C</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0.91 ± 0.13</w:t>
            </w:r>
          </w:p>
        </w:tc>
        <w:tc>
          <w:tcPr>
            <w:tcW w:w="2400" w:type="dxa"/>
            <w:vAlign w:val="center"/>
          </w:tcPr>
          <w:p>
            <w:pPr>
              <w:spacing w:after="0" w:line="240" w:lineRule="auto"/>
              <w:jc w:val="center"/>
            </w:pPr>
            <w:r>
              <w:rPr>
                <w:color w:val="FF0000"/>
                <w:sz w:val="13"/>
                <w:szCs w:val="13"/>
              </w:rPr>
              <w:t xml:space="preserve">0.31 ± 0.15</w:t>
            </w:r>
          </w:p>
        </w:tc>
      </w:tr>
      <w:tr>
        <w:tc>
          <w:tcPr>
            <w:tcW w:w="2000" w:type="dxa"/>
            <w:vAlign w:val="center"/>
          </w:tcPr>
          <w:p>
            <w:pPr>
              <w:spacing w:after="0" w:line="240" w:lineRule="auto"/>
              <w:jc w:val="center"/>
            </w:pPr>
            <w:r>
              <w:rPr>
                <w:color w:val="FF0000"/>
                <w:sz w:val="13"/>
                <w:szCs w:val="13"/>
              </w:rPr>
              <w:t xml:space="preserve">F227C</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-8.89 ± 0.19</w:t>
            </w:r>
          </w:p>
        </w:tc>
        <w:tc>
          <w:tcPr>
            <w:tcW w:w="2400" w:type="dxa"/>
            <w:vAlign w:val="center"/>
          </w:tcPr>
          <w:p>
            <w:pPr>
              <w:spacing w:after="0" w:line="240" w:lineRule="auto"/>
              <w:jc w:val="center"/>
            </w:pPr>
            <w:r>
              <w:rPr>
                <w:color w:val="FF0000"/>
                <w:sz w:val="13"/>
                <w:szCs w:val="13"/>
              </w:rPr>
              <w:t xml:space="preserve">1.15 ± 0.31</w:t>
            </w:r>
          </w:p>
        </w:tc>
      </w:tr>
      <w:tr>
        <w:tc>
          <w:tcPr>
            <w:tcW w:w="2000" w:type="dxa"/>
            <w:vAlign w:val="center"/>
          </w:tcPr>
          <w:p>
            <w:pPr>
              <w:spacing w:after="0" w:line="240" w:lineRule="auto"/>
              <w:jc w:val="center"/>
            </w:pPr>
            <w:r>
              <w:rPr>
                <w:color w:val="FF0000"/>
                <w:sz w:val="13"/>
                <w:szCs w:val="13"/>
              </w:rPr>
              <w:t xml:space="preserve">F227C</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-8.69 ± 0.16</w:t>
            </w:r>
          </w:p>
        </w:tc>
        <w:tc>
          <w:tcPr>
            <w:tcW w:w="2400" w:type="dxa"/>
            <w:vAlign w:val="center"/>
          </w:tcPr>
          <w:p>
            <w:pPr>
              <w:spacing w:after="0" w:line="240" w:lineRule="auto"/>
              <w:jc w:val="center"/>
            </w:pPr>
            <w:r>
              <w:rPr>
                <w:color w:val="FF0000"/>
                <w:sz w:val="13"/>
                <w:szCs w:val="13"/>
              </w:rPr>
              <w:t xml:space="preserve">1.17 ± 0.29</w:t>
            </w:r>
          </w:p>
        </w:tc>
      </w:tr>
      <w:tr>
        <w:tc>
          <w:tcPr>
            <w:tcW w:w="2000" w:type="dxa"/>
            <w:vAlign w:val="center"/>
          </w:tcPr>
          <w:p>
            <w:pPr>
              <w:spacing w:after="0" w:line="240" w:lineRule="auto"/>
              <w:jc w:val="center"/>
            </w:pPr>
            <w:r>
              <w:rPr>
                <w:color w:val="FF0000"/>
                <w:sz w:val="13"/>
                <w:szCs w:val="13"/>
              </w:rPr>
              <w:t xml:space="preserve">F227C</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-1.34 ± 0.43</w:t>
            </w:r>
          </w:p>
        </w:tc>
        <w:tc>
          <w:tcPr>
            <w:tcW w:w="2400" w:type="dxa"/>
            <w:vAlign w:val="center"/>
          </w:tcPr>
          <w:p>
            <w:pPr>
              <w:spacing w:after="0" w:line="240" w:lineRule="auto"/>
              <w:jc w:val="center"/>
            </w:pPr>
            <w:r>
              <w:rPr>
                <w:color w:val="FF0000"/>
                <w:sz w:val="13"/>
                <w:szCs w:val="13"/>
              </w:rPr>
              <w:t xml:space="preserve">-0.01 ± 0.32</w:t>
            </w:r>
          </w:p>
        </w:tc>
      </w:tr>
      <w:tr>
        <w:tc>
          <w:tcPr>
            <w:tcW w:w="2000" w:type="dxa"/>
            <w:vAlign w:val="center"/>
          </w:tcPr>
          <w:p>
            <w:pPr>
              <w:spacing w:after="0" w:line="240" w:lineRule="auto"/>
              <w:jc w:val="center"/>
            </w:pPr>
            <w:r>
              <w:rPr>
                <w:color w:val="FF0000"/>
                <w:sz w:val="13"/>
                <w:szCs w:val="13"/>
              </w:rPr>
              <w:t xml:space="preserve">F227C</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1.14 ± 0.36</w:t>
            </w:r>
          </w:p>
        </w:tc>
        <w:tc>
          <w:tcPr>
            <w:tcW w:w="2400" w:type="dxa"/>
            <w:vAlign w:val="center"/>
          </w:tcPr>
          <w:p>
            <w:pPr>
              <w:spacing w:after="0" w:line="240" w:lineRule="auto"/>
              <w:jc w:val="center"/>
            </w:pPr>
            <w:r>
              <w:rPr>
                <w:color w:val="FF0000"/>
                <w:sz w:val="13"/>
                <w:szCs w:val="13"/>
              </w:rPr>
              <w:t xml:space="preserve">-0.03 ± 0.28</w:t>
            </w:r>
          </w:p>
        </w:tc>
      </w:tr>
      <w:tr>
        <w:tc>
          <w:tcPr>
            <w:tcW w:w="2000" w:type="dxa"/>
            <w:vAlign w:val="center"/>
          </w:tcPr>
          <w:p>
            <w:pPr>
              <w:spacing w:after="0" w:line="240" w:lineRule="auto"/>
              <w:jc w:val="center"/>
            </w:pPr>
            <w:r>
              <w:rPr>
                <w:color w:val="FF0000"/>
                <w:sz w:val="13"/>
                <w:szCs w:val="13"/>
              </w:rPr>
              <w:t xml:space="preserve">G190A</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6.04 ± 5.34</w:t>
            </w:r>
          </w:p>
        </w:tc>
        <w:tc>
          <w:tcPr>
            <w:tcW w:w="2400" w:type="dxa"/>
            <w:vAlign w:val="center"/>
          </w:tcPr>
          <w:p>
            <w:pPr>
              <w:spacing w:after="0" w:line="240" w:lineRule="auto"/>
              <w:jc w:val="center"/>
            </w:pPr>
            <w:r>
              <w:rPr>
                <w:color w:val="FF0000"/>
                <w:sz w:val="13"/>
                <w:szCs w:val="13"/>
              </w:rPr>
              <w:t xml:space="preserve">1.57 ± 0.23</w:t>
            </w:r>
          </w:p>
        </w:tc>
      </w:tr>
      <w:tr>
        <w:tc>
          <w:tcPr>
            <w:tcW w:w="2000" w:type="dxa"/>
            <w:vAlign w:val="center"/>
          </w:tcPr>
          <w:p>
            <w:pPr>
              <w:spacing w:after="0" w:line="240" w:lineRule="auto"/>
              <w:jc w:val="center"/>
            </w:pPr>
            <w:r>
              <w:rPr>
                <w:color w:val="FF0000"/>
                <w:sz w:val="13"/>
                <w:szCs w:val="13"/>
              </w:rPr>
              <w:t xml:space="preserve">G190A</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5.58 ± 5.11</w:t>
            </w:r>
          </w:p>
        </w:tc>
        <w:tc>
          <w:tcPr>
            <w:tcW w:w="2400" w:type="dxa"/>
            <w:vAlign w:val="center"/>
          </w:tcPr>
          <w:p>
            <w:pPr>
              <w:spacing w:after="0" w:line="240" w:lineRule="auto"/>
              <w:jc w:val="center"/>
            </w:pPr>
            <w:r>
              <w:rPr>
                <w:color w:val="FF0000"/>
                <w:sz w:val="13"/>
                <w:szCs w:val="13"/>
              </w:rPr>
              <w:t xml:space="preserve">1.35 ± 0.37</w:t>
            </w:r>
          </w:p>
        </w:tc>
      </w:tr>
      <w:tr>
        <w:tc>
          <w:tcPr>
            <w:tcW w:w="2000" w:type="dxa"/>
            <w:vAlign w:val="center"/>
          </w:tcPr>
          <w:p>
            <w:pPr>
              <w:spacing w:after="0" w:line="240" w:lineRule="auto"/>
              <w:jc w:val="center"/>
            </w:pPr>
            <w:r>
              <w:rPr>
                <w:color w:val="FF0000"/>
                <w:sz w:val="13"/>
                <w:szCs w:val="13"/>
              </w:rPr>
              <w:t xml:space="preserve">G190A</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1.08 ± 0.37</w:t>
            </w:r>
          </w:p>
        </w:tc>
        <w:tc>
          <w:tcPr>
            <w:tcW w:w="2400" w:type="dxa"/>
            <w:vAlign w:val="center"/>
          </w:tcPr>
          <w:p>
            <w:pPr>
              <w:spacing w:after="0" w:line="240" w:lineRule="auto"/>
              <w:jc w:val="center"/>
            </w:pPr>
            <w:r>
              <w:rPr>
                <w:color w:val="FF0000"/>
                <w:sz w:val="13"/>
                <w:szCs w:val="13"/>
              </w:rPr>
              <w:t xml:space="preserve">0.34 ± 0.23</w:t>
            </w:r>
          </w:p>
        </w:tc>
      </w:tr>
      <w:tr>
        <w:tc>
          <w:tcPr>
            <w:tcW w:w="2000" w:type="dxa"/>
            <w:vAlign w:val="center"/>
          </w:tcPr>
          <w:p>
            <w:pPr>
              <w:spacing w:after="0" w:line="240" w:lineRule="auto"/>
              <w:jc w:val="center"/>
            </w:pPr>
            <w:r>
              <w:rPr>
                <w:color w:val="FF0000"/>
                <w:sz w:val="13"/>
                <w:szCs w:val="13"/>
              </w:rPr>
              <w:t xml:space="preserve">G190A</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-0.59 ± 0.62</w:t>
            </w:r>
          </w:p>
        </w:tc>
        <w:tc>
          <w:tcPr>
            <w:tcW w:w="2400" w:type="dxa"/>
            <w:vAlign w:val="center"/>
          </w:tcPr>
          <w:p>
            <w:pPr>
              <w:spacing w:after="0" w:line="240" w:lineRule="auto"/>
              <w:jc w:val="center"/>
            </w:pPr>
            <w:r>
              <w:rPr>
                <w:color w:val="FF0000"/>
                <w:sz w:val="13"/>
                <w:szCs w:val="13"/>
              </w:rPr>
              <w:t xml:space="preserve">-0.14 ± 0.36</w:t>
            </w:r>
          </w:p>
        </w:tc>
      </w:tr>
      <w:tr>
        <w:tc>
          <w:tcPr>
            <w:tcW w:w="2000" w:type="dxa"/>
            <w:vAlign w:val="center"/>
          </w:tcPr>
          <w:p>
            <w:pPr>
              <w:spacing w:after="0" w:line="240" w:lineRule="auto"/>
              <w:jc w:val="center"/>
            </w:pPr>
            <w:r>
              <w:rPr>
                <w:color w:val="FF0000"/>
                <w:sz w:val="13"/>
                <w:szCs w:val="13"/>
              </w:rPr>
              <w:t xml:space="preserve">G190E</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28.32 ± 15.12</w:t>
            </w:r>
          </w:p>
        </w:tc>
        <w:tc>
          <w:tcPr>
            <w:tcW w:w="2400" w:type="dxa"/>
            <w:vAlign w:val="center"/>
          </w:tcPr>
          <w:p>
            <w:pPr>
              <w:spacing w:after="0" w:line="240" w:lineRule="auto"/>
              <w:jc w:val="center"/>
            </w:pPr>
            <w:r>
              <w:rPr>
                <w:color w:val="FF0000"/>
                <w:sz w:val="13"/>
                <w:szCs w:val="13"/>
              </w:rPr>
              <w:t xml:space="preserve">1.94 ± 0.40</w:t>
            </w:r>
          </w:p>
        </w:tc>
      </w:tr>
      <w:tr>
        <w:tc>
          <w:tcPr>
            <w:tcW w:w="2000" w:type="dxa"/>
            <w:vAlign w:val="center"/>
          </w:tcPr>
          <w:p>
            <w:pPr>
              <w:spacing w:after="0" w:line="240" w:lineRule="auto"/>
              <w:jc w:val="center"/>
            </w:pPr>
            <w:r>
              <w:rPr>
                <w:color w:val="FF0000"/>
                <w:sz w:val="13"/>
                <w:szCs w:val="13"/>
              </w:rPr>
              <w:t xml:space="preserve">G190E</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26.37 ± 14.81</w:t>
            </w:r>
          </w:p>
        </w:tc>
        <w:tc>
          <w:tcPr>
            <w:tcW w:w="2400" w:type="dxa"/>
            <w:vAlign w:val="center"/>
          </w:tcPr>
          <w:p>
            <w:pPr>
              <w:spacing w:after="0" w:line="240" w:lineRule="auto"/>
              <w:jc w:val="center"/>
            </w:pPr>
            <w:r>
              <w:rPr>
                <w:color w:val="FF0000"/>
                <w:sz w:val="13"/>
                <w:szCs w:val="13"/>
              </w:rPr>
              <w:t xml:space="preserve">0.88 ± 0.61</w:t>
            </w:r>
          </w:p>
        </w:tc>
      </w:tr>
      <w:tr>
        <w:tc>
          <w:tcPr>
            <w:tcW w:w="2000" w:type="dxa"/>
            <w:vAlign w:val="center"/>
          </w:tcPr>
          <w:p>
            <w:pPr>
              <w:spacing w:after="0" w:line="240" w:lineRule="auto"/>
              <w:jc w:val="center"/>
            </w:pPr>
            <w:r>
              <w:rPr>
                <w:color w:val="FF0000"/>
                <w:sz w:val="13"/>
                <w:szCs w:val="13"/>
              </w:rPr>
              <w:t xml:space="preserve">G190E</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0.71 ± 0.87</w:t>
            </w:r>
          </w:p>
        </w:tc>
        <w:tc>
          <w:tcPr>
            <w:tcW w:w="2400" w:type="dxa"/>
            <w:vAlign w:val="center"/>
          </w:tcPr>
          <w:p>
            <w:pPr>
              <w:spacing w:after="0" w:line="240" w:lineRule="auto"/>
              <w:jc w:val="center"/>
            </w:pPr>
            <w:r>
              <w:rPr>
                <w:color w:val="FF0000"/>
                <w:sz w:val="13"/>
                <w:szCs w:val="13"/>
              </w:rPr>
              <w:t xml:space="preserve">-1.37 ± 0.43</w:t>
            </w:r>
          </w:p>
        </w:tc>
      </w:tr>
      <w:tr>
        <w:tc>
          <w:tcPr>
            <w:tcW w:w="2000" w:type="dxa"/>
            <w:vAlign w:val="center"/>
          </w:tcPr>
          <w:p>
            <w:pPr>
              <w:spacing w:after="0" w:line="240" w:lineRule="auto"/>
              <w:jc w:val="center"/>
            </w:pPr>
            <w:r>
              <w:rPr>
                <w:color w:val="FF0000"/>
                <w:sz w:val="13"/>
                <w:szCs w:val="13"/>
              </w:rPr>
              <w:t xml:space="preserve">G190E</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1.31 ± 0.60</w:t>
            </w:r>
          </w:p>
        </w:tc>
        <w:tc>
          <w:tcPr>
            <w:tcW w:w="2400" w:type="dxa"/>
            <w:vAlign w:val="center"/>
          </w:tcPr>
          <w:p>
            <w:pPr>
              <w:spacing w:after="0" w:line="240" w:lineRule="auto"/>
              <w:jc w:val="center"/>
            </w:pPr>
            <w:r>
              <w:rPr>
                <w:color w:val="FF0000"/>
                <w:sz w:val="13"/>
                <w:szCs w:val="13"/>
              </w:rPr>
              <w:t xml:space="preserve">2.50 ± 0.32</w:t>
            </w:r>
          </w:p>
        </w:tc>
      </w:tr>
      <w:tr>
        <w:tc>
          <w:tcPr>
            <w:tcW w:w="2000" w:type="dxa"/>
            <w:vAlign w:val="center"/>
          </w:tcPr>
          <w:p>
            <w:pPr>
              <w:spacing w:after="0" w:line="240" w:lineRule="auto"/>
              <w:jc w:val="center"/>
            </w:pPr>
            <w:r>
              <w:rPr>
                <w:color w:val="FF0000"/>
                <w:sz w:val="13"/>
                <w:szCs w:val="13"/>
              </w:rPr>
              <w:t xml:space="preserve">G190S</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20.95 ± 17.46</w:t>
            </w:r>
          </w:p>
        </w:tc>
        <w:tc>
          <w:tcPr>
            <w:tcW w:w="2400" w:type="dxa"/>
            <w:vAlign w:val="center"/>
          </w:tcPr>
          <w:p>
            <w:pPr>
              <w:spacing w:after="0" w:line="240" w:lineRule="auto"/>
              <w:jc w:val="center"/>
            </w:pPr>
            <w:r>
              <w:rPr>
                <w:color w:val="FF0000"/>
                <w:sz w:val="13"/>
                <w:szCs w:val="13"/>
              </w:rPr>
              <w:t xml:space="preserve">3.01 ± 1.13</w:t>
            </w:r>
          </w:p>
        </w:tc>
      </w:tr>
      <w:tr>
        <w:tc>
          <w:tcPr>
            <w:tcW w:w="2000" w:type="dxa"/>
            <w:vAlign w:val="center"/>
          </w:tcPr>
          <w:p>
            <w:pPr>
              <w:spacing w:after="0" w:line="240" w:lineRule="auto"/>
              <w:jc w:val="center"/>
            </w:pPr>
            <w:r>
              <w:rPr>
                <w:color w:val="FF0000"/>
                <w:sz w:val="13"/>
                <w:szCs w:val="13"/>
              </w:rPr>
              <w:t xml:space="preserve">G190S</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19.23 ± 16.81</w:t>
            </w:r>
          </w:p>
        </w:tc>
        <w:tc>
          <w:tcPr>
            <w:tcW w:w="2400" w:type="dxa"/>
            <w:vAlign w:val="center"/>
          </w:tcPr>
          <w:p>
            <w:pPr>
              <w:spacing w:after="0" w:line="240" w:lineRule="auto"/>
              <w:jc w:val="center"/>
            </w:pPr>
            <w:r>
              <w:rPr>
                <w:color w:val="FF0000"/>
                <w:sz w:val="13"/>
                <w:szCs w:val="13"/>
              </w:rPr>
              <w:t xml:space="preserve">1.92 ± 0.90</w:t>
            </w:r>
          </w:p>
        </w:tc>
      </w:tr>
      <w:tr>
        <w:tc>
          <w:tcPr>
            <w:tcW w:w="2000" w:type="dxa"/>
            <w:vAlign w:val="center"/>
          </w:tcPr>
          <w:p>
            <w:pPr>
              <w:spacing w:after="0" w:line="240" w:lineRule="auto"/>
              <w:jc w:val="center"/>
            </w:pPr>
            <w:r>
              <w:rPr>
                <w:color w:val="FF0000"/>
                <w:sz w:val="13"/>
                <w:szCs w:val="13"/>
              </w:rPr>
              <w:t xml:space="preserve">G190S</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0.88 ± 0.64</w:t>
            </w:r>
          </w:p>
        </w:tc>
        <w:tc>
          <w:tcPr>
            <w:tcW w:w="2400" w:type="dxa"/>
            <w:vAlign w:val="center"/>
          </w:tcPr>
          <w:p>
            <w:pPr>
              <w:spacing w:after="0" w:line="240" w:lineRule="auto"/>
              <w:jc w:val="center"/>
            </w:pPr>
            <w:r>
              <w:rPr>
                <w:color w:val="FF0000"/>
                <w:sz w:val="13"/>
                <w:szCs w:val="13"/>
              </w:rPr>
              <w:t xml:space="preserve">0.23 ± 0.22</w:t>
            </w:r>
          </w:p>
        </w:tc>
      </w:tr>
      <w:tr>
        <w:tc>
          <w:tcPr>
            <w:tcW w:w="2000" w:type="dxa"/>
            <w:vAlign w:val="center"/>
          </w:tcPr>
          <w:p>
            <w:pPr>
              <w:spacing w:after="0" w:line="240" w:lineRule="auto"/>
              <w:jc w:val="center"/>
            </w:pPr>
            <w:r>
              <w:rPr>
                <w:color w:val="FF0000"/>
                <w:sz w:val="13"/>
                <w:szCs w:val="13"/>
              </w:rPr>
              <w:t xml:space="preserve">G190S</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0.82 ± 0.15</w:t>
            </w:r>
          </w:p>
        </w:tc>
        <w:tc>
          <w:tcPr>
            <w:tcW w:w="2400" w:type="dxa"/>
            <w:vAlign w:val="center"/>
          </w:tcPr>
          <w:p>
            <w:pPr>
              <w:spacing w:after="0" w:line="240" w:lineRule="auto"/>
              <w:jc w:val="center"/>
            </w:pPr>
            <w:r>
              <w:rPr>
                <w:color w:val="FF0000"/>
                <w:sz w:val="13"/>
                <w:szCs w:val="13"/>
              </w:rPr>
              <w:t xml:space="preserve">0.87 ± 0.11</w:t>
            </w:r>
          </w:p>
        </w:tc>
      </w:tr>
      <w:tr>
        <w:tc>
          <w:tcPr>
            <w:tcW w:w="2000" w:type="dxa"/>
            <w:vAlign w:val="center"/>
          </w:tcPr>
          <w:p>
            <w:pPr>
              <w:spacing w:after="0" w:line="240" w:lineRule="auto"/>
              <w:jc w:val="center"/>
            </w:pPr>
            <w:r>
              <w:rPr>
                <w:color w:val="FF0000"/>
                <w:sz w:val="13"/>
                <w:szCs w:val="13"/>
              </w:rPr>
              <w:t xml:space="preserve">K103N</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5.71 ± 9.49</w:t>
            </w:r>
          </w:p>
        </w:tc>
        <w:tc>
          <w:tcPr>
            <w:tcW w:w="2400" w:type="dxa"/>
            <w:vAlign w:val="center"/>
          </w:tcPr>
          <w:p>
            <w:pPr>
              <w:spacing w:after="0" w:line="240" w:lineRule="auto"/>
              <w:jc w:val="center"/>
            </w:pPr>
            <w:r>
              <w:rPr>
                <w:color w:val="FF0000"/>
                <w:sz w:val="13"/>
                <w:szCs w:val="13"/>
              </w:rPr>
              <w:t xml:space="preserve">-0.75 ± 0.13</w:t>
            </w:r>
          </w:p>
        </w:tc>
      </w:tr>
      <w:tr>
        <w:tc>
          <w:tcPr>
            <w:tcW w:w="2000" w:type="dxa"/>
            <w:vAlign w:val="center"/>
          </w:tcPr>
          <w:p>
            <w:pPr>
              <w:spacing w:after="0" w:line="240" w:lineRule="auto"/>
              <w:jc w:val="center"/>
            </w:pPr>
            <w:r>
              <w:rPr>
                <w:color w:val="FF0000"/>
                <w:sz w:val="13"/>
                <w:szCs w:val="13"/>
              </w:rPr>
              <w:t xml:space="preserve">K103N</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5.48 ± 9.34</w:t>
            </w:r>
          </w:p>
        </w:tc>
        <w:tc>
          <w:tcPr>
            <w:tcW w:w="2400" w:type="dxa"/>
            <w:vAlign w:val="center"/>
          </w:tcPr>
          <w:p>
            <w:pPr>
              <w:spacing w:after="0" w:line="240" w:lineRule="auto"/>
              <w:jc w:val="center"/>
            </w:pPr>
            <w:r>
              <w:rPr>
                <w:color w:val="FF0000"/>
                <w:sz w:val="13"/>
                <w:szCs w:val="13"/>
              </w:rPr>
              <w:t xml:space="preserve">-0.60 ± 0.11</w:t>
            </w:r>
          </w:p>
        </w:tc>
      </w:tr>
      <w:tr>
        <w:tc>
          <w:tcPr>
            <w:tcW w:w="2000" w:type="dxa"/>
            <w:vAlign w:val="center"/>
          </w:tcPr>
          <w:p>
            <w:pPr>
              <w:spacing w:after="0" w:line="240" w:lineRule="auto"/>
              <w:jc w:val="center"/>
            </w:pPr>
            <w:r>
              <w:rPr>
                <w:color w:val="FF0000"/>
                <w:sz w:val="13"/>
                <w:szCs w:val="13"/>
              </w:rPr>
              <w:t xml:space="preserve">K103N</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-2.21 ± 0.23</w:t>
            </w:r>
          </w:p>
        </w:tc>
        <w:tc>
          <w:tcPr>
            <w:tcW w:w="2400" w:type="dxa"/>
            <w:vAlign w:val="center"/>
          </w:tcPr>
          <w:p>
            <w:pPr>
              <w:spacing w:after="0" w:line="240" w:lineRule="auto"/>
              <w:jc w:val="center"/>
            </w:pPr>
            <w:r>
              <w:rPr>
                <w:color w:val="FF0000"/>
                <w:sz w:val="13"/>
                <w:szCs w:val="13"/>
              </w:rPr>
              <w:t xml:space="preserve">-2.10 ± 0.19</w:t>
            </w:r>
          </w:p>
        </w:tc>
      </w:tr>
      <w:tr>
        <w:tc>
          <w:tcPr>
            <w:tcW w:w="2000" w:type="dxa"/>
            <w:vAlign w:val="center"/>
          </w:tcPr>
          <w:p>
            <w:pPr>
              <w:spacing w:after="0" w:line="240" w:lineRule="auto"/>
              <w:jc w:val="center"/>
            </w:pPr>
            <w:r>
              <w:rPr>
                <w:color w:val="FF0000"/>
                <w:sz w:val="13"/>
                <w:szCs w:val="13"/>
              </w:rPr>
              <w:t xml:space="preserve">K103N</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2.47 ± 0.19</w:t>
            </w:r>
          </w:p>
        </w:tc>
        <w:tc>
          <w:tcPr>
            <w:tcW w:w="2400" w:type="dxa"/>
            <w:vAlign w:val="center"/>
          </w:tcPr>
          <w:p>
            <w:pPr>
              <w:spacing w:after="0" w:line="240" w:lineRule="auto"/>
              <w:jc w:val="center"/>
            </w:pPr>
            <w:r>
              <w:rPr>
                <w:color w:val="FF0000"/>
                <w:sz w:val="13"/>
                <w:szCs w:val="13"/>
              </w:rPr>
              <w:t xml:space="preserve">2.00 ± 0.17</w:t>
            </w:r>
          </w:p>
        </w:tc>
      </w:tr>
      <w:tr>
        <w:tc>
          <w:tcPr>
            <w:tcW w:w="2000" w:type="dxa"/>
            <w:vAlign w:val="center"/>
          </w:tcPr>
          <w:p>
            <w:pPr>
              <w:spacing w:after="0" w:line="240" w:lineRule="auto"/>
              <w:jc w:val="center"/>
            </w:pPr>
            <w:r>
              <w:rPr>
                <w:color w:val="FF0000"/>
                <w:sz w:val="13"/>
                <w:szCs w:val="13"/>
              </w:rPr>
              <w:t xml:space="preserve">K103N+M230L</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6.00 ± 13.11</w:t>
            </w:r>
          </w:p>
        </w:tc>
        <w:tc>
          <w:tcPr>
            <w:tcW w:w="2400" w:type="dxa"/>
            <w:vAlign w:val="center"/>
          </w:tcPr>
          <w:p>
            <w:pPr>
              <w:spacing w:after="0" w:line="240" w:lineRule="auto"/>
              <w:jc w:val="center"/>
            </w:pPr>
            <w:r>
              <w:rPr>
                <w:color w:val="FF0000"/>
                <w:sz w:val="13"/>
                <w:szCs w:val="13"/>
              </w:rPr>
              <w:t xml:space="preserve">-1.42 ± 0.67</w:t>
            </w:r>
          </w:p>
        </w:tc>
      </w:tr>
      <w:tr>
        <w:tc>
          <w:tcPr>
            <w:tcW w:w="2000" w:type="dxa"/>
            <w:vAlign w:val="center"/>
          </w:tcPr>
          <w:p>
            <w:pPr>
              <w:spacing w:after="0" w:line="240" w:lineRule="auto"/>
              <w:jc w:val="center"/>
            </w:pPr>
            <w:r>
              <w:rPr>
                <w:color w:val="FF0000"/>
                <w:sz w:val="13"/>
                <w:szCs w:val="13"/>
              </w:rPr>
              <w:t xml:space="preserve">K103N+M230L</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6.18 ± 12.98</w:t>
            </w:r>
          </w:p>
        </w:tc>
        <w:tc>
          <w:tcPr>
            <w:tcW w:w="2400" w:type="dxa"/>
            <w:vAlign w:val="center"/>
          </w:tcPr>
          <w:p>
            <w:pPr>
              <w:spacing w:after="0" w:line="240" w:lineRule="auto"/>
              <w:jc w:val="center"/>
            </w:pPr>
            <w:r>
              <w:rPr>
                <w:color w:val="FF0000"/>
                <w:sz w:val="13"/>
                <w:szCs w:val="13"/>
              </w:rPr>
              <w:t xml:space="preserve">-0.95 ± 0.53</w:t>
            </w:r>
          </w:p>
        </w:tc>
      </w:tr>
      <w:tr>
        <w:tc>
          <w:tcPr>
            <w:tcW w:w="2000" w:type="dxa"/>
            <w:vAlign w:val="center"/>
          </w:tcPr>
          <w:p>
            <w:pPr>
              <w:spacing w:after="0" w:line="240" w:lineRule="auto"/>
              <w:jc w:val="center"/>
            </w:pPr>
            <w:r>
              <w:rPr>
                <w:color w:val="FF0000"/>
                <w:sz w:val="13"/>
                <w:szCs w:val="13"/>
              </w:rPr>
              <w:t xml:space="preserve">K103N+M230L</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-2.92 ± 0.86</w:t>
            </w:r>
          </w:p>
        </w:tc>
        <w:tc>
          <w:tcPr>
            <w:tcW w:w="2400" w:type="dxa"/>
            <w:vAlign w:val="center"/>
          </w:tcPr>
          <w:p>
            <w:pPr>
              <w:spacing w:after="0" w:line="240" w:lineRule="auto"/>
              <w:jc w:val="center"/>
            </w:pPr>
            <w:r>
              <w:rPr>
                <w:color w:val="FF0000"/>
                <w:sz w:val="13"/>
                <w:szCs w:val="13"/>
              </w:rPr>
              <w:t xml:space="preserve">-2.74 ± 0.56</w:t>
            </w:r>
          </w:p>
        </w:tc>
      </w:tr>
      <w:tr>
        <w:tc>
          <w:tcPr>
            <w:tcW w:w="2000" w:type="dxa"/>
            <w:vAlign w:val="center"/>
          </w:tcPr>
          <w:p>
            <w:pPr>
              <w:spacing w:after="0" w:line="240" w:lineRule="auto"/>
              <w:jc w:val="center"/>
            </w:pPr>
            <w:r>
              <w:rPr>
                <w:color w:val="FF0000"/>
                <w:sz w:val="13"/>
                <w:szCs w:val="13"/>
              </w:rPr>
              <w:t xml:space="preserve">K103N+M230L</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2.80 ± 0.84</w:t>
            </w:r>
          </w:p>
        </w:tc>
        <w:tc>
          <w:tcPr>
            <w:tcW w:w="2400" w:type="dxa"/>
            <w:vAlign w:val="center"/>
          </w:tcPr>
          <w:p>
            <w:pPr>
              <w:spacing w:after="0" w:line="240" w:lineRule="auto"/>
              <w:jc w:val="center"/>
            </w:pPr>
            <w:r>
              <w:rPr>
                <w:color w:val="FF0000"/>
                <w:sz w:val="13"/>
                <w:szCs w:val="13"/>
              </w:rPr>
              <w:t xml:space="preserve">2.33 ± 0.57</w:t>
            </w:r>
          </w:p>
        </w:tc>
      </w:tr>
      <w:tr>
        <w:tc>
          <w:tcPr>
            <w:tcW w:w="2000" w:type="dxa"/>
            <w:vAlign w:val="center"/>
          </w:tcPr>
          <w:p>
            <w:pPr>
              <w:spacing w:after="0" w:line="240" w:lineRule="auto"/>
              <w:jc w:val="center"/>
            </w:pPr>
            <w:r>
              <w:rPr>
                <w:color w:val="FF0000"/>
                <w:sz w:val="13"/>
                <w:szCs w:val="13"/>
              </w:rPr>
              <w:t xml:space="preserve">K103N+P225H</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-2.27 ± 6.11</w:t>
            </w:r>
          </w:p>
        </w:tc>
        <w:tc>
          <w:tcPr>
            <w:tcW w:w="2400" w:type="dxa"/>
            <w:vAlign w:val="center"/>
          </w:tcPr>
          <w:p>
            <w:pPr>
              <w:spacing w:after="0" w:line="240" w:lineRule="auto"/>
              <w:jc w:val="center"/>
            </w:pPr>
            <w:r>
              <w:rPr>
                <w:color w:val="FF0000"/>
                <w:sz w:val="13"/>
                <w:szCs w:val="13"/>
              </w:rPr>
              <w:t xml:space="preserve">0.70 ± 0.30</w:t>
            </w:r>
          </w:p>
        </w:tc>
      </w:tr>
      <w:tr>
        <w:tc>
          <w:tcPr>
            <w:tcW w:w="2000" w:type="dxa"/>
            <w:vAlign w:val="center"/>
          </w:tcPr>
          <w:p>
            <w:pPr>
              <w:spacing w:after="0" w:line="240" w:lineRule="auto"/>
              <w:jc w:val="center"/>
            </w:pPr>
            <w:r>
              <w:rPr>
                <w:color w:val="FF0000"/>
                <w:sz w:val="13"/>
                <w:szCs w:val="13"/>
              </w:rPr>
              <w:t xml:space="preserve">K103N+P225H</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-2.97 ± 6.04</w:t>
            </w:r>
          </w:p>
        </w:tc>
        <w:tc>
          <w:tcPr>
            <w:tcW w:w="2400" w:type="dxa"/>
            <w:vAlign w:val="center"/>
          </w:tcPr>
          <w:p>
            <w:pPr>
              <w:spacing w:after="0" w:line="240" w:lineRule="auto"/>
              <w:jc w:val="center"/>
            </w:pPr>
            <w:r>
              <w:rPr>
                <w:color w:val="FF0000"/>
                <w:sz w:val="13"/>
                <w:szCs w:val="13"/>
              </w:rPr>
              <w:t xml:space="preserve">0.39 ± 0.13</w:t>
            </w:r>
          </w:p>
        </w:tc>
      </w:tr>
      <w:tr>
        <w:tc>
          <w:tcPr>
            <w:tcW w:w="2000" w:type="dxa"/>
            <w:vAlign w:val="center"/>
          </w:tcPr>
          <w:p>
            <w:pPr>
              <w:spacing w:after="0" w:line="240" w:lineRule="auto"/>
              <w:jc w:val="center"/>
            </w:pPr>
            <w:r>
              <w:rPr>
                <w:color w:val="FF0000"/>
                <w:sz w:val="13"/>
                <w:szCs w:val="13"/>
              </w:rPr>
              <w:t xml:space="preserve">K103N+P225H</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-2.28 ± 0.23</w:t>
            </w:r>
          </w:p>
        </w:tc>
        <w:tc>
          <w:tcPr>
            <w:tcW w:w="2400" w:type="dxa"/>
            <w:vAlign w:val="center"/>
          </w:tcPr>
          <w:p>
            <w:pPr>
              <w:spacing w:after="0" w:line="240" w:lineRule="auto"/>
              <w:jc w:val="center"/>
            </w:pPr>
            <w:r>
              <w:rPr>
                <w:color w:val="FF0000"/>
                <w:sz w:val="13"/>
                <w:szCs w:val="13"/>
              </w:rPr>
              <w:t xml:space="preserve">-2.07 ± 0.53</w:t>
            </w:r>
          </w:p>
        </w:tc>
      </w:tr>
      <w:tr>
        <w:tc>
          <w:tcPr>
            <w:tcW w:w="2000" w:type="dxa"/>
            <w:vAlign w:val="center"/>
          </w:tcPr>
          <w:p>
            <w:pPr>
              <w:spacing w:after="0" w:line="240" w:lineRule="auto"/>
              <w:jc w:val="center"/>
            </w:pPr>
            <w:r>
              <w:rPr>
                <w:color w:val="FF0000"/>
                <w:sz w:val="13"/>
                <w:szCs w:val="13"/>
              </w:rPr>
              <w:t xml:space="preserve">K103N+P225H</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3.06 ± 0.17</w:t>
            </w:r>
          </w:p>
        </w:tc>
        <w:tc>
          <w:tcPr>
            <w:tcW w:w="2400" w:type="dxa"/>
            <w:vAlign w:val="center"/>
          </w:tcPr>
          <w:p>
            <w:pPr>
              <w:spacing w:after="0" w:line="240" w:lineRule="auto"/>
              <w:jc w:val="center"/>
            </w:pPr>
            <w:r>
              <w:rPr>
                <w:color w:val="FF0000"/>
                <w:sz w:val="13"/>
                <w:szCs w:val="13"/>
              </w:rPr>
              <w:t xml:space="preserve">2.43 ± 0.30</w:t>
            </w:r>
          </w:p>
        </w:tc>
      </w:tr>
      <w:tr>
        <w:tc>
          <w:tcPr>
            <w:tcW w:w="2000" w:type="dxa"/>
            <w:vAlign w:val="center"/>
          </w:tcPr>
          <w:p>
            <w:pPr>
              <w:spacing w:after="0" w:line="240" w:lineRule="auto"/>
              <w:jc w:val="center"/>
            </w:pPr>
            <w:r>
              <w:rPr>
                <w:color w:val="FF0000"/>
                <w:sz w:val="13"/>
                <w:szCs w:val="13"/>
              </w:rPr>
              <w:t xml:space="preserve">L100I+K103N</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-5.65 ± 2.39</w:t>
            </w:r>
          </w:p>
        </w:tc>
        <w:tc>
          <w:tcPr>
            <w:tcW w:w="2400" w:type="dxa"/>
            <w:vAlign w:val="center"/>
          </w:tcPr>
          <w:p>
            <w:pPr>
              <w:spacing w:after="0" w:line="240" w:lineRule="auto"/>
              <w:jc w:val="center"/>
            </w:pPr>
            <w:r>
              <w:rPr>
                <w:color w:val="FF0000"/>
                <w:sz w:val="13"/>
                <w:szCs w:val="13"/>
              </w:rPr>
              <w:t xml:space="preserve">-0.59 ± 1.01</w:t>
            </w:r>
          </w:p>
        </w:tc>
      </w:tr>
      <w:tr>
        <w:tc>
          <w:tcPr>
            <w:tcW w:w="2000" w:type="dxa"/>
            <w:vAlign w:val="center"/>
          </w:tcPr>
          <w:p>
            <w:pPr>
              <w:spacing w:after="0" w:line="240" w:lineRule="auto"/>
              <w:jc w:val="center"/>
            </w:pPr>
            <w:r>
              <w:rPr>
                <w:color w:val="FF0000"/>
                <w:sz w:val="13"/>
                <w:szCs w:val="13"/>
              </w:rPr>
              <w:t xml:space="preserve">L100I+K103N</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-5.77 ± 2.77</w:t>
            </w:r>
          </w:p>
        </w:tc>
        <w:tc>
          <w:tcPr>
            <w:tcW w:w="2400" w:type="dxa"/>
            <w:vAlign w:val="center"/>
          </w:tcPr>
          <w:p>
            <w:pPr>
              <w:spacing w:after="0" w:line="240" w:lineRule="auto"/>
              <w:jc w:val="center"/>
            </w:pPr>
            <w:r>
              <w:rPr>
                <w:color w:val="FF0000"/>
                <w:sz w:val="13"/>
                <w:szCs w:val="13"/>
              </w:rPr>
              <w:t xml:space="preserve">-0.56 ± 0.57</w:t>
            </w:r>
          </w:p>
        </w:tc>
      </w:tr>
      <w:tr>
        <w:tc>
          <w:tcPr>
            <w:tcW w:w="2000" w:type="dxa"/>
            <w:vAlign w:val="center"/>
          </w:tcPr>
          <w:p>
            <w:pPr>
              <w:spacing w:after="0" w:line="240" w:lineRule="auto"/>
              <w:jc w:val="center"/>
            </w:pPr>
            <w:r>
              <w:rPr>
                <w:color w:val="FF0000"/>
                <w:sz w:val="13"/>
                <w:szCs w:val="13"/>
              </w:rPr>
              <w:t xml:space="preserve">L100I+K103N</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-2.85 ± 0.90</w:t>
            </w:r>
          </w:p>
        </w:tc>
        <w:tc>
          <w:tcPr>
            <w:tcW w:w="2400" w:type="dxa"/>
            <w:vAlign w:val="center"/>
          </w:tcPr>
          <w:p>
            <w:pPr>
              <w:spacing w:after="0" w:line="240" w:lineRule="auto"/>
              <w:jc w:val="center"/>
            </w:pPr>
            <w:r>
              <w:rPr>
                <w:color w:val="FF0000"/>
                <w:sz w:val="13"/>
                <w:szCs w:val="13"/>
              </w:rPr>
              <w:t xml:space="preserve">-1.82 ± 0.67</w:t>
            </w:r>
          </w:p>
        </w:tc>
      </w:tr>
      <w:tr>
        <w:tc>
          <w:tcPr>
            <w:tcW w:w="2000" w:type="dxa"/>
            <w:vAlign w:val="center"/>
          </w:tcPr>
          <w:p>
            <w:pPr>
              <w:spacing w:after="0" w:line="240" w:lineRule="auto"/>
              <w:jc w:val="center"/>
            </w:pPr>
            <w:r>
              <w:rPr>
                <w:color w:val="FF0000"/>
                <w:sz w:val="13"/>
                <w:szCs w:val="13"/>
              </w:rPr>
              <w:t xml:space="preserve">L100I+K103N</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3.01 ± 0.53</w:t>
            </w:r>
          </w:p>
        </w:tc>
        <w:tc>
          <w:tcPr>
            <w:tcW w:w="2400" w:type="dxa"/>
            <w:vAlign w:val="center"/>
          </w:tcPr>
          <w:p>
            <w:pPr>
              <w:spacing w:after="0" w:line="240" w:lineRule="auto"/>
              <w:jc w:val="center"/>
            </w:pPr>
            <w:r>
              <w:rPr>
                <w:color w:val="FF0000"/>
                <w:sz w:val="13"/>
                <w:szCs w:val="13"/>
              </w:rPr>
              <w:t xml:space="preserve">1.81 ± 0.45</w:t>
            </w:r>
          </w:p>
        </w:tc>
      </w:tr>
      <w:tr>
        <w:tc>
          <w:tcPr>
            <w:tcW w:w="2000" w:type="dxa"/>
            <w:vAlign w:val="center"/>
          </w:tcPr>
          <w:p>
            <w:pPr>
              <w:spacing w:after="0" w:line="240" w:lineRule="auto"/>
              <w:jc w:val="center"/>
            </w:pPr>
            <w:r>
              <w:rPr>
                <w:color w:val="FF0000"/>
                <w:sz w:val="13"/>
                <w:szCs w:val="13"/>
              </w:rPr>
              <w:t xml:space="preserve">V106A</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2.48 ± 6.91</w:t>
            </w:r>
          </w:p>
        </w:tc>
        <w:tc>
          <w:tcPr>
            <w:tcW w:w="2400" w:type="dxa"/>
            <w:vAlign w:val="center"/>
          </w:tcPr>
          <w:p>
            <w:pPr>
              <w:spacing w:after="0" w:line="240" w:lineRule="auto"/>
              <w:jc w:val="center"/>
            </w:pPr>
            <w:r>
              <w:rPr>
                <w:color w:val="FF0000"/>
                <w:sz w:val="13"/>
                <w:szCs w:val="13"/>
              </w:rPr>
              <w:t xml:space="preserve">1.73 ± 0.41</w:t>
            </w:r>
          </w:p>
        </w:tc>
      </w:tr>
      <w:tr>
        <w:tc>
          <w:tcPr>
            <w:tcW w:w="2000" w:type="dxa"/>
            <w:vAlign w:val="center"/>
          </w:tcPr>
          <w:p>
            <w:pPr>
              <w:spacing w:after="0" w:line="240" w:lineRule="auto"/>
              <w:jc w:val="center"/>
            </w:pPr>
            <w:r>
              <w:rPr>
                <w:color w:val="FF0000"/>
                <w:sz w:val="13"/>
                <w:szCs w:val="13"/>
              </w:rPr>
              <w:t xml:space="preserve">V106A</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0.92 ± 6.79</w:t>
            </w:r>
          </w:p>
        </w:tc>
        <w:tc>
          <w:tcPr>
            <w:tcW w:w="2400" w:type="dxa"/>
            <w:vAlign w:val="center"/>
          </w:tcPr>
          <w:p>
            <w:pPr>
              <w:spacing w:after="0" w:line="240" w:lineRule="auto"/>
              <w:jc w:val="center"/>
            </w:pPr>
            <w:r>
              <w:rPr>
                <w:color w:val="FF0000"/>
                <w:sz w:val="13"/>
                <w:szCs w:val="13"/>
              </w:rPr>
              <w:t xml:space="preserve">0.73 ± 0.20</w:t>
            </w:r>
          </w:p>
        </w:tc>
      </w:tr>
      <w:tr>
        <w:tc>
          <w:tcPr>
            <w:tcW w:w="2000" w:type="dxa"/>
            <w:vAlign w:val="center"/>
          </w:tcPr>
          <w:p>
            <w:pPr>
              <w:spacing w:after="0" w:line="240" w:lineRule="auto"/>
              <w:jc w:val="center"/>
            </w:pPr>
            <w:r>
              <w:rPr>
                <w:color w:val="FF0000"/>
                <w:sz w:val="13"/>
                <w:szCs w:val="13"/>
              </w:rPr>
              <w:t xml:space="preserve">V106A</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0.22 ± 0.50</w:t>
            </w:r>
          </w:p>
        </w:tc>
        <w:tc>
          <w:tcPr>
            <w:tcW w:w="2400" w:type="dxa"/>
            <w:vAlign w:val="center"/>
          </w:tcPr>
          <w:p>
            <w:pPr>
              <w:spacing w:after="0" w:line="240" w:lineRule="auto"/>
              <w:jc w:val="center"/>
            </w:pPr>
            <w:r>
              <w:rPr>
                <w:color w:val="FF0000"/>
                <w:sz w:val="13"/>
                <w:szCs w:val="13"/>
              </w:rPr>
              <w:t xml:space="preserve">-0.06 ± 0.77</w:t>
            </w:r>
          </w:p>
        </w:tc>
      </w:tr>
      <w:tr>
        <w:tc>
          <w:tcPr>
            <w:tcW w:w="2000" w:type="dxa"/>
            <w:vAlign w:val="center"/>
          </w:tcPr>
          <w:p>
            <w:pPr>
              <w:spacing w:after="0" w:line="240" w:lineRule="auto"/>
              <w:jc w:val="center"/>
            </w:pPr>
            <w:r>
              <w:rPr>
                <w:color w:val="FF0000"/>
                <w:sz w:val="13"/>
                <w:szCs w:val="13"/>
              </w:rPr>
              <w:t xml:space="preserve">V106A</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1.33 ± 0.63</w:t>
            </w:r>
          </w:p>
        </w:tc>
        <w:tc>
          <w:tcPr>
            <w:tcW w:w="2400" w:type="dxa"/>
            <w:vAlign w:val="center"/>
          </w:tcPr>
          <w:p>
            <w:pPr>
              <w:spacing w:after="0" w:line="240" w:lineRule="auto"/>
              <w:jc w:val="center"/>
            </w:pPr>
            <w:r>
              <w:rPr>
                <w:color w:val="FF0000"/>
                <w:sz w:val="13"/>
                <w:szCs w:val="13"/>
              </w:rPr>
              <w:t xml:space="preserve">1.05 ± 0.64</w:t>
            </w:r>
          </w:p>
        </w:tc>
      </w:tr>
      <w:tr>
        <w:tc>
          <w:tcPr>
            <w:tcW w:w="2000" w:type="dxa"/>
            <w:vAlign w:val="center"/>
          </w:tcPr>
          <w:p>
            <w:pPr>
              <w:spacing w:after="0" w:line="240" w:lineRule="auto"/>
              <w:jc w:val="center"/>
            </w:pPr>
            <w:r>
              <w:rPr>
                <w:color w:val="FF0000"/>
                <w:sz w:val="13"/>
                <w:szCs w:val="13"/>
              </w:rPr>
              <w:t xml:space="preserve">V106A+F227L</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-6.92 ± 0.72</w:t>
            </w:r>
          </w:p>
        </w:tc>
        <w:tc>
          <w:tcPr>
            <w:tcW w:w="2400" w:type="dxa"/>
            <w:vAlign w:val="center"/>
          </w:tcPr>
          <w:p>
            <w:pPr>
              <w:spacing w:after="0" w:line="240" w:lineRule="auto"/>
              <w:jc w:val="center"/>
            </w:pPr>
            <w:r>
              <w:rPr>
                <w:color w:val="FF0000"/>
                <w:sz w:val="13"/>
                <w:szCs w:val="13"/>
              </w:rPr>
              <w:t xml:space="preserve">2.70 ± 0.58</w:t>
            </w:r>
          </w:p>
        </w:tc>
      </w:tr>
      <w:tr>
        <w:tc>
          <w:tcPr>
            <w:tcW w:w="2000" w:type="dxa"/>
            <w:vAlign w:val="center"/>
          </w:tcPr>
          <w:p>
            <w:pPr>
              <w:spacing w:after="0" w:line="240" w:lineRule="auto"/>
              <w:jc w:val="center"/>
            </w:pPr>
            <w:r>
              <w:rPr>
                <w:color w:val="FF0000"/>
                <w:sz w:val="13"/>
                <w:szCs w:val="13"/>
              </w:rPr>
              <w:t xml:space="preserve">V106A+F227L</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-8.52 ± 0.81</w:t>
            </w:r>
          </w:p>
        </w:tc>
        <w:tc>
          <w:tcPr>
            <w:tcW w:w="2400" w:type="dxa"/>
            <w:vAlign w:val="center"/>
          </w:tcPr>
          <w:p>
            <w:pPr>
              <w:spacing w:after="0" w:line="240" w:lineRule="auto"/>
              <w:jc w:val="center"/>
            </w:pPr>
            <w:r>
              <w:rPr>
                <w:color w:val="FF0000"/>
                <w:sz w:val="13"/>
                <w:szCs w:val="13"/>
              </w:rPr>
              <w:t xml:space="preserve">1.00 ± 0.90</w:t>
            </w:r>
          </w:p>
        </w:tc>
      </w:tr>
      <w:tr>
        <w:tc>
          <w:tcPr>
            <w:tcW w:w="2000" w:type="dxa"/>
            <w:vAlign w:val="center"/>
          </w:tcPr>
          <w:p>
            <w:pPr>
              <w:spacing w:after="0" w:line="240" w:lineRule="auto"/>
              <w:jc w:val="center"/>
            </w:pPr>
            <w:r>
              <w:rPr>
                <w:color w:val="FF0000"/>
                <w:sz w:val="13"/>
                <w:szCs w:val="13"/>
              </w:rPr>
              <w:t xml:space="preserve">V106A+F227L</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0.97 ± 0.54</w:t>
            </w:r>
          </w:p>
        </w:tc>
        <w:tc>
          <w:tcPr>
            <w:tcW w:w="2400" w:type="dxa"/>
            <w:vAlign w:val="center"/>
          </w:tcPr>
          <w:p>
            <w:pPr>
              <w:spacing w:after="0" w:line="240" w:lineRule="auto"/>
              <w:jc w:val="center"/>
            </w:pPr>
            <w:r>
              <w:rPr>
                <w:color w:val="FF0000"/>
                <w:sz w:val="13"/>
                <w:szCs w:val="13"/>
              </w:rPr>
              <w:t xml:space="preserve">0.77 ± 0.52</w:t>
            </w:r>
          </w:p>
        </w:tc>
      </w:tr>
      <w:tr>
        <w:tc>
          <w:tcPr>
            <w:tcW w:w="2000" w:type="dxa"/>
            <w:vAlign w:val="center"/>
          </w:tcPr>
          <w:p>
            <w:pPr>
              <w:spacing w:after="0" w:line="240" w:lineRule="auto"/>
              <w:jc w:val="center"/>
            </w:pPr>
            <w:r>
              <w:rPr>
                <w:color w:val="FF0000"/>
                <w:sz w:val="13"/>
                <w:szCs w:val="13"/>
              </w:rPr>
              <w:t xml:space="preserve">V106A+F227L</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0.65 ± 0.38</w:t>
            </w:r>
          </w:p>
        </w:tc>
        <w:tc>
          <w:tcPr>
            <w:tcW w:w="2400" w:type="dxa"/>
            <w:vAlign w:val="center"/>
          </w:tcPr>
          <w:p>
            <w:pPr>
              <w:spacing w:after="0" w:line="240" w:lineRule="auto"/>
              <w:jc w:val="center"/>
            </w:pPr>
            <w:r>
              <w:rPr>
                <w:color w:val="FF0000"/>
                <w:sz w:val="13"/>
                <w:szCs w:val="13"/>
              </w:rPr>
              <w:t xml:space="preserve">0.92 ± 0.19</w:t>
            </w:r>
          </w:p>
        </w:tc>
      </w:tr>
      <w:tr>
        <w:tc>
          <w:tcPr>
            <w:tcW w:w="2000" w:type="dxa"/>
            <w:vAlign w:val="center"/>
          </w:tcPr>
          <w:p>
            <w:pPr>
              <w:spacing w:after="0" w:line="240" w:lineRule="auto"/>
              <w:jc w:val="center"/>
            </w:pPr>
            <w:r>
              <w:rPr>
                <w:color w:val="FF0000"/>
                <w:sz w:val="13"/>
                <w:szCs w:val="13"/>
              </w:rPr>
              <w:t xml:space="preserve">V106A+L234I</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-3.76 ± 3.31</w:t>
            </w:r>
          </w:p>
        </w:tc>
        <w:tc>
          <w:tcPr>
            <w:tcW w:w="2400" w:type="dxa"/>
            <w:vAlign w:val="center"/>
          </w:tcPr>
          <w:p>
            <w:pPr>
              <w:spacing w:after="0" w:line="240" w:lineRule="auto"/>
              <w:jc w:val="center"/>
            </w:pPr>
            <w:r>
              <w:rPr>
                <w:color w:val="FF0000"/>
                <w:sz w:val="13"/>
                <w:szCs w:val="13"/>
              </w:rPr>
              <w:t xml:space="preserve">2.37 ± 0.28</w:t>
            </w:r>
          </w:p>
        </w:tc>
      </w:tr>
      <w:tr>
        <w:tc>
          <w:tcPr>
            <w:tcW w:w="2000" w:type="dxa"/>
            <w:vAlign w:val="center"/>
          </w:tcPr>
          <w:p>
            <w:pPr>
              <w:spacing w:after="0" w:line="240" w:lineRule="auto"/>
              <w:jc w:val="center"/>
            </w:pPr>
            <w:r>
              <w:rPr>
                <w:color w:val="FF0000"/>
                <w:sz w:val="13"/>
                <w:szCs w:val="13"/>
              </w:rPr>
              <w:t xml:space="preserve">V106A+L234I</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-5.37 ± 3.14</w:t>
            </w:r>
          </w:p>
        </w:tc>
        <w:tc>
          <w:tcPr>
            <w:tcW w:w="2400" w:type="dxa"/>
            <w:vAlign w:val="center"/>
          </w:tcPr>
          <w:p>
            <w:pPr>
              <w:spacing w:after="0" w:line="240" w:lineRule="auto"/>
              <w:jc w:val="center"/>
            </w:pPr>
            <w:r>
              <w:rPr>
                <w:color w:val="FF0000"/>
                <w:sz w:val="13"/>
                <w:szCs w:val="13"/>
              </w:rPr>
              <w:t xml:space="preserve">0.79 ± 0.44</w:t>
            </w:r>
          </w:p>
        </w:tc>
      </w:tr>
      <w:tr>
        <w:tc>
          <w:tcPr>
            <w:tcW w:w="2000" w:type="dxa"/>
            <w:vAlign w:val="center"/>
          </w:tcPr>
          <w:p>
            <w:pPr>
              <w:spacing w:after="0" w:line="240" w:lineRule="auto"/>
              <w:jc w:val="center"/>
            </w:pPr>
            <w:r>
              <w:rPr>
                <w:color w:val="FF0000"/>
                <w:sz w:val="13"/>
                <w:szCs w:val="13"/>
              </w:rPr>
              <w:t xml:space="preserve">V106A+L234I</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0.27 ± 0.14</w:t>
            </w:r>
          </w:p>
        </w:tc>
        <w:tc>
          <w:tcPr>
            <w:tcW w:w="2400" w:type="dxa"/>
            <w:vAlign w:val="center"/>
          </w:tcPr>
          <w:p>
            <w:pPr>
              <w:spacing w:after="0" w:line="240" w:lineRule="auto"/>
              <w:jc w:val="center"/>
            </w:pPr>
            <w:r>
              <w:rPr>
                <w:color w:val="FF0000"/>
                <w:sz w:val="13"/>
                <w:szCs w:val="13"/>
              </w:rPr>
              <w:t xml:space="preserve">0.47 ± 0.41</w:t>
            </w:r>
          </w:p>
        </w:tc>
      </w:tr>
      <w:tr>
        <w:tc>
          <w:tcPr>
            <w:tcW w:w="2000" w:type="dxa"/>
            <w:vAlign w:val="center"/>
          </w:tcPr>
          <w:p>
            <w:pPr>
              <w:spacing w:after="0" w:line="240" w:lineRule="auto"/>
              <w:jc w:val="center"/>
            </w:pPr>
            <w:r>
              <w:rPr>
                <w:color w:val="FF0000"/>
                <w:sz w:val="13"/>
                <w:szCs w:val="13"/>
              </w:rPr>
              <w:t xml:space="preserve">V106A+L234I</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1.39 ± 0.35</w:t>
            </w:r>
          </w:p>
        </w:tc>
        <w:tc>
          <w:tcPr>
            <w:tcW w:w="2400" w:type="dxa"/>
            <w:vAlign w:val="center"/>
          </w:tcPr>
          <w:p>
            <w:pPr>
              <w:spacing w:after="0" w:line="240" w:lineRule="auto"/>
              <w:jc w:val="center"/>
            </w:pPr>
            <w:r>
              <w:rPr>
                <w:color w:val="FF0000"/>
                <w:sz w:val="13"/>
                <w:szCs w:val="13"/>
              </w:rPr>
              <w:t xml:space="preserve">1.10 ± 0.43</w:t>
            </w:r>
          </w:p>
        </w:tc>
      </w:tr>
      <w:tr>
        <w:tc>
          <w:tcPr>
            <w:tcW w:w="2000" w:type="dxa"/>
            <w:vAlign w:val="center"/>
          </w:tcPr>
          <w:p>
            <w:pPr>
              <w:spacing w:after="0" w:line="240" w:lineRule="auto"/>
              <w:jc w:val="center"/>
            </w:pPr>
            <w:r>
              <w:rPr>
                <w:color w:val="FF0000"/>
                <w:sz w:val="13"/>
                <w:szCs w:val="13"/>
              </w:rPr>
              <w:t xml:space="preserve">V106A+P225H</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-7.13 ± 0.44</w:t>
            </w:r>
          </w:p>
        </w:tc>
        <w:tc>
          <w:tcPr>
            <w:tcW w:w="2400" w:type="dxa"/>
            <w:vAlign w:val="center"/>
          </w:tcPr>
          <w:p>
            <w:pPr>
              <w:spacing w:after="0" w:line="240" w:lineRule="auto"/>
              <w:jc w:val="center"/>
            </w:pPr>
            <w:r>
              <w:rPr>
                <w:color w:val="FF0000"/>
                <w:sz w:val="13"/>
                <w:szCs w:val="13"/>
              </w:rPr>
              <w:t xml:space="preserve">1.62 ± 0.81</w:t>
            </w:r>
          </w:p>
        </w:tc>
      </w:tr>
      <w:tr>
        <w:tc>
          <w:tcPr>
            <w:tcW w:w="2000" w:type="dxa"/>
            <w:vAlign w:val="center"/>
          </w:tcPr>
          <w:p>
            <w:pPr>
              <w:spacing w:after="0" w:line="240" w:lineRule="auto"/>
              <w:jc w:val="center"/>
            </w:pPr>
            <w:r>
              <w:rPr>
                <w:color w:val="FF0000"/>
                <w:sz w:val="13"/>
                <w:szCs w:val="13"/>
              </w:rPr>
              <w:t xml:space="preserve">V106A+P225H</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-9.05 ± 0.59</w:t>
            </w:r>
          </w:p>
        </w:tc>
        <w:tc>
          <w:tcPr>
            <w:tcW w:w="2400" w:type="dxa"/>
            <w:vAlign w:val="center"/>
          </w:tcPr>
          <w:p>
            <w:pPr>
              <w:spacing w:after="0" w:line="240" w:lineRule="auto"/>
              <w:jc w:val="center"/>
            </w:pPr>
            <w:r>
              <w:rPr>
                <w:color w:val="FF0000"/>
                <w:sz w:val="13"/>
                <w:szCs w:val="13"/>
              </w:rPr>
              <w:t xml:space="preserve">0.23 ± 1.00</w:t>
            </w:r>
          </w:p>
        </w:tc>
      </w:tr>
      <w:tr>
        <w:tc>
          <w:tcPr>
            <w:tcW w:w="2000" w:type="dxa"/>
            <w:vAlign w:val="center"/>
          </w:tcPr>
          <w:p>
            <w:pPr>
              <w:spacing w:after="0" w:line="240" w:lineRule="auto"/>
              <w:jc w:val="center"/>
            </w:pPr>
            <w:r>
              <w:rPr>
                <w:color w:val="FF0000"/>
                <w:sz w:val="13"/>
                <w:szCs w:val="13"/>
              </w:rPr>
              <w:t xml:space="preserve">V106A+P225H</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0.64 ± 0.21</w:t>
            </w:r>
          </w:p>
        </w:tc>
        <w:tc>
          <w:tcPr>
            <w:tcW w:w="2400" w:type="dxa"/>
            <w:vAlign w:val="center"/>
          </w:tcPr>
          <w:p>
            <w:pPr>
              <w:spacing w:after="0" w:line="240" w:lineRule="auto"/>
              <w:jc w:val="center"/>
            </w:pPr>
            <w:r>
              <w:rPr>
                <w:color w:val="FF0000"/>
                <w:sz w:val="13"/>
                <w:szCs w:val="13"/>
              </w:rPr>
              <w:t xml:space="preserve">0.85 ± 0.67</w:t>
            </w:r>
          </w:p>
        </w:tc>
      </w:tr>
      <w:tr>
        <w:tc>
          <w:tcPr>
            <w:tcW w:w="2000" w:type="dxa"/>
            <w:vAlign w:val="center"/>
          </w:tcPr>
          <w:p>
            <w:pPr>
              <w:spacing w:after="0" w:line="240" w:lineRule="auto"/>
              <w:jc w:val="center"/>
            </w:pPr>
            <w:r>
              <w:rPr>
                <w:color w:val="FF0000"/>
                <w:sz w:val="13"/>
                <w:szCs w:val="13"/>
              </w:rPr>
              <w:t xml:space="preserve">V106A+P225H</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1.32 ± 0.27</w:t>
            </w:r>
          </w:p>
        </w:tc>
        <w:tc>
          <w:tcPr>
            <w:tcW w:w="2400" w:type="dxa"/>
            <w:vAlign w:val="center"/>
          </w:tcPr>
          <w:p>
            <w:pPr>
              <w:spacing w:after="0" w:line="240" w:lineRule="auto"/>
              <w:jc w:val="center"/>
            </w:pPr>
            <w:r>
              <w:rPr>
                <w:color w:val="FF0000"/>
                <w:sz w:val="13"/>
                <w:szCs w:val="13"/>
              </w:rPr>
              <w:t xml:space="preserve">0.55 ± 0.74</w:t>
            </w:r>
          </w:p>
        </w:tc>
      </w:tr>
      <w:tr>
        <w:tc>
          <w:tcPr>
            <w:tcW w:w="2000" w:type="dxa"/>
            <w:vAlign w:val="center"/>
          </w:tcPr>
          <w:p>
            <w:pPr>
              <w:spacing w:after="0" w:line="240" w:lineRule="auto"/>
              <w:jc w:val="center"/>
            </w:pPr>
            <w:r>
              <w:rPr>
                <w:color w:val="FF0000"/>
                <w:sz w:val="13"/>
                <w:szCs w:val="13"/>
              </w:rPr>
              <w:t xml:space="preserve">V106I</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4.66 ± 7.30</w:t>
            </w:r>
          </w:p>
        </w:tc>
        <w:tc>
          <w:tcPr>
            <w:tcW w:w="2400" w:type="dxa"/>
            <w:vAlign w:val="center"/>
          </w:tcPr>
          <w:p>
            <w:pPr>
              <w:spacing w:after="0" w:line="240" w:lineRule="auto"/>
              <w:jc w:val="center"/>
            </w:pPr>
            <w:r>
              <w:rPr>
                <w:color w:val="FF0000"/>
                <w:sz w:val="13"/>
                <w:szCs w:val="13"/>
              </w:rPr>
              <w:t xml:space="preserve">1.99 ± 0.89</w:t>
            </w:r>
          </w:p>
        </w:tc>
      </w:tr>
      <w:tr>
        <w:tc>
          <w:tcPr>
            <w:tcW w:w="2000" w:type="dxa"/>
            <w:vAlign w:val="center"/>
          </w:tcPr>
          <w:p>
            <w:pPr>
              <w:spacing w:after="0" w:line="240" w:lineRule="auto"/>
              <w:jc w:val="center"/>
            </w:pPr>
            <w:r>
              <w:rPr>
                <w:color w:val="FF0000"/>
                <w:sz w:val="13"/>
                <w:szCs w:val="13"/>
              </w:rPr>
              <w:t xml:space="preserve">V106I</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4.14 ± 6.99</w:t>
            </w:r>
          </w:p>
        </w:tc>
        <w:tc>
          <w:tcPr>
            <w:tcW w:w="2400" w:type="dxa"/>
            <w:vAlign w:val="center"/>
          </w:tcPr>
          <w:p>
            <w:pPr>
              <w:spacing w:after="0" w:line="240" w:lineRule="auto"/>
              <w:jc w:val="center"/>
            </w:pPr>
            <w:r>
              <w:rPr>
                <w:color w:val="FF0000"/>
                <w:sz w:val="13"/>
                <w:szCs w:val="13"/>
              </w:rPr>
              <w:t xml:space="preserve">1.68 ± 0.77</w:t>
            </w:r>
          </w:p>
        </w:tc>
      </w:tr>
      <w:tr>
        <w:tc>
          <w:tcPr>
            <w:tcW w:w="2000" w:type="dxa"/>
            <w:vAlign w:val="center"/>
          </w:tcPr>
          <w:p>
            <w:pPr>
              <w:spacing w:after="0" w:line="240" w:lineRule="auto"/>
              <w:jc w:val="center"/>
            </w:pPr>
            <w:r>
              <w:rPr>
                <w:color w:val="FF0000"/>
                <w:sz w:val="13"/>
                <w:szCs w:val="13"/>
              </w:rPr>
              <w:t xml:space="preserve">V106I</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0.50 ± 0.30</w:t>
            </w:r>
          </w:p>
        </w:tc>
        <w:tc>
          <w:tcPr>
            <w:tcW w:w="2400" w:type="dxa"/>
            <w:vAlign w:val="center"/>
          </w:tcPr>
          <w:p>
            <w:pPr>
              <w:spacing w:after="0" w:line="240" w:lineRule="auto"/>
              <w:jc w:val="center"/>
            </w:pPr>
            <w:r>
              <w:rPr>
                <w:color w:val="FF0000"/>
                <w:sz w:val="13"/>
                <w:szCs w:val="13"/>
              </w:rPr>
              <w:t xml:space="preserve">0.17 ± 0.14</w:t>
            </w:r>
          </w:p>
        </w:tc>
      </w:tr>
      <w:tr>
        <w:tc>
          <w:tcPr>
            <w:tcW w:w="2000" w:type="dxa"/>
            <w:vAlign w:val="center"/>
          </w:tcPr>
          <w:p>
            <w:pPr>
              <w:spacing w:after="0" w:line="240" w:lineRule="auto"/>
              <w:jc w:val="center"/>
            </w:pPr>
            <w:r>
              <w:rPr>
                <w:color w:val="FF0000"/>
                <w:sz w:val="13"/>
                <w:szCs w:val="13"/>
              </w:rPr>
              <w:t xml:space="preserve">V106I</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0.06 ± 0.09</w:t>
            </w:r>
          </w:p>
        </w:tc>
        <w:tc>
          <w:tcPr>
            <w:tcW w:w="2400" w:type="dxa"/>
            <w:vAlign w:val="center"/>
          </w:tcPr>
          <w:p>
            <w:pPr>
              <w:spacing w:after="0" w:line="240" w:lineRule="auto"/>
              <w:jc w:val="center"/>
            </w:pPr>
            <w:r>
              <w:rPr>
                <w:color w:val="FF0000"/>
                <w:sz w:val="13"/>
                <w:szCs w:val="13"/>
              </w:rPr>
              <w:t xml:space="preserve">0.13 ± 0.07</w:t>
            </w:r>
          </w:p>
        </w:tc>
      </w:tr>
      <w:tr>
        <w:tc>
          <w:tcPr>
            <w:tcW w:w="2000" w:type="dxa"/>
            <w:vAlign w:val="center"/>
          </w:tcPr>
          <w:p>
            <w:pPr>
              <w:spacing w:after="0" w:line="240" w:lineRule="auto"/>
              <w:jc w:val="center"/>
            </w:pPr>
            <w:r>
              <w:rPr>
                <w:color w:val="FF0000"/>
                <w:sz w:val="13"/>
                <w:szCs w:val="13"/>
              </w:rPr>
              <w:t xml:space="preserve">V106I+F227C</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14.89 ± 12.64</w:t>
            </w:r>
          </w:p>
        </w:tc>
        <w:tc>
          <w:tcPr>
            <w:tcW w:w="2400" w:type="dxa"/>
            <w:vAlign w:val="center"/>
          </w:tcPr>
          <w:p>
            <w:pPr>
              <w:spacing w:after="0" w:line="240" w:lineRule="auto"/>
              <w:jc w:val="center"/>
            </w:pPr>
            <w:r>
              <w:rPr>
                <w:color w:val="FF0000"/>
                <w:sz w:val="13"/>
                <w:szCs w:val="13"/>
              </w:rPr>
              <w:t xml:space="preserve">0.99 ± 0.54</w:t>
            </w:r>
          </w:p>
        </w:tc>
      </w:tr>
      <w:tr>
        <w:tc>
          <w:tcPr>
            <w:tcW w:w="2000" w:type="dxa"/>
            <w:vAlign w:val="center"/>
          </w:tcPr>
          <w:p>
            <w:pPr>
              <w:spacing w:after="0" w:line="240" w:lineRule="auto"/>
              <w:jc w:val="center"/>
            </w:pPr>
            <w:r>
              <w:rPr>
                <w:color w:val="FF0000"/>
                <w:sz w:val="13"/>
                <w:szCs w:val="13"/>
              </w:rPr>
              <w:t xml:space="preserve">V106I+F227C</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14.09 ± 11.98</w:t>
            </w:r>
          </w:p>
        </w:tc>
        <w:tc>
          <w:tcPr>
            <w:tcW w:w="2400" w:type="dxa"/>
            <w:vAlign w:val="center"/>
          </w:tcPr>
          <w:p>
            <w:pPr>
              <w:spacing w:after="0" w:line="240" w:lineRule="auto"/>
              <w:jc w:val="center"/>
            </w:pPr>
            <w:r>
              <w:rPr>
                <w:color w:val="FF0000"/>
                <w:sz w:val="13"/>
                <w:szCs w:val="13"/>
              </w:rPr>
              <w:t xml:space="preserve">1.05 ± 0.57</w:t>
            </w:r>
          </w:p>
        </w:tc>
      </w:tr>
      <w:tr>
        <w:tc>
          <w:tcPr>
            <w:tcW w:w="2000" w:type="dxa"/>
            <w:vAlign w:val="center"/>
          </w:tcPr>
          <w:p>
            <w:pPr>
              <w:spacing w:after="0" w:line="240" w:lineRule="auto"/>
              <w:jc w:val="center"/>
            </w:pPr>
            <w:r>
              <w:rPr>
                <w:color w:val="FF0000"/>
                <w:sz w:val="13"/>
                <w:szCs w:val="13"/>
              </w:rPr>
              <w:t xml:space="preserve">V106I+F227C</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0.67 ± 0.39</w:t>
            </w:r>
          </w:p>
        </w:tc>
        <w:tc>
          <w:tcPr>
            <w:tcW w:w="2400" w:type="dxa"/>
            <w:vAlign w:val="center"/>
          </w:tcPr>
          <w:p>
            <w:pPr>
              <w:spacing w:after="0" w:line="240" w:lineRule="auto"/>
              <w:jc w:val="center"/>
            </w:pPr>
            <w:r>
              <w:rPr>
                <w:color w:val="FF0000"/>
                <w:sz w:val="13"/>
                <w:szCs w:val="13"/>
              </w:rPr>
              <w:t xml:space="preserve">-0.05 ± 0.26</w:t>
            </w:r>
          </w:p>
        </w:tc>
      </w:tr>
      <w:tr>
        <w:tc>
          <w:tcPr>
            <w:tcW w:w="2000" w:type="dxa"/>
            <w:vAlign w:val="center"/>
          </w:tcPr>
          <w:p>
            <w:pPr>
              <w:spacing w:after="0" w:line="240" w:lineRule="auto"/>
              <w:jc w:val="center"/>
            </w:pPr>
            <w:r>
              <w:rPr>
                <w:color w:val="FF0000"/>
                <w:sz w:val="13"/>
                <w:szCs w:val="13"/>
              </w:rPr>
              <w:t xml:space="preserve">V106I+F227C</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0.12 ± 0.87</w:t>
            </w:r>
          </w:p>
        </w:tc>
        <w:tc>
          <w:tcPr>
            <w:tcW w:w="2400" w:type="dxa"/>
            <w:vAlign w:val="center"/>
          </w:tcPr>
          <w:p>
            <w:pPr>
              <w:spacing w:after="0" w:line="240" w:lineRule="auto"/>
              <w:jc w:val="center"/>
            </w:pPr>
            <w:r>
              <w:rPr>
                <w:color w:val="FF0000"/>
                <w:sz w:val="13"/>
                <w:szCs w:val="13"/>
              </w:rPr>
              <w:t xml:space="preserve">-0.02 ± 0.26</w:t>
            </w:r>
          </w:p>
        </w:tc>
      </w:tr>
      <w:tr>
        <w:tc>
          <w:tcPr>
            <w:tcW w:w="2000" w:type="dxa"/>
            <w:vAlign w:val="center"/>
          </w:tcPr>
          <w:p>
            <w:pPr>
              <w:spacing w:after="0" w:line="240" w:lineRule="auto"/>
              <w:jc w:val="center"/>
            </w:pPr>
            <w:r>
              <w:rPr>
                <w:color w:val="FF0000"/>
                <w:sz w:val="13"/>
                <w:szCs w:val="13"/>
              </w:rPr>
              <w:t xml:space="preserve">V106M</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3.59 ± 10.14</w:t>
            </w:r>
          </w:p>
        </w:tc>
        <w:tc>
          <w:tcPr>
            <w:tcW w:w="2400" w:type="dxa"/>
            <w:vAlign w:val="center"/>
          </w:tcPr>
          <w:p>
            <w:pPr>
              <w:spacing w:after="0" w:line="240" w:lineRule="auto"/>
              <w:jc w:val="center"/>
            </w:pPr>
            <w:r>
              <w:rPr>
                <w:color w:val="FF0000"/>
                <w:sz w:val="13"/>
                <w:szCs w:val="13"/>
              </w:rPr>
              <w:t xml:space="preserve">2.50 ± 1.10</w:t>
            </w:r>
          </w:p>
        </w:tc>
      </w:tr>
      <w:tr>
        <w:tc>
          <w:tcPr>
            <w:tcW w:w="2000" w:type="dxa"/>
            <w:vAlign w:val="center"/>
          </w:tcPr>
          <w:p>
            <w:pPr>
              <w:spacing w:after="0" w:line="240" w:lineRule="auto"/>
              <w:jc w:val="center"/>
            </w:pPr>
            <w:r>
              <w:rPr>
                <w:color w:val="FF0000"/>
                <w:sz w:val="13"/>
                <w:szCs w:val="13"/>
              </w:rPr>
              <w:t xml:space="preserve">V106M</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2.49 ± 10.15</w:t>
            </w:r>
          </w:p>
        </w:tc>
        <w:tc>
          <w:tcPr>
            <w:tcW w:w="2400" w:type="dxa"/>
            <w:vAlign w:val="center"/>
          </w:tcPr>
          <w:p>
            <w:pPr>
              <w:spacing w:after="0" w:line="240" w:lineRule="auto"/>
              <w:jc w:val="center"/>
            </w:pPr>
            <w:r>
              <w:rPr>
                <w:color w:val="FF0000"/>
                <w:sz w:val="13"/>
                <w:szCs w:val="13"/>
              </w:rPr>
              <w:t xml:space="preserve">1.51 ± 0.91</w:t>
            </w:r>
          </w:p>
        </w:tc>
      </w:tr>
      <w:tr>
        <w:tc>
          <w:tcPr>
            <w:tcW w:w="2000" w:type="dxa"/>
            <w:vAlign w:val="center"/>
          </w:tcPr>
          <w:p>
            <w:pPr>
              <w:spacing w:after="0" w:line="240" w:lineRule="auto"/>
              <w:jc w:val="center"/>
            </w:pPr>
            <w:r>
              <w:rPr>
                <w:color w:val="FF0000"/>
                <w:sz w:val="13"/>
                <w:szCs w:val="13"/>
              </w:rPr>
              <w:t xml:space="preserve">V106M</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0.70 ± 0.47</w:t>
            </w:r>
          </w:p>
        </w:tc>
        <w:tc>
          <w:tcPr>
            <w:tcW w:w="2400" w:type="dxa"/>
            <w:vAlign w:val="center"/>
          </w:tcPr>
          <w:p>
            <w:pPr>
              <w:spacing w:after="0" w:line="240" w:lineRule="auto"/>
              <w:jc w:val="center"/>
            </w:pPr>
            <w:r>
              <w:rPr>
                <w:color w:val="FF0000"/>
                <w:sz w:val="13"/>
                <w:szCs w:val="13"/>
              </w:rPr>
              <w:t xml:space="preserve">0.52 ± 0.34</w:t>
            </w:r>
          </w:p>
        </w:tc>
      </w:tr>
      <w:tr>
        <w:tc>
          <w:tcPr>
            <w:tcW w:w="2000" w:type="dxa"/>
            <w:vAlign w:val="center"/>
          </w:tcPr>
          <w:p>
            <w:pPr>
              <w:spacing w:after="0" w:line="240" w:lineRule="auto"/>
              <w:jc w:val="center"/>
            </w:pPr>
            <w:r>
              <w:rPr>
                <w:color w:val="FF0000"/>
                <w:sz w:val="13"/>
                <w:szCs w:val="13"/>
              </w:rPr>
              <w:t xml:space="preserve">V106M</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0.36 ± 0.47</w:t>
            </w:r>
          </w:p>
        </w:tc>
        <w:tc>
          <w:tcPr>
            <w:tcW w:w="2400" w:type="dxa"/>
            <w:vAlign w:val="center"/>
          </w:tcPr>
          <w:p>
            <w:pPr>
              <w:spacing w:after="0" w:line="240" w:lineRule="auto"/>
              <w:jc w:val="center"/>
            </w:pPr>
            <w:r>
              <w:rPr>
                <w:color w:val="FF0000"/>
                <w:sz w:val="13"/>
                <w:szCs w:val="13"/>
              </w:rPr>
              <w:t xml:space="preserve">0.42 ± 0.30</w:t>
            </w:r>
          </w:p>
        </w:tc>
      </w:tr>
      <w:tr>
        <w:tc>
          <w:tcPr>
            <w:tcW w:w="2000" w:type="dxa"/>
            <w:vAlign w:val="center"/>
          </w:tcPr>
          <w:p>
            <w:pPr>
              <w:spacing w:after="0" w:line="240" w:lineRule="auto"/>
              <w:jc w:val="center"/>
            </w:pPr>
            <w:r>
              <w:rPr>
                <w:color w:val="FF0000"/>
                <w:sz w:val="13"/>
                <w:szCs w:val="13"/>
              </w:rPr>
              <w:t xml:space="preserve">Y181C</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11.37 ± 10.53</w:t>
            </w:r>
          </w:p>
        </w:tc>
        <w:tc>
          <w:tcPr>
            <w:tcW w:w="2400" w:type="dxa"/>
            <w:vAlign w:val="center"/>
          </w:tcPr>
          <w:p>
            <w:pPr>
              <w:spacing w:after="0" w:line="240" w:lineRule="auto"/>
              <w:jc w:val="center"/>
            </w:pPr>
            <w:r>
              <w:rPr>
                <w:color w:val="FF0000"/>
                <w:sz w:val="13"/>
                <w:szCs w:val="13"/>
              </w:rPr>
              <w:t xml:space="preserve">1.24 ± 0.17</w:t>
            </w:r>
          </w:p>
        </w:tc>
      </w:tr>
      <w:tr>
        <w:tc>
          <w:tcPr>
            <w:tcW w:w="2000" w:type="dxa"/>
            <w:vAlign w:val="center"/>
          </w:tcPr>
          <w:p>
            <w:pPr>
              <w:spacing w:after="0" w:line="240" w:lineRule="auto"/>
              <w:jc w:val="center"/>
            </w:pPr>
            <w:r>
              <w:rPr>
                <w:color w:val="FF0000"/>
                <w:sz w:val="13"/>
                <w:szCs w:val="13"/>
              </w:rPr>
              <w:t xml:space="preserve">Y181C</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10.68 ± 10.38</w:t>
            </w:r>
          </w:p>
        </w:tc>
        <w:tc>
          <w:tcPr>
            <w:tcW w:w="2400" w:type="dxa"/>
            <w:vAlign w:val="center"/>
          </w:tcPr>
          <w:p>
            <w:pPr>
              <w:spacing w:after="0" w:line="240" w:lineRule="auto"/>
              <w:jc w:val="center"/>
            </w:pPr>
            <w:r>
              <w:rPr>
                <w:color w:val="FF0000"/>
                <w:sz w:val="13"/>
                <w:szCs w:val="13"/>
              </w:rPr>
              <w:t xml:space="preserve">0.91 ± 0.21</w:t>
            </w:r>
          </w:p>
        </w:tc>
      </w:tr>
      <w:tr>
        <w:tc>
          <w:tcPr>
            <w:tcW w:w="2000" w:type="dxa"/>
            <w:vAlign w:val="center"/>
          </w:tcPr>
          <w:p>
            <w:pPr>
              <w:spacing w:after="0" w:line="240" w:lineRule="auto"/>
              <w:jc w:val="center"/>
            </w:pPr>
            <w:r>
              <w:rPr>
                <w:color w:val="FF0000"/>
                <w:sz w:val="13"/>
                <w:szCs w:val="13"/>
              </w:rPr>
              <w:t xml:space="preserve">Y181C</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0.20 ± 0.59</w:t>
            </w:r>
          </w:p>
        </w:tc>
        <w:tc>
          <w:tcPr>
            <w:tcW w:w="2400" w:type="dxa"/>
            <w:vAlign w:val="center"/>
          </w:tcPr>
          <w:p>
            <w:pPr>
              <w:spacing w:after="0" w:line="240" w:lineRule="auto"/>
              <w:jc w:val="center"/>
            </w:pPr>
            <w:r>
              <w:rPr>
                <w:color w:val="FF0000"/>
                <w:sz w:val="13"/>
                <w:szCs w:val="13"/>
              </w:rPr>
              <w:t xml:space="preserve">-0.44 ± 0.29</w:t>
            </w:r>
          </w:p>
        </w:tc>
      </w:tr>
      <w:tr>
        <w:tc>
          <w:tcPr>
            <w:tcW w:w="2000" w:type="dxa"/>
            <w:vAlign w:val="center"/>
          </w:tcPr>
          <w:p>
            <w:pPr>
              <w:spacing w:after="0" w:line="240" w:lineRule="auto"/>
              <w:jc w:val="center"/>
            </w:pPr>
            <w:r>
              <w:rPr>
                <w:color w:val="FF0000"/>
                <w:sz w:val="13"/>
                <w:szCs w:val="13"/>
              </w:rPr>
              <w:t xml:space="preserve">Y181C</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0.50 ± 0.51</w:t>
            </w:r>
          </w:p>
        </w:tc>
        <w:tc>
          <w:tcPr>
            <w:tcW w:w="2400" w:type="dxa"/>
            <w:vAlign w:val="center"/>
          </w:tcPr>
          <w:p>
            <w:pPr>
              <w:spacing w:after="0" w:line="240" w:lineRule="auto"/>
              <w:jc w:val="center"/>
            </w:pPr>
            <w:r>
              <w:rPr>
                <w:color w:val="FF0000"/>
                <w:sz w:val="13"/>
                <w:szCs w:val="13"/>
              </w:rPr>
              <w:t xml:space="preserve">0.77 ± 0.23</w:t>
            </w:r>
          </w:p>
        </w:tc>
      </w:tr>
      <w:tr>
        <w:tc>
          <w:tcPr>
            <w:tcW w:w="2000" w:type="dxa"/>
            <w:vAlign w:val="center"/>
          </w:tcPr>
          <w:p>
            <w:pPr>
              <w:spacing w:after="0" w:line="240" w:lineRule="auto"/>
              <w:jc w:val="center"/>
            </w:pPr>
            <w:r>
              <w:rPr>
                <w:color w:val="FF0000"/>
                <w:sz w:val="13"/>
                <w:szCs w:val="13"/>
              </w:rPr>
              <w:t xml:space="preserve">Y188L</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22.55 ± 26.51</w:t>
            </w:r>
          </w:p>
        </w:tc>
        <w:tc>
          <w:tcPr>
            <w:tcW w:w="2400" w:type="dxa"/>
            <w:vAlign w:val="center"/>
          </w:tcPr>
          <w:p>
            <w:pPr>
              <w:spacing w:after="0" w:line="240" w:lineRule="auto"/>
              <w:jc w:val="center"/>
            </w:pPr>
            <w:r>
              <w:rPr>
                <w:color w:val="FF0000"/>
                <w:sz w:val="13"/>
                <w:szCs w:val="13"/>
              </w:rPr>
              <w:t xml:space="preserve">2.78 ± 0.42</w:t>
            </w:r>
          </w:p>
        </w:tc>
      </w:tr>
      <w:tr>
        <w:tc>
          <w:tcPr>
            <w:tcW w:w="2000" w:type="dxa"/>
            <w:vAlign w:val="center"/>
          </w:tcPr>
          <w:p>
            <w:pPr>
              <w:spacing w:after="0" w:line="240" w:lineRule="auto"/>
              <w:jc w:val="center"/>
            </w:pPr>
            <w:r>
              <w:rPr>
                <w:color w:val="FF0000"/>
                <w:sz w:val="13"/>
                <w:szCs w:val="13"/>
              </w:rPr>
              <w:t xml:space="preserve">Y188L</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20.60 ± 24.55</w:t>
            </w:r>
          </w:p>
        </w:tc>
        <w:tc>
          <w:tcPr>
            <w:tcW w:w="2400" w:type="dxa"/>
            <w:vAlign w:val="center"/>
          </w:tcPr>
          <w:p>
            <w:pPr>
              <w:spacing w:after="0" w:line="240" w:lineRule="auto"/>
              <w:jc w:val="center"/>
            </w:pPr>
            <w:r>
              <w:rPr>
                <w:color w:val="FF0000"/>
                <w:sz w:val="13"/>
                <w:szCs w:val="13"/>
              </w:rPr>
              <w:t xml:space="preserve">2.25 ± 0.20</w:t>
            </w:r>
          </w:p>
        </w:tc>
      </w:tr>
      <w:tr>
        <w:tc>
          <w:tcPr>
            <w:tcW w:w="2000" w:type="dxa"/>
            <w:vAlign w:val="center"/>
          </w:tcPr>
          <w:p>
            <w:pPr>
              <w:spacing w:after="0" w:line="240" w:lineRule="auto"/>
              <w:jc w:val="center"/>
            </w:pPr>
            <w:r>
              <w:rPr>
                <w:color w:val="FF0000"/>
                <w:sz w:val="13"/>
                <w:szCs w:val="13"/>
              </w:rPr>
              <w:t xml:space="preserve">Y188L</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1.82 ± 1.73</w:t>
            </w:r>
          </w:p>
        </w:tc>
        <w:tc>
          <w:tcPr>
            <w:tcW w:w="2400" w:type="dxa"/>
            <w:vAlign w:val="center"/>
          </w:tcPr>
          <w:p>
            <w:pPr>
              <w:spacing w:after="0" w:line="240" w:lineRule="auto"/>
              <w:jc w:val="center"/>
            </w:pPr>
            <w:r>
              <w:rPr>
                <w:color w:val="FF0000"/>
                <w:sz w:val="13"/>
                <w:szCs w:val="13"/>
              </w:rPr>
              <w:t xml:space="preserve">0.31 ± 0.26</w:t>
            </w:r>
          </w:p>
        </w:tc>
      </w:tr>
      <w:tr>
        <w:tc>
          <w:tcPr>
            <w:tcW w:w="2000" w:type="dxa"/>
            <w:vAlign w:val="center"/>
          </w:tcPr>
          <w:p>
            <w:pPr>
              <w:spacing w:after="0" w:line="240" w:lineRule="auto"/>
              <w:jc w:val="center"/>
            </w:pPr>
            <w:r>
              <w:rPr>
                <w:color w:val="FF0000"/>
                <w:sz w:val="13"/>
                <w:szCs w:val="13"/>
              </w:rPr>
              <w:t xml:space="preserve">Y188L</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0.16 ± 0.22</w:t>
            </w:r>
          </w:p>
        </w:tc>
        <w:tc>
          <w:tcPr>
            <w:tcW w:w="2400" w:type="dxa"/>
            <w:vAlign w:val="center"/>
          </w:tcPr>
          <w:p>
            <w:pPr>
              <w:spacing w:after="0" w:line="240" w:lineRule="auto"/>
              <w:jc w:val="center"/>
            </w:pPr>
            <w:r>
              <w:rPr>
                <w:color w:val="FF0000"/>
                <w:sz w:val="13"/>
                <w:szCs w:val="13"/>
              </w:rPr>
              <w:t xml:space="preserve">0.26 ± 0.12</w:t>
            </w:r>
          </w:p>
        </w:tc>
      </w:tr>
      <w:tr>
        <w:tc>
          <w:tcPr>
            <w:tcW w:w="2000" w:type="dxa"/>
            <w:vAlign w:val="center"/>
          </w:tcPr>
          <w:p>
            <w:pPr>
              <w:spacing w:after="0" w:line="240" w:lineRule="auto"/>
              <w:jc w:val="center"/>
            </w:pPr>
            <w:r>
              <w:rPr>
                <w:color w:val="FF0000"/>
                <w:sz w:val="13"/>
                <w:szCs w:val="13"/>
              </w:rPr>
              <w:t xml:space="preserve">Y318F</w:t>
            </w:r>
          </w:p>
        </w:tc>
        <w:tc>
          <w:tcPr>
            <w:tcW w:w="1500" w:type="dxa"/>
            <w:vAlign w:val="center"/>
          </w:tcPr>
          <w:p>
            <w:pPr>
              <w:spacing w:after="0" w:line="240" w:lineRule="auto"/>
              <w:jc w:val="center"/>
            </w:pPr>
            <w:r>
              <w:rPr>
                <w:color w:val="FF0000"/>
                <w:sz w:val="13"/>
                <w:szCs w:val="13"/>
              </w:rPr>
              <w:t xml:space="preserve">ΔΔE Total</w:t>
            </w:r>
          </w:p>
        </w:tc>
        <w:tc>
          <w:tcPr>
            <w:tcW w:w="2400" w:type="dxa"/>
            <w:vAlign w:val="center"/>
          </w:tcPr>
          <w:p>
            <w:pPr>
              <w:spacing w:after="0" w:line="240" w:lineRule="auto"/>
              <w:jc w:val="center"/>
            </w:pPr>
            <w:r>
              <w:rPr>
                <w:color w:val="FF0000"/>
                <w:sz w:val="13"/>
                <w:szCs w:val="13"/>
              </w:rPr>
              <w:t xml:space="preserve">4.49 ± 3.18</w:t>
            </w:r>
          </w:p>
        </w:tc>
        <w:tc>
          <w:tcPr>
            <w:tcW w:w="2400" w:type="dxa"/>
            <w:vAlign w:val="center"/>
          </w:tcPr>
          <w:p>
            <w:pPr>
              <w:spacing w:after="0" w:line="240" w:lineRule="auto"/>
              <w:jc w:val="center"/>
            </w:pPr>
            <w:r>
              <w:rPr>
                <w:color w:val="FF0000"/>
                <w:sz w:val="13"/>
                <w:szCs w:val="13"/>
              </w:rPr>
              <w:t xml:space="preserve">1.53 ± 0.21</w:t>
            </w:r>
          </w:p>
        </w:tc>
      </w:tr>
      <w:tr>
        <w:tc>
          <w:tcPr>
            <w:tcW w:w="2000" w:type="dxa"/>
            <w:vAlign w:val="center"/>
          </w:tcPr>
          <w:p>
            <w:pPr>
              <w:spacing w:after="0" w:line="240" w:lineRule="auto"/>
              <w:jc w:val="center"/>
            </w:pPr>
            <w:r>
              <w:rPr>
                <w:color w:val="FF0000"/>
                <w:sz w:val="13"/>
                <w:szCs w:val="13"/>
              </w:rPr>
              <w:t xml:space="preserve">Y318F</w:t>
            </w:r>
          </w:p>
        </w:tc>
        <w:tc>
          <w:tcPr>
            <w:tcW w:w="1500" w:type="dxa"/>
            <w:vAlign w:val="center"/>
          </w:tcPr>
          <w:p>
            <w:pPr>
              <w:spacing w:after="0" w:line="240" w:lineRule="auto"/>
              <w:jc w:val="center"/>
            </w:pPr>
            <w:r>
              <w:rPr>
                <w:color w:val="FF0000"/>
                <w:sz w:val="13"/>
                <w:szCs w:val="13"/>
              </w:rPr>
              <w:t xml:space="preserve">ΔΔE vdW</w:t>
            </w:r>
          </w:p>
        </w:tc>
        <w:tc>
          <w:tcPr>
            <w:tcW w:w="2400" w:type="dxa"/>
            <w:vAlign w:val="center"/>
          </w:tcPr>
          <w:p>
            <w:pPr>
              <w:spacing w:after="0" w:line="240" w:lineRule="auto"/>
              <w:jc w:val="center"/>
            </w:pPr>
            <w:r>
              <w:rPr>
                <w:color w:val="FF0000"/>
                <w:sz w:val="13"/>
                <w:szCs w:val="13"/>
              </w:rPr>
              <w:t xml:space="preserve">4.18 ± 2.94</w:t>
            </w:r>
          </w:p>
        </w:tc>
        <w:tc>
          <w:tcPr>
            <w:tcW w:w="2400" w:type="dxa"/>
            <w:vAlign w:val="center"/>
          </w:tcPr>
          <w:p>
            <w:pPr>
              <w:spacing w:after="0" w:line="240" w:lineRule="auto"/>
              <w:jc w:val="center"/>
            </w:pPr>
            <w:r>
              <w:rPr>
                <w:color w:val="FF0000"/>
                <w:sz w:val="13"/>
                <w:szCs w:val="13"/>
              </w:rPr>
              <w:t xml:space="preserve">1.40 ± 0.24</w:t>
            </w:r>
          </w:p>
        </w:tc>
      </w:tr>
      <w:tr>
        <w:tc>
          <w:tcPr>
            <w:tcW w:w="2000" w:type="dxa"/>
            <w:vAlign w:val="center"/>
          </w:tcPr>
          <w:p>
            <w:pPr>
              <w:spacing w:after="0" w:line="240" w:lineRule="auto"/>
              <w:jc w:val="center"/>
            </w:pPr>
            <w:r>
              <w:rPr>
                <w:color w:val="FF0000"/>
                <w:sz w:val="13"/>
                <w:szCs w:val="13"/>
              </w:rPr>
              <w:t xml:space="preserve">Y318F</w:t>
            </w:r>
          </w:p>
        </w:tc>
        <w:tc>
          <w:tcPr>
            <w:tcW w:w="1500" w:type="dxa"/>
            <w:vAlign w:val="center"/>
          </w:tcPr>
          <w:p>
            <w:pPr>
              <w:spacing w:after="0" w:line="240" w:lineRule="auto"/>
              <w:jc w:val="center"/>
            </w:pPr>
            <w:r>
              <w:rPr>
                <w:color w:val="FF0000"/>
                <w:sz w:val="13"/>
                <w:szCs w:val="13"/>
              </w:rPr>
              <w:t xml:space="preserve">ΔΔE elec</w:t>
            </w:r>
          </w:p>
        </w:tc>
        <w:tc>
          <w:tcPr>
            <w:tcW w:w="2400" w:type="dxa"/>
            <w:vAlign w:val="center"/>
          </w:tcPr>
          <w:p>
            <w:pPr>
              <w:spacing w:after="0" w:line="240" w:lineRule="auto"/>
              <w:jc w:val="center"/>
            </w:pPr>
            <w:r>
              <w:rPr>
                <w:color w:val="FF0000"/>
                <w:sz w:val="13"/>
                <w:szCs w:val="13"/>
              </w:rPr>
              <w:t xml:space="preserve">0.13 ± 0.28</w:t>
            </w:r>
          </w:p>
        </w:tc>
        <w:tc>
          <w:tcPr>
            <w:tcW w:w="2400" w:type="dxa"/>
            <w:vAlign w:val="center"/>
          </w:tcPr>
          <w:p>
            <w:pPr>
              <w:spacing w:after="0" w:line="240" w:lineRule="auto"/>
              <w:jc w:val="center"/>
            </w:pPr>
            <w:r>
              <w:rPr>
                <w:color w:val="FF0000"/>
                <w:sz w:val="13"/>
                <w:szCs w:val="13"/>
              </w:rPr>
              <w:t xml:space="preserve">-0.35 ± 0.39</w:t>
            </w:r>
          </w:p>
        </w:tc>
      </w:tr>
      <w:tr>
        <w:tc>
          <w:tcPr>
            <w:tcW w:w="2000" w:type="dxa"/>
            <w:vAlign w:val="center"/>
          </w:tcPr>
          <w:p>
            <w:pPr>
              <w:spacing w:after="0" w:line="240" w:lineRule="auto"/>
              <w:jc w:val="center"/>
            </w:pPr>
            <w:r>
              <w:rPr>
                <w:color w:val="FF0000"/>
                <w:sz w:val="13"/>
                <w:szCs w:val="13"/>
              </w:rPr>
              <w:t xml:space="preserve">Y318F</w:t>
            </w:r>
          </w:p>
        </w:tc>
        <w:tc>
          <w:tcPr>
            <w:tcW w:w="1500" w:type="dxa"/>
            <w:vAlign w:val="center"/>
          </w:tcPr>
          <w:p>
            <w:pPr>
              <w:spacing w:after="0" w:line="240" w:lineRule="auto"/>
              <w:jc w:val="center"/>
            </w:pPr>
            <w:r>
              <w:rPr>
                <w:color w:val="FF0000"/>
                <w:sz w:val="13"/>
                <w:szCs w:val="13"/>
              </w:rPr>
              <w:t xml:space="preserve">ΔΔE GB</w:t>
            </w:r>
          </w:p>
        </w:tc>
        <w:tc>
          <w:tcPr>
            <w:tcW w:w="2400" w:type="dxa"/>
            <w:vAlign w:val="center"/>
          </w:tcPr>
          <w:p>
            <w:pPr>
              <w:spacing w:after="0" w:line="240" w:lineRule="auto"/>
              <w:jc w:val="center"/>
            </w:pPr>
            <w:r>
              <w:rPr>
                <w:color w:val="FF0000"/>
                <w:sz w:val="13"/>
                <w:szCs w:val="13"/>
              </w:rPr>
              <w:t xml:space="preserve">0.22 ± 0.15</w:t>
            </w:r>
          </w:p>
        </w:tc>
        <w:tc>
          <w:tcPr>
            <w:tcW w:w="2400" w:type="dxa"/>
            <w:vAlign w:val="center"/>
          </w:tcPr>
          <w:p>
            <w:pPr>
              <w:spacing w:after="0" w:line="240" w:lineRule="auto"/>
              <w:jc w:val="center"/>
            </w:pPr>
            <w:r>
              <w:rPr>
                <w:color w:val="FF0000"/>
                <w:sz w:val="13"/>
                <w:szCs w:val="13"/>
              </w:rPr>
              <w:t xml:space="preserve">0.52 ± 0.27</w:t>
            </w:r>
          </w:p>
        </w:tc>
      </w:tr>
    </w:tbl>
    <w:p w14:paraId="03071425" w14:textId="77777777" w:rsidR="00AC700D" w:rsidRDefault="00AC700D"/>
    <w:p w14:paraId="419C7BCD" w14:textId="77777777" w:rsidR="00AC700D" w:rsidRDefault="00000000">
      <w:pPr>
        <w:spacing w:after="200"/>
      </w:pPr>
      <w:r>
        <w:rPr>
          <w:color w:val="FF0000"/>
        </w:rPr>
        <w:t xml:space="preserve">Supplementary Note 4. Sensitivity of the MM/GBSA energies to snapshot relaxation. Each snapshot is energy-minimized before its energy is evaluated. We compared hydrogen-only relaxation, with heavy atoms restrained, against the unrestrained full minimization used in the main text, for all 19 mutant genotypes (Supplementary Table 5). The two protocols agree on the terms that do not depend on close atomic contacts: the Spearman correlation between them is 0.69 for ΔΔEelec and 0.81 for ΔΔEGB. They do not agree on ΔΔEvdW (0.26), nor on ΔΔETotal (0.09), which ΔΔEvdW dominates (Supplementary Table 5b). The disagreement is not only noise. Under hydrogen-only relaxation F227C gives ΔΔETotal = -8.89 ± 0.19 kcal/mol, against +1.15 ± 0.31 under full minimization, and four other genotypes behave the same way. Hydrogen-only relaxation leaves heavy-atom contacts in place, and those contacts enter the van der Waals term. The two protocols also differ in direction against phenotype. Over the 13 genotypes with an established phenotype, ΔΔETotal from full minimization correlates with log10 fold reduction at Spearman +0.45 (p = 0.13), while hydrogen-only relaxation gives -0.32 (p = 0.29). Neither reaches significance. The only correlation that does is ΔΔEelec under full minimization, at +0.63 (p = 0.02); we note that eight correlations were examined, so this would not survive a correction for multiple comparisons. Full minimization is therefore not one workable option among several: ΔΔETotal is not interpretable until the contacts are relieved. Single-point evaluation, with no relaxation at all, was also tested on six genotypes. It is dominated by a small number of snapshots carrying steric contacts, reaching 7 × 10⁸ kcal/mol in the worst case, and the effect depends on the genotype: in wild type none of the 100 scored snapshots exceeds +100 kcal/mol, while in G190E half of them do.</w:t>
      </w:r>
    </w:p>
    <w:p w14:paraId="419C7BCD" w14:textId="77777777" w:rsidR="00AC700D" w:rsidRDefault="00000000">
      <w:pPr>
        <w:spacing w:after="200"/>
      </w:pPr>
      <w:r>
        <w:rPr>
          <w:color w:val="FF0000"/>
        </w:rPr>
        <w:t xml:space="preserve">Supplementary Table 5b. Agreement between the two relaxation protocols, and between each protocol and phenotype. Protocol agreement is the Spearman correlation between the two columns of Supplementary Table 5 across the 19 genotypes. The phenotype columns are Spearman correlations against log10 fold reduction in susceptibility, over the 13 genotypes with an established susceptible or resistant phenotype.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00"/>
        <w:gridCol w:w="2600"/>
        <w:gridCol w:w="2400"/>
        <w:gridCol w:w="2400"/>
      </w:tblGrid>
      <w:tr>
        <w:trPr>
          <w:tblHeader/>
        </w:trPr>
        <w:tc>
          <w:tcPr>
            <w:tcW w:w="1600" w:type="dxa"/>
            <w:vAlign w:val="center"/>
          </w:tcPr>
          <w:p>
            <w:pPr>
              <w:spacing w:after="0" w:line="240" w:lineRule="auto"/>
              <w:jc w:val="center"/>
            </w:pPr>
            <w:r>
              <w:rPr>
                <w:b/>
                <w:sz w:val="14"/>
                <w:szCs w:val="14"/>
              </w:rPr>
              <w:t xml:space="preserve">Component</w:t>
            </w:r>
          </w:p>
        </w:tc>
        <w:tc>
          <w:tcPr>
            <w:tcW w:w="2600" w:type="dxa"/>
            <w:vAlign w:val="center"/>
          </w:tcPr>
          <w:p>
            <w:pPr>
              <w:spacing w:after="0" w:line="240" w:lineRule="auto"/>
              <w:jc w:val="center"/>
            </w:pPr>
            <w:r>
              <w:rPr>
                <w:b/>
                <w:sz w:val="14"/>
                <w:szCs w:val="14"/>
              </w:rPr>
              <w:t xml:space="preserve">Protocols agree (Spearman)</w:t>
            </w:r>
          </w:p>
        </w:tc>
        <w:tc>
          <w:tcPr>
            <w:tcW w:w="2400" w:type="dxa"/>
            <w:vAlign w:val="center"/>
          </w:tcPr>
          <w:p>
            <w:pPr>
              <w:spacing w:after="0" w:line="240" w:lineRule="auto"/>
              <w:jc w:val="center"/>
            </w:pPr>
            <w:r>
              <w:rPr>
                <w:b/>
                <w:sz w:val="14"/>
                <w:szCs w:val="14"/>
              </w:rPr>
              <w:t xml:space="preserve">vs phenotype (H-only)</w:t>
            </w:r>
          </w:p>
        </w:tc>
        <w:tc>
          <w:tcPr>
            <w:tcW w:w="2400" w:type="dxa"/>
            <w:vAlign w:val="center"/>
          </w:tcPr>
          <w:p>
            <w:pPr>
              <w:spacing w:after="0" w:line="240" w:lineRule="auto"/>
              <w:jc w:val="center"/>
            </w:pPr>
            <w:r>
              <w:rPr>
                <w:b/>
                <w:sz w:val="14"/>
                <w:szCs w:val="14"/>
              </w:rPr>
              <w:t xml:space="preserve">vs phenotype (full min)</w:t>
            </w:r>
          </w:p>
        </w:tc>
      </w:tr>
      <w:tr>
        <w:tc>
          <w:tcPr>
            <w:tcW w:w="1600" w:type="dxa"/>
            <w:vAlign w:val="center"/>
          </w:tcPr>
          <w:p>
            <w:pPr>
              <w:spacing w:after="0" w:line="240" w:lineRule="auto"/>
              <w:jc w:val="center"/>
            </w:pPr>
            <w:r>
              <w:rPr>
                <w:color w:val="FF0000"/>
                <w:sz w:val="14"/>
                <w:szCs w:val="14"/>
              </w:rPr>
              <w:t xml:space="preserve">ΔΔE Total</w:t>
            </w:r>
          </w:p>
        </w:tc>
        <w:tc>
          <w:tcPr>
            <w:tcW w:w="2600" w:type="dxa"/>
            <w:vAlign w:val="center"/>
          </w:tcPr>
          <w:p>
            <w:pPr>
              <w:spacing w:after="0" w:line="240" w:lineRule="auto"/>
              <w:jc w:val="center"/>
            </w:pPr>
            <w:r>
              <w:rPr>
                <w:color w:val="FF0000"/>
                <w:sz w:val="14"/>
                <w:szCs w:val="14"/>
              </w:rPr>
              <w:t xml:space="preserve">0.09 (p = 0.700)</w:t>
            </w:r>
          </w:p>
        </w:tc>
        <w:tc>
          <w:tcPr>
            <w:tcW w:w="2400" w:type="dxa"/>
            <w:vAlign w:val="center"/>
          </w:tcPr>
          <w:p>
            <w:pPr>
              <w:spacing w:after="0" w:line="240" w:lineRule="auto"/>
              <w:jc w:val="center"/>
            </w:pPr>
            <w:r>
              <w:rPr>
                <w:color w:val="FF0000"/>
                <w:sz w:val="14"/>
                <w:szCs w:val="14"/>
              </w:rPr>
              <w:t xml:space="preserve">-0.32 (p = 0.289)</w:t>
            </w:r>
          </w:p>
        </w:tc>
        <w:tc>
          <w:tcPr>
            <w:tcW w:w="2400" w:type="dxa"/>
            <w:vAlign w:val="center"/>
          </w:tcPr>
          <w:p>
            <w:pPr>
              <w:spacing w:after="0" w:line="240" w:lineRule="auto"/>
              <w:jc w:val="center"/>
            </w:pPr>
            <w:r>
              <w:rPr>
                <w:color w:val="FF0000"/>
                <w:sz w:val="14"/>
                <w:szCs w:val="14"/>
              </w:rPr>
              <w:t xml:space="preserve">+0.45 (p = 0.128)</w:t>
            </w:r>
          </w:p>
        </w:tc>
      </w:tr>
      <w:tr>
        <w:tc>
          <w:tcPr>
            <w:tcW w:w="1600" w:type="dxa"/>
            <w:vAlign w:val="center"/>
          </w:tcPr>
          <w:p>
            <w:pPr>
              <w:spacing w:after="0" w:line="240" w:lineRule="auto"/>
              <w:jc w:val="center"/>
            </w:pPr>
            <w:r>
              <w:rPr>
                <w:color w:val="FF0000"/>
                <w:sz w:val="14"/>
                <w:szCs w:val="14"/>
              </w:rPr>
              <w:t xml:space="preserve">ΔΔE vdW</w:t>
            </w:r>
          </w:p>
        </w:tc>
        <w:tc>
          <w:tcPr>
            <w:tcW w:w="2600" w:type="dxa"/>
            <w:vAlign w:val="center"/>
          </w:tcPr>
          <w:p>
            <w:pPr>
              <w:spacing w:after="0" w:line="240" w:lineRule="auto"/>
              <w:jc w:val="center"/>
            </w:pPr>
            <w:r>
              <w:rPr>
                <w:color w:val="FF0000"/>
                <w:sz w:val="14"/>
                <w:szCs w:val="14"/>
              </w:rPr>
              <w:t xml:space="preserve">0.26 (p = 0.286)</w:t>
            </w:r>
          </w:p>
        </w:tc>
        <w:tc>
          <w:tcPr>
            <w:tcW w:w="2400" w:type="dxa"/>
            <w:vAlign w:val="center"/>
          </w:tcPr>
          <w:p>
            <w:pPr>
              <w:spacing w:after="0" w:line="240" w:lineRule="auto"/>
              <w:jc w:val="center"/>
            </w:pPr>
            <w:r>
              <w:rPr>
                <w:color w:val="FF0000"/>
                <w:sz w:val="14"/>
                <w:szCs w:val="14"/>
              </w:rPr>
              <w:t xml:space="preserve">-0.27 (p = 0.364)</w:t>
            </w:r>
          </w:p>
        </w:tc>
        <w:tc>
          <w:tcPr>
            <w:tcW w:w="2400" w:type="dxa"/>
            <w:vAlign w:val="center"/>
          </w:tcPr>
          <w:p>
            <w:pPr>
              <w:spacing w:after="0" w:line="240" w:lineRule="auto"/>
              <w:jc w:val="center"/>
            </w:pPr>
            <w:r>
              <w:rPr>
                <w:color w:val="FF0000"/>
                <w:sz w:val="14"/>
                <w:szCs w:val="14"/>
              </w:rPr>
              <w:t xml:space="preserve">+0.01 (p = 0.986)</w:t>
            </w:r>
          </w:p>
        </w:tc>
      </w:tr>
      <w:tr>
        <w:tc>
          <w:tcPr>
            <w:tcW w:w="1600" w:type="dxa"/>
            <w:vAlign w:val="center"/>
          </w:tcPr>
          <w:p>
            <w:pPr>
              <w:spacing w:after="0" w:line="240" w:lineRule="auto"/>
              <w:jc w:val="center"/>
            </w:pPr>
            <w:r>
              <w:rPr>
                <w:color w:val="FF0000"/>
                <w:sz w:val="14"/>
                <w:szCs w:val="14"/>
              </w:rPr>
              <w:t xml:space="preserve">ΔΔE elec</w:t>
            </w:r>
          </w:p>
        </w:tc>
        <w:tc>
          <w:tcPr>
            <w:tcW w:w="2600" w:type="dxa"/>
            <w:vAlign w:val="center"/>
          </w:tcPr>
          <w:p>
            <w:pPr>
              <w:spacing w:after="0" w:line="240" w:lineRule="auto"/>
              <w:jc w:val="center"/>
            </w:pPr>
            <w:r>
              <w:rPr>
                <w:color w:val="FF0000"/>
                <w:sz w:val="14"/>
                <w:szCs w:val="14"/>
              </w:rPr>
              <w:t xml:space="preserve">0.69 (p = 0.001)</w:t>
            </w:r>
          </w:p>
        </w:tc>
        <w:tc>
          <w:tcPr>
            <w:tcW w:w="2400" w:type="dxa"/>
            <w:vAlign w:val="center"/>
          </w:tcPr>
          <w:p>
            <w:pPr>
              <w:spacing w:after="0" w:line="240" w:lineRule="auto"/>
              <w:jc w:val="center"/>
            </w:pPr>
            <w:r>
              <w:rPr>
                <w:color w:val="FF0000"/>
                <w:sz w:val="14"/>
                <w:szCs w:val="14"/>
              </w:rPr>
              <w:t xml:space="preserve">+0.36 (p = 0.231)</w:t>
            </w:r>
          </w:p>
        </w:tc>
        <w:tc>
          <w:tcPr>
            <w:tcW w:w="2400" w:type="dxa"/>
            <w:vAlign w:val="center"/>
          </w:tcPr>
          <w:p>
            <w:pPr>
              <w:spacing w:after="0" w:line="240" w:lineRule="auto"/>
              <w:jc w:val="center"/>
            </w:pPr>
            <w:r>
              <w:rPr>
                <w:color w:val="FF0000"/>
                <w:sz w:val="14"/>
                <w:szCs w:val="14"/>
              </w:rPr>
              <w:t xml:space="preserve">+0.63 (p = 0.021)</w:t>
            </w:r>
          </w:p>
        </w:tc>
      </w:tr>
      <w:tr>
        <w:tc>
          <w:tcPr>
            <w:tcW w:w="1600" w:type="dxa"/>
            <w:vAlign w:val="center"/>
          </w:tcPr>
          <w:p>
            <w:pPr>
              <w:spacing w:after="0" w:line="240" w:lineRule="auto"/>
              <w:jc w:val="center"/>
            </w:pPr>
            <w:r>
              <w:rPr>
                <w:color w:val="FF0000"/>
                <w:sz w:val="14"/>
                <w:szCs w:val="14"/>
              </w:rPr>
              <w:t xml:space="preserve">ΔΔE GB</w:t>
            </w:r>
          </w:p>
        </w:tc>
        <w:tc>
          <w:tcPr>
            <w:tcW w:w="2600" w:type="dxa"/>
            <w:vAlign w:val="center"/>
          </w:tcPr>
          <w:p>
            <w:pPr>
              <w:spacing w:after="0" w:line="240" w:lineRule="auto"/>
              <w:jc w:val="center"/>
            </w:pPr>
            <w:r>
              <w:rPr>
                <w:color w:val="FF0000"/>
                <w:sz w:val="14"/>
                <w:szCs w:val="14"/>
              </w:rPr>
              <w:t xml:space="preserve">0.81 (p = 0.000)</w:t>
            </w:r>
          </w:p>
        </w:tc>
        <w:tc>
          <w:tcPr>
            <w:tcW w:w="2400" w:type="dxa"/>
            <w:vAlign w:val="center"/>
          </w:tcPr>
          <w:p>
            <w:pPr>
              <w:spacing w:after="0" w:line="240" w:lineRule="auto"/>
              <w:jc w:val="center"/>
            </w:pPr>
            <w:r>
              <w:rPr>
                <w:color w:val="FF0000"/>
                <w:sz w:val="14"/>
                <w:szCs w:val="14"/>
              </w:rPr>
              <w:t xml:space="preserve">+0.21 (p = 0.494)</w:t>
            </w:r>
          </w:p>
        </w:tc>
        <w:tc>
          <w:tcPr>
            <w:tcW w:w="2400" w:type="dxa"/>
            <w:vAlign w:val="center"/>
          </w:tcPr>
          <w:p>
            <w:pPr>
              <w:spacing w:after="0" w:line="240" w:lineRule="auto"/>
              <w:jc w:val="center"/>
            </w:pPr>
            <w:r>
              <w:rPr>
                <w:color w:val="FF0000"/>
                <w:sz w:val="14"/>
                <w:szCs w:val="14"/>
              </w:rPr>
              <w:t xml:space="preserve">+0.08 (p = 0.803)</w:t>
            </w:r>
          </w:p>
        </w:tc>
      </w:tr>
    </w:tbl>
    <w:p>
      <w:pPr>
        <w:spacing w:after="0"/>
      </w:pPr>
    </w:p>
    <w:p w14:paraId="2B462F55" w14:textId="77777777" w:rsidR="00AC700D" w:rsidRDefault="00000000">
      <w:pPr>
        <w:spacing w:after="200"/>
      </w:pPr>
      <w:r>
        <w:rPr>
          <w:color w:val="FF0000"/>
        </w:rPr>
        <w:t xml:space="preserve">Supplementary Note 1. Finite-size corrections for the charge-changing legs. The leading periodicity (net-charge self-energy) term of the Rocklin scheme is +0.0407 kcal/mol per phase and cancels to below 0.0001 kcal/mol in ΔΔGbind for both WT→K103N and WT→G190E. The higher-order terms — net-charge undersolvation, discrete-solvent and residual integrated potential — were not applied, since computing them exactly requires a Poisson-Boltzmann treatment of each environment. They are bounded instead by cancellation: each depends on the net charge, the box, the solvent density and the solute </w:t>
      </w:r>
      <w:r>
        <w:rPr>
          <w:color w:val="FF0000"/>
        </w:rPr>
        <w:lastRenderedPageBreak/>
        <w:t>excluded volume; the charge change is identical in the holo and apo phases by construction; and the cells are matched to within 0.13% (K103N) and 0.31% (G190E) in volume, with DOR occupying 0.019% of the cell. Taking a per-phase correction of 1 kcal/mol, about 25 times the leading term, the residual on ΔΔGbind is at most 0.003 kcal/mol — two to three orders of magnitude below the 0.2–1.2 kcal/mol per-leg statistical uncertainties in Table 2.</w:t>
      </w:r>
    </w:p>
    <w:p w14:paraId="3E92A1C7" w14:textId="77777777" w:rsidR="00AC700D" w:rsidRDefault="00000000">
      <w:pPr>
        <w:spacing w:after="200"/>
      </w:pPr>
      <w:r>
        <w:rPr>
          <w:color w:val="FF0000"/>
        </w:rPr>
        <w:t>Supplementary Note 2. Effect of the ligand charge model. MM/GBSA energies recomputed with AM1-BCC partial charges for WT, V106A and Y188L, using the same trajectories, snapshots, sampling and relaxation protocol as the main text, so that the ligand charge set is the only difference. The two charge sets are both neutral and correlate at 0.890, but AM1-BCC is more polarised (mean |q| 0.228 e against 0.138 e; RMS difference 0.165 e, maximum 0.390 e), with the largest differences on the triazolinone and pyridinone carbonyl and amide atoms. Absolute binding energies shift by 3.5–4.6 kcal/mol. The WT-referenced ΔΔETotal reported in Table 2 shifts by at most 0.81 kcal/mol (V106A 1.73 → 2.54, Y188L 2.78 → 2.34) with the sign preserved, and the shift falls almost entirely on the charge-dependent components (ΔΔEelec up to 1.17, ΔΔEGB up to 1.32) while ΔΔEvdW moves only 0.23–0.29 kcal/mol. Much of the charge-model effect is therefore common to wild type and mutant and cancels in the WT-referenced difference. This applies to MM/GBSA only; ΔΔGbind is unaffected because DOR is neutral and identically parameterised at both end states of every alchemical leg.</w:t>
      </w:r>
    </w:p>
    <w:p w14:paraId="1A55173A" w14:textId="77777777" w:rsidR="00AC700D" w:rsidRDefault="00000000">
      <w:pPr>
        <w:spacing w:after="200"/>
      </w:pPr>
      <w:r>
        <w:rPr>
          <w:color w:val="FF0000"/>
        </w:rPr>
        <w:t>Supplementary Table 6. Effect of the ligand charge model on WT-referenced MM/GBSA energies. The same trajectories and snapshots re-scored with Gasteiger and with AM1-BCC partial charges, three replicates per genotype. Values are kcal/mol, mean ± SEM over replicates.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500"/>
        <w:gridCol w:w="2000"/>
        <w:gridCol w:w="2000"/>
        <w:gridCol w:w="1400"/>
      </w:tblGrid>
      <w:tr w:rsidR="00AC700D" w14:paraId="7DDA47A6" w14:textId="77777777">
        <w:trPr>
          <w:tblHeader/>
        </w:trPr>
        <w:tc>
          <w:tcPr>
            <w:tcW w:w="1700" w:type="dxa"/>
            <w:vAlign w:val="center"/>
          </w:tcPr>
          <w:p w14:paraId="4D68CDEF" w14:textId="77777777" w:rsidR="00AC700D" w:rsidRDefault="00000000">
            <w:pPr>
              <w:jc w:val="center"/>
            </w:pPr>
            <w:r>
              <w:rPr>
                <w:b/>
                <w:sz w:val="16"/>
                <w:szCs w:val="16"/>
              </w:rPr>
              <w:t>Genotype</w:t>
            </w:r>
          </w:p>
        </w:tc>
        <w:tc>
          <w:tcPr>
            <w:tcW w:w="1500" w:type="dxa"/>
            <w:vAlign w:val="center"/>
          </w:tcPr>
          <w:p w14:paraId="48B116B3" w14:textId="77777777" w:rsidR="00AC700D" w:rsidRDefault="00000000">
            <w:pPr>
              <w:jc w:val="center"/>
            </w:pPr>
            <w:r>
              <w:rPr>
                <w:b/>
                <w:sz w:val="16"/>
                <w:szCs w:val="16"/>
              </w:rPr>
              <w:t>Component</w:t>
            </w:r>
          </w:p>
        </w:tc>
        <w:tc>
          <w:tcPr>
            <w:tcW w:w="2000" w:type="dxa"/>
            <w:vAlign w:val="center"/>
          </w:tcPr>
          <w:p w14:paraId="4CC0B8CD" w14:textId="77777777" w:rsidR="00AC700D" w:rsidRDefault="00000000">
            <w:pPr>
              <w:jc w:val="center"/>
            </w:pPr>
            <w:r>
              <w:rPr>
                <w:b/>
                <w:sz w:val="16"/>
                <w:szCs w:val="16"/>
              </w:rPr>
              <w:t>Gasteiger</w:t>
            </w:r>
          </w:p>
        </w:tc>
        <w:tc>
          <w:tcPr>
            <w:tcW w:w="2000" w:type="dxa"/>
            <w:vAlign w:val="center"/>
          </w:tcPr>
          <w:p w14:paraId="187E8045" w14:textId="77777777" w:rsidR="00AC700D" w:rsidRDefault="00000000">
            <w:pPr>
              <w:jc w:val="center"/>
            </w:pPr>
            <w:r>
              <w:rPr>
                <w:b/>
                <w:sz w:val="16"/>
                <w:szCs w:val="16"/>
              </w:rPr>
              <w:t>AM1-BCC</w:t>
            </w:r>
          </w:p>
        </w:tc>
        <w:tc>
          <w:tcPr>
            <w:tcW w:w="1400" w:type="dxa"/>
            <w:vAlign w:val="center"/>
          </w:tcPr>
          <w:p w14:paraId="480B8AD7" w14:textId="77777777" w:rsidR="00AC700D" w:rsidRDefault="00000000">
            <w:pPr>
              <w:jc w:val="center"/>
            </w:pPr>
            <w:r>
              <w:rPr>
                <w:b/>
                <w:sz w:val="16"/>
                <w:szCs w:val="16"/>
              </w:rPr>
              <w:t>Difference</w:t>
            </w:r>
          </w:p>
        </w:tc>
      </w:tr>
      <w:tr w:rsidR="00AC700D" w14:paraId="0E02FADF" w14:textId="77777777">
        <w:tc>
          <w:tcPr>
            <w:tcW w:w="1700" w:type="dxa"/>
            <w:vAlign w:val="center"/>
          </w:tcPr>
          <w:p w14:paraId="39FB9A93" w14:textId="77777777" w:rsidR="00AC700D" w:rsidRDefault="00000000">
            <w:pPr>
              <w:jc w:val="center"/>
            </w:pPr>
            <w:r>
              <w:rPr>
                <w:color w:val="FF0000"/>
                <w:sz w:val="16"/>
                <w:szCs w:val="16"/>
              </w:rPr>
              <w:t>V106A</w:t>
            </w:r>
          </w:p>
        </w:tc>
        <w:tc>
          <w:tcPr>
            <w:tcW w:w="1500" w:type="dxa"/>
            <w:vAlign w:val="center"/>
          </w:tcPr>
          <w:p w14:paraId="0465C934" w14:textId="77777777" w:rsidR="00AC700D" w:rsidRDefault="00000000">
            <w:pPr>
              <w:jc w:val="center"/>
            </w:pPr>
            <w:r>
              <w:rPr>
                <w:color w:val="FF0000"/>
                <w:sz w:val="16"/>
                <w:szCs w:val="16"/>
              </w:rPr>
              <w:t>ΔΔE Total</w:t>
            </w:r>
          </w:p>
        </w:tc>
        <w:tc>
          <w:tcPr>
            <w:tcW w:w="2000" w:type="dxa"/>
            <w:vAlign w:val="center"/>
          </w:tcPr>
          <w:p w14:paraId="4FE49486" w14:textId="77777777" w:rsidR="00AC700D" w:rsidRDefault="00000000">
            <w:pPr>
              <w:jc w:val="center"/>
            </w:pPr>
            <w:r>
              <w:rPr>
                <w:color w:val="FF0000"/>
                <w:sz w:val="16"/>
                <w:szCs w:val="16"/>
              </w:rPr>
              <w:t>1.73 ± 0.41</w:t>
            </w:r>
          </w:p>
        </w:tc>
        <w:tc>
          <w:tcPr>
            <w:tcW w:w="2000" w:type="dxa"/>
            <w:vAlign w:val="center"/>
          </w:tcPr>
          <w:p w14:paraId="0F22C135" w14:textId="77777777" w:rsidR="00AC700D" w:rsidRDefault="00000000">
            <w:pPr>
              <w:jc w:val="center"/>
            </w:pPr>
            <w:r>
              <w:rPr>
                <w:color w:val="FF0000"/>
                <w:sz w:val="16"/>
                <w:szCs w:val="16"/>
              </w:rPr>
              <w:t>2.54 ± 0.55</w:t>
            </w:r>
          </w:p>
        </w:tc>
        <w:tc>
          <w:tcPr>
            <w:tcW w:w="1400" w:type="dxa"/>
            <w:vAlign w:val="center"/>
          </w:tcPr>
          <w:p w14:paraId="435AD0A4" w14:textId="77777777" w:rsidR="00AC700D" w:rsidRDefault="00000000">
            <w:pPr>
              <w:jc w:val="center"/>
            </w:pPr>
            <w:r>
              <w:rPr>
                <w:color w:val="FF0000"/>
                <w:sz w:val="16"/>
                <w:szCs w:val="16"/>
              </w:rPr>
              <w:t>+0.81</w:t>
            </w:r>
          </w:p>
        </w:tc>
      </w:tr>
      <w:tr w:rsidR="00AC700D" w14:paraId="0BDA3272" w14:textId="77777777">
        <w:tc>
          <w:tcPr>
            <w:tcW w:w="1700" w:type="dxa"/>
            <w:vAlign w:val="center"/>
          </w:tcPr>
          <w:p w14:paraId="235F07F1" w14:textId="77777777" w:rsidR="00AC700D" w:rsidRDefault="00000000">
            <w:pPr>
              <w:jc w:val="center"/>
            </w:pPr>
            <w:r>
              <w:rPr>
                <w:color w:val="FF0000"/>
                <w:sz w:val="16"/>
                <w:szCs w:val="16"/>
              </w:rPr>
              <w:t>V106A</w:t>
            </w:r>
          </w:p>
        </w:tc>
        <w:tc>
          <w:tcPr>
            <w:tcW w:w="1500" w:type="dxa"/>
            <w:vAlign w:val="center"/>
          </w:tcPr>
          <w:p w14:paraId="0FC0749B" w14:textId="77777777" w:rsidR="00AC700D" w:rsidRDefault="00000000">
            <w:pPr>
              <w:jc w:val="center"/>
            </w:pPr>
            <w:r>
              <w:rPr>
                <w:color w:val="FF0000"/>
                <w:sz w:val="16"/>
                <w:szCs w:val="16"/>
              </w:rPr>
              <w:t>ΔΔE vdW</w:t>
            </w:r>
          </w:p>
        </w:tc>
        <w:tc>
          <w:tcPr>
            <w:tcW w:w="2000" w:type="dxa"/>
            <w:vAlign w:val="center"/>
          </w:tcPr>
          <w:p w14:paraId="65461FCB" w14:textId="77777777" w:rsidR="00AC700D" w:rsidRDefault="00000000">
            <w:pPr>
              <w:jc w:val="center"/>
            </w:pPr>
            <w:r>
              <w:rPr>
                <w:color w:val="FF0000"/>
                <w:sz w:val="16"/>
                <w:szCs w:val="16"/>
              </w:rPr>
              <w:t>0.73 ± 0.20</w:t>
            </w:r>
          </w:p>
        </w:tc>
        <w:tc>
          <w:tcPr>
            <w:tcW w:w="2000" w:type="dxa"/>
            <w:vAlign w:val="center"/>
          </w:tcPr>
          <w:p w14:paraId="4E3EA582" w14:textId="77777777" w:rsidR="00AC700D" w:rsidRDefault="00000000">
            <w:pPr>
              <w:jc w:val="center"/>
            </w:pPr>
            <w:r>
              <w:rPr>
                <w:color w:val="FF0000"/>
                <w:sz w:val="16"/>
                <w:szCs w:val="16"/>
              </w:rPr>
              <w:t>1.02 ± 0.20</w:t>
            </w:r>
          </w:p>
        </w:tc>
        <w:tc>
          <w:tcPr>
            <w:tcW w:w="1400" w:type="dxa"/>
            <w:vAlign w:val="center"/>
          </w:tcPr>
          <w:p w14:paraId="5460423E" w14:textId="77777777" w:rsidR="00AC700D" w:rsidRDefault="00000000">
            <w:pPr>
              <w:jc w:val="center"/>
            </w:pPr>
            <w:r>
              <w:rPr>
                <w:color w:val="FF0000"/>
                <w:sz w:val="16"/>
                <w:szCs w:val="16"/>
              </w:rPr>
              <w:t>+0.29</w:t>
            </w:r>
          </w:p>
        </w:tc>
      </w:tr>
      <w:tr w:rsidR="00AC700D" w14:paraId="48D5B8B9" w14:textId="77777777">
        <w:tc>
          <w:tcPr>
            <w:tcW w:w="1700" w:type="dxa"/>
            <w:vAlign w:val="center"/>
          </w:tcPr>
          <w:p w14:paraId="4CCE04CC" w14:textId="77777777" w:rsidR="00AC700D" w:rsidRDefault="00000000">
            <w:pPr>
              <w:jc w:val="center"/>
            </w:pPr>
            <w:r>
              <w:rPr>
                <w:color w:val="FF0000"/>
                <w:sz w:val="16"/>
                <w:szCs w:val="16"/>
              </w:rPr>
              <w:t>V106A</w:t>
            </w:r>
          </w:p>
        </w:tc>
        <w:tc>
          <w:tcPr>
            <w:tcW w:w="1500" w:type="dxa"/>
            <w:vAlign w:val="center"/>
          </w:tcPr>
          <w:p w14:paraId="169AE798" w14:textId="77777777" w:rsidR="00AC700D" w:rsidRDefault="00000000">
            <w:pPr>
              <w:jc w:val="center"/>
            </w:pPr>
            <w:r>
              <w:rPr>
                <w:color w:val="FF0000"/>
                <w:sz w:val="16"/>
                <w:szCs w:val="16"/>
              </w:rPr>
              <w:t>ΔΔE elec</w:t>
            </w:r>
          </w:p>
        </w:tc>
        <w:tc>
          <w:tcPr>
            <w:tcW w:w="2000" w:type="dxa"/>
            <w:vAlign w:val="center"/>
          </w:tcPr>
          <w:p w14:paraId="4FB371C2" w14:textId="77777777" w:rsidR="00AC700D" w:rsidRDefault="00000000">
            <w:pPr>
              <w:jc w:val="center"/>
            </w:pPr>
            <w:r>
              <w:rPr>
                <w:color w:val="FF0000"/>
                <w:sz w:val="16"/>
                <w:szCs w:val="16"/>
              </w:rPr>
              <w:t>-0.07 ± 0.77</w:t>
            </w:r>
          </w:p>
        </w:tc>
        <w:tc>
          <w:tcPr>
            <w:tcW w:w="2000" w:type="dxa"/>
            <w:vAlign w:val="center"/>
          </w:tcPr>
          <w:p w14:paraId="321FFA84" w14:textId="77777777" w:rsidR="00AC700D" w:rsidRDefault="00000000">
            <w:pPr>
              <w:jc w:val="center"/>
            </w:pPr>
            <w:r>
              <w:rPr>
                <w:color w:val="FF0000"/>
                <w:sz w:val="16"/>
                <w:szCs w:val="16"/>
              </w:rPr>
              <w:t>-0.88 ± 1.51</w:t>
            </w:r>
          </w:p>
        </w:tc>
        <w:tc>
          <w:tcPr>
            <w:tcW w:w="1400" w:type="dxa"/>
            <w:vAlign w:val="center"/>
          </w:tcPr>
          <w:p w14:paraId="0FDA6808" w14:textId="77777777" w:rsidR="00AC700D" w:rsidRDefault="00000000">
            <w:pPr>
              <w:jc w:val="center"/>
            </w:pPr>
            <w:r>
              <w:rPr>
                <w:color w:val="FF0000"/>
                <w:sz w:val="16"/>
                <w:szCs w:val="16"/>
              </w:rPr>
              <w:t>-0.81</w:t>
            </w:r>
          </w:p>
        </w:tc>
      </w:tr>
      <w:tr w:rsidR="00AC700D" w14:paraId="707A4521" w14:textId="77777777">
        <w:tc>
          <w:tcPr>
            <w:tcW w:w="1700" w:type="dxa"/>
            <w:vAlign w:val="center"/>
          </w:tcPr>
          <w:p w14:paraId="4A1C656D" w14:textId="77777777" w:rsidR="00AC700D" w:rsidRDefault="00000000">
            <w:pPr>
              <w:jc w:val="center"/>
            </w:pPr>
            <w:r>
              <w:rPr>
                <w:color w:val="FF0000"/>
                <w:sz w:val="16"/>
                <w:szCs w:val="16"/>
              </w:rPr>
              <w:t>V106A</w:t>
            </w:r>
          </w:p>
        </w:tc>
        <w:tc>
          <w:tcPr>
            <w:tcW w:w="1500" w:type="dxa"/>
            <w:vAlign w:val="center"/>
          </w:tcPr>
          <w:p w14:paraId="3E6BE6BB" w14:textId="77777777" w:rsidR="00AC700D" w:rsidRDefault="00000000">
            <w:pPr>
              <w:jc w:val="center"/>
            </w:pPr>
            <w:r>
              <w:rPr>
                <w:color w:val="FF0000"/>
                <w:sz w:val="16"/>
                <w:szCs w:val="16"/>
              </w:rPr>
              <w:t>ΔΔE GB</w:t>
            </w:r>
          </w:p>
        </w:tc>
        <w:tc>
          <w:tcPr>
            <w:tcW w:w="2000" w:type="dxa"/>
            <w:vAlign w:val="center"/>
          </w:tcPr>
          <w:p w14:paraId="4C7F6F7F" w14:textId="77777777" w:rsidR="00AC700D" w:rsidRDefault="00000000">
            <w:pPr>
              <w:jc w:val="center"/>
            </w:pPr>
            <w:r>
              <w:rPr>
                <w:color w:val="FF0000"/>
                <w:sz w:val="16"/>
                <w:szCs w:val="16"/>
              </w:rPr>
              <w:t>1.05 ± 0.64</w:t>
            </w:r>
          </w:p>
        </w:tc>
        <w:tc>
          <w:tcPr>
            <w:tcW w:w="2000" w:type="dxa"/>
            <w:vAlign w:val="center"/>
          </w:tcPr>
          <w:p w14:paraId="4FE533A0" w14:textId="77777777" w:rsidR="00AC700D" w:rsidRDefault="00000000">
            <w:pPr>
              <w:jc w:val="center"/>
            </w:pPr>
            <w:r>
              <w:rPr>
                <w:color w:val="FF0000"/>
                <w:sz w:val="16"/>
                <w:szCs w:val="16"/>
              </w:rPr>
              <w:t>2.37 ± 1.16</w:t>
            </w:r>
          </w:p>
        </w:tc>
        <w:tc>
          <w:tcPr>
            <w:tcW w:w="1400" w:type="dxa"/>
            <w:vAlign w:val="center"/>
          </w:tcPr>
          <w:p w14:paraId="26FA6ED2" w14:textId="77777777" w:rsidR="00AC700D" w:rsidRDefault="00000000">
            <w:pPr>
              <w:jc w:val="center"/>
            </w:pPr>
            <w:r>
              <w:rPr>
                <w:color w:val="FF0000"/>
                <w:sz w:val="16"/>
                <w:szCs w:val="16"/>
              </w:rPr>
              <w:t>+1.32</w:t>
            </w:r>
          </w:p>
        </w:tc>
      </w:tr>
      <w:tr w:rsidR="00AC700D" w14:paraId="0C45DD4B" w14:textId="77777777">
        <w:tc>
          <w:tcPr>
            <w:tcW w:w="1700" w:type="dxa"/>
            <w:vAlign w:val="center"/>
          </w:tcPr>
          <w:p w14:paraId="1DBAF0D6" w14:textId="77777777" w:rsidR="00AC700D" w:rsidRDefault="00000000">
            <w:pPr>
              <w:jc w:val="center"/>
            </w:pPr>
            <w:r>
              <w:rPr>
                <w:color w:val="FF0000"/>
                <w:sz w:val="16"/>
                <w:szCs w:val="16"/>
              </w:rPr>
              <w:t>Y188L</w:t>
            </w:r>
          </w:p>
        </w:tc>
        <w:tc>
          <w:tcPr>
            <w:tcW w:w="1500" w:type="dxa"/>
            <w:vAlign w:val="center"/>
          </w:tcPr>
          <w:p w14:paraId="27B60029" w14:textId="77777777" w:rsidR="00AC700D" w:rsidRDefault="00000000">
            <w:pPr>
              <w:jc w:val="center"/>
            </w:pPr>
            <w:r>
              <w:rPr>
                <w:color w:val="FF0000"/>
                <w:sz w:val="16"/>
                <w:szCs w:val="16"/>
              </w:rPr>
              <w:t>ΔΔE Total</w:t>
            </w:r>
          </w:p>
        </w:tc>
        <w:tc>
          <w:tcPr>
            <w:tcW w:w="2000" w:type="dxa"/>
            <w:vAlign w:val="center"/>
          </w:tcPr>
          <w:p w14:paraId="0C30E423" w14:textId="77777777" w:rsidR="00AC700D" w:rsidRDefault="00000000">
            <w:pPr>
              <w:jc w:val="center"/>
            </w:pPr>
            <w:r>
              <w:rPr>
                <w:color w:val="FF0000"/>
                <w:sz w:val="16"/>
                <w:szCs w:val="16"/>
              </w:rPr>
              <w:t>2.78 ± 0.42</w:t>
            </w:r>
          </w:p>
        </w:tc>
        <w:tc>
          <w:tcPr>
            <w:tcW w:w="2000" w:type="dxa"/>
            <w:vAlign w:val="center"/>
          </w:tcPr>
          <w:p w14:paraId="4AACD1E1" w14:textId="77777777" w:rsidR="00AC700D" w:rsidRDefault="00000000">
            <w:pPr>
              <w:jc w:val="center"/>
            </w:pPr>
            <w:r>
              <w:rPr>
                <w:color w:val="FF0000"/>
                <w:sz w:val="16"/>
                <w:szCs w:val="16"/>
              </w:rPr>
              <w:t>2.34 ± 0.14</w:t>
            </w:r>
          </w:p>
        </w:tc>
        <w:tc>
          <w:tcPr>
            <w:tcW w:w="1400" w:type="dxa"/>
            <w:vAlign w:val="center"/>
          </w:tcPr>
          <w:p w14:paraId="62FC834C" w14:textId="77777777" w:rsidR="00AC700D" w:rsidRDefault="00000000">
            <w:pPr>
              <w:jc w:val="center"/>
            </w:pPr>
            <w:r>
              <w:rPr>
                <w:color w:val="FF0000"/>
                <w:sz w:val="16"/>
                <w:szCs w:val="16"/>
              </w:rPr>
              <w:t>-0.45</w:t>
            </w:r>
          </w:p>
        </w:tc>
      </w:tr>
      <w:tr w:rsidR="00AC700D" w14:paraId="5DDE19E7" w14:textId="77777777">
        <w:tc>
          <w:tcPr>
            <w:tcW w:w="1700" w:type="dxa"/>
            <w:vAlign w:val="center"/>
          </w:tcPr>
          <w:p w14:paraId="6F474230" w14:textId="77777777" w:rsidR="00AC700D" w:rsidRDefault="00000000">
            <w:pPr>
              <w:jc w:val="center"/>
            </w:pPr>
            <w:r>
              <w:rPr>
                <w:color w:val="FF0000"/>
                <w:sz w:val="16"/>
                <w:szCs w:val="16"/>
              </w:rPr>
              <w:t>Y188L</w:t>
            </w:r>
          </w:p>
        </w:tc>
        <w:tc>
          <w:tcPr>
            <w:tcW w:w="1500" w:type="dxa"/>
            <w:vAlign w:val="center"/>
          </w:tcPr>
          <w:p w14:paraId="1BC31145" w14:textId="77777777" w:rsidR="00AC700D" w:rsidRDefault="00000000">
            <w:pPr>
              <w:jc w:val="center"/>
            </w:pPr>
            <w:r>
              <w:rPr>
                <w:color w:val="FF0000"/>
                <w:sz w:val="16"/>
                <w:szCs w:val="16"/>
              </w:rPr>
              <w:t>ΔΔE vdW</w:t>
            </w:r>
          </w:p>
        </w:tc>
        <w:tc>
          <w:tcPr>
            <w:tcW w:w="2000" w:type="dxa"/>
            <w:vAlign w:val="center"/>
          </w:tcPr>
          <w:p w14:paraId="257A31D9" w14:textId="77777777" w:rsidR="00AC700D" w:rsidRDefault="00000000">
            <w:pPr>
              <w:jc w:val="center"/>
            </w:pPr>
            <w:r>
              <w:rPr>
                <w:color w:val="FF0000"/>
                <w:sz w:val="16"/>
                <w:szCs w:val="16"/>
              </w:rPr>
              <w:t>2.25 ± 0.20</w:t>
            </w:r>
          </w:p>
        </w:tc>
        <w:tc>
          <w:tcPr>
            <w:tcW w:w="2000" w:type="dxa"/>
            <w:vAlign w:val="center"/>
          </w:tcPr>
          <w:p w14:paraId="5BD72AFF" w14:textId="77777777" w:rsidR="00AC700D" w:rsidRDefault="00000000">
            <w:pPr>
              <w:jc w:val="center"/>
            </w:pPr>
            <w:r>
              <w:rPr>
                <w:color w:val="FF0000"/>
                <w:sz w:val="16"/>
                <w:szCs w:val="16"/>
              </w:rPr>
              <w:t>2.48 ± 0.23</w:t>
            </w:r>
          </w:p>
        </w:tc>
        <w:tc>
          <w:tcPr>
            <w:tcW w:w="1400" w:type="dxa"/>
            <w:vAlign w:val="center"/>
          </w:tcPr>
          <w:p w14:paraId="68995851" w14:textId="77777777" w:rsidR="00AC700D" w:rsidRDefault="00000000">
            <w:pPr>
              <w:jc w:val="center"/>
            </w:pPr>
            <w:r>
              <w:rPr>
                <w:color w:val="FF0000"/>
                <w:sz w:val="16"/>
                <w:szCs w:val="16"/>
              </w:rPr>
              <w:t>+0.23</w:t>
            </w:r>
          </w:p>
        </w:tc>
      </w:tr>
      <w:tr w:rsidR="00AC700D" w14:paraId="64BE476A" w14:textId="77777777">
        <w:tc>
          <w:tcPr>
            <w:tcW w:w="1700" w:type="dxa"/>
            <w:vAlign w:val="center"/>
          </w:tcPr>
          <w:p w14:paraId="2C94A423" w14:textId="77777777" w:rsidR="00AC700D" w:rsidRDefault="00000000">
            <w:pPr>
              <w:jc w:val="center"/>
            </w:pPr>
            <w:r>
              <w:rPr>
                <w:color w:val="FF0000"/>
                <w:sz w:val="16"/>
                <w:szCs w:val="16"/>
              </w:rPr>
              <w:t>Y188L</w:t>
            </w:r>
          </w:p>
        </w:tc>
        <w:tc>
          <w:tcPr>
            <w:tcW w:w="1500" w:type="dxa"/>
            <w:vAlign w:val="center"/>
          </w:tcPr>
          <w:p w14:paraId="5D6997CC" w14:textId="77777777" w:rsidR="00AC700D" w:rsidRDefault="00000000">
            <w:pPr>
              <w:jc w:val="center"/>
            </w:pPr>
            <w:r>
              <w:rPr>
                <w:color w:val="FF0000"/>
                <w:sz w:val="16"/>
                <w:szCs w:val="16"/>
              </w:rPr>
              <w:t>ΔΔE elec</w:t>
            </w:r>
          </w:p>
        </w:tc>
        <w:tc>
          <w:tcPr>
            <w:tcW w:w="2000" w:type="dxa"/>
            <w:vAlign w:val="center"/>
          </w:tcPr>
          <w:p w14:paraId="36F15915" w14:textId="77777777" w:rsidR="00AC700D" w:rsidRDefault="00000000">
            <w:pPr>
              <w:jc w:val="center"/>
            </w:pPr>
            <w:r>
              <w:rPr>
                <w:color w:val="FF0000"/>
                <w:sz w:val="16"/>
                <w:szCs w:val="16"/>
              </w:rPr>
              <w:t>0.31 ± 0.26</w:t>
            </w:r>
          </w:p>
        </w:tc>
        <w:tc>
          <w:tcPr>
            <w:tcW w:w="2000" w:type="dxa"/>
            <w:vAlign w:val="center"/>
          </w:tcPr>
          <w:p w14:paraId="63F34AA7" w14:textId="77777777" w:rsidR="00AC700D" w:rsidRDefault="00000000">
            <w:pPr>
              <w:jc w:val="center"/>
            </w:pPr>
            <w:r>
              <w:rPr>
                <w:color w:val="FF0000"/>
                <w:sz w:val="16"/>
                <w:szCs w:val="16"/>
              </w:rPr>
              <w:t>-0.85 ± 0.38</w:t>
            </w:r>
          </w:p>
        </w:tc>
        <w:tc>
          <w:tcPr>
            <w:tcW w:w="1400" w:type="dxa"/>
            <w:vAlign w:val="center"/>
          </w:tcPr>
          <w:p w14:paraId="0783C236" w14:textId="77777777" w:rsidR="00AC700D" w:rsidRDefault="00000000">
            <w:pPr>
              <w:jc w:val="center"/>
            </w:pPr>
            <w:r>
              <w:rPr>
                <w:color w:val="FF0000"/>
                <w:sz w:val="16"/>
                <w:szCs w:val="16"/>
              </w:rPr>
              <w:t>-1.17</w:t>
            </w:r>
          </w:p>
        </w:tc>
      </w:tr>
      <w:tr w:rsidR="00AC700D" w14:paraId="07868C62" w14:textId="77777777">
        <w:tc>
          <w:tcPr>
            <w:tcW w:w="1700" w:type="dxa"/>
            <w:vAlign w:val="center"/>
          </w:tcPr>
          <w:p w14:paraId="72C69761" w14:textId="77777777" w:rsidR="00AC700D" w:rsidRDefault="00000000">
            <w:pPr>
              <w:jc w:val="center"/>
            </w:pPr>
            <w:r>
              <w:rPr>
                <w:color w:val="FF0000"/>
                <w:sz w:val="16"/>
                <w:szCs w:val="16"/>
              </w:rPr>
              <w:t>Y188L</w:t>
            </w:r>
          </w:p>
        </w:tc>
        <w:tc>
          <w:tcPr>
            <w:tcW w:w="1500" w:type="dxa"/>
            <w:vAlign w:val="center"/>
          </w:tcPr>
          <w:p w14:paraId="47AA5754" w14:textId="77777777" w:rsidR="00AC700D" w:rsidRDefault="00000000">
            <w:pPr>
              <w:jc w:val="center"/>
            </w:pPr>
            <w:r>
              <w:rPr>
                <w:color w:val="FF0000"/>
                <w:sz w:val="16"/>
                <w:szCs w:val="16"/>
              </w:rPr>
              <w:t>ΔΔE GB</w:t>
            </w:r>
          </w:p>
        </w:tc>
        <w:tc>
          <w:tcPr>
            <w:tcW w:w="2000" w:type="dxa"/>
            <w:vAlign w:val="center"/>
          </w:tcPr>
          <w:p w14:paraId="6CE50B5A" w14:textId="77777777" w:rsidR="00AC700D" w:rsidRDefault="00000000">
            <w:pPr>
              <w:jc w:val="center"/>
            </w:pPr>
            <w:r>
              <w:rPr>
                <w:color w:val="FF0000"/>
                <w:sz w:val="16"/>
                <w:szCs w:val="16"/>
              </w:rPr>
              <w:t>0.26 ± 0.12</w:t>
            </w:r>
          </w:p>
        </w:tc>
        <w:tc>
          <w:tcPr>
            <w:tcW w:w="2000" w:type="dxa"/>
            <w:vAlign w:val="center"/>
          </w:tcPr>
          <w:p w14:paraId="29F173BB" w14:textId="77777777" w:rsidR="00AC700D" w:rsidRDefault="00000000">
            <w:pPr>
              <w:jc w:val="center"/>
            </w:pPr>
            <w:r>
              <w:rPr>
                <w:color w:val="FF0000"/>
                <w:sz w:val="16"/>
                <w:szCs w:val="16"/>
              </w:rPr>
              <w:t>0.74 ± 0.14</w:t>
            </w:r>
          </w:p>
        </w:tc>
        <w:tc>
          <w:tcPr>
            <w:tcW w:w="1400" w:type="dxa"/>
            <w:vAlign w:val="center"/>
          </w:tcPr>
          <w:p w14:paraId="2EF1A653" w14:textId="77777777" w:rsidR="00AC700D" w:rsidRDefault="00000000">
            <w:pPr>
              <w:jc w:val="center"/>
            </w:pPr>
            <w:r>
              <w:rPr>
                <w:color w:val="FF0000"/>
                <w:sz w:val="16"/>
                <w:szCs w:val="16"/>
              </w:rPr>
              <w:t>+0.48</w:t>
            </w:r>
          </w:p>
        </w:tc>
      </w:tr>
    </w:tbl>
    <w:p w14:paraId="4FC430FD" w14:textId="77777777" w:rsidR="00AC700D" w:rsidRDefault="00AC700D"/>
    <w:p w14:paraId="34984C40" w14:textId="77777777" w:rsidR="00AC700D" w:rsidRDefault="00000000">
      <w:pPr>
        <w:spacing w:after="200"/>
      </w:pPr>
      <w:r>
        <w:rPr>
          <w:color w:val="FF0000"/>
        </w:rPr>
        <w:t>Supplementary Figure 3. Convergence diagnostics. Block averages over the production trajectories, together with integrated autocorrelation times estimated by Geyer's initial positive sequence and the resulting effective sample sizes, for six structural observables across all 60 holo replicates. Median autocorrelation times are 1.0–3.7 ns, giving a median effective sample size of 14–50 per 100 ns replicate; per-genotype median values range from 8 (V106M) to 73 (F227C). These bound the precision of the reported replicate means. They do not establish that the sampled basin is the only relevant one: an autocorrelation time measures motion within the basin a replicate occupies, so a trajectory that never leaves its starting basin can show a short correlation time and a healthy effective sample size regardless.</w:t>
      </w:r>
    </w:p>
    <w:p w14:paraId="51B21422" w14:textId="77777777" w:rsidR="00AC700D" w:rsidRDefault="00000000">
      <w:pPr>
        <w:spacing w:after="200"/>
      </w:pPr>
      <w:r>
        <w:rPr>
          <w:color w:val="FF0000"/>
        </w:rPr>
        <w:lastRenderedPageBreak/>
        <w:t>Supplementary Figure 4. Protein-level conformational analysis. Per-residue Cα RMSF after superposition on the NNIBP-lining residues, and three-state secondary structure by DSSP, both referenced to wild type across the panel. Regional RMSF changes reach at most 0.25 Å, in the primer grip (225–235) and the β9–β10 sheet for Y181C and G190S, and secondary structure is essentially unchanged throughout, the largest shift being G190E losing 0.08 of strand character at the NNIBP lining. No genotype remodels the fold in the bound state, which indicates that the differences in Table 3 are local to the DOR interface rather than consequences of broader conformational change.</w:t>
      </w:r>
    </w:p>
    <w:p w14:paraId="37BB30DF" w14:textId="77777777" w:rsidR="00AC700D" w:rsidRDefault="00000000">
      <w:pPr>
        <w:spacing w:after="200"/>
      </w:pPr>
      <w:r>
        <w:rPr>
          <w:color w:val="FF0000"/>
        </w:rPr>
        <w:t>Supplementary Figure 5. Apo and holo NNIBP volume distributions. Per-frame pocket volume for the bound state over full production, and for the unliganded state over a matched 10 ns window. The wild-type apo trajectories are 10 ns and set that window. The unliganded pocket is much smaller than the bound pocket in every genotype; per-genotype values are given in Supplementary Table 7. In all three G190E apo simulations RT became extended, after 18.5, 23 and 71 ns, with the chain spanning more than the box edge while every covalent bond stayed intact at 1.2 Å. Those frames are excluded. The matched 10 ns window comes before the change in every replicate, and no holo trajectory behaves this way.</w:t>
      </w:r>
    </w:p>
    <w:p w14:paraId="234EB0A8" w14:textId="77777777" w:rsidR="00AC700D" w:rsidRDefault="00000000">
      <w:pPr>
        <w:spacing w:after="200"/>
      </w:pPr>
      <w:r>
        <w:rPr>
          <w:color w:val="FF0000"/>
        </w:rPr>
        <w:t>Supplementary Note 3. The unliganded (apo) pocket. The NNIBP is not an open cavity in RT on its own. DOR has to open it, and that costs free energy. The thermodynamic cycle introduces each mutation twice, once in the DOR-bound state and once in the unliganded state. A mutation that changes the cost of opening the pocket therefore changes both legs in the same direction, and the two changes largely cancel in ΔΔGbind. We ran apo simulations for wild type and seven genotypes. Wild-type apo is 10 ns, so every apo trajectory was cut to a matched 10 ns window for comparison. Supplementary Table 7 gives the unliganded pocket volume on that window beside the bound-state volume from Table 3. Every apo pocket is smaller than its bound counterpart. The difference between the two states is larger than wild type (137 Å³) for the three genotypes whose ΔΔGbind misses the phenotype: G190E (242 Å³), V106I+F227C (178 Å³) and A98G+F227C (176 Å³).</w:t>
      </w:r>
    </w:p>
    <w:p w14:paraId="1CDBE81D" w14:textId="77777777" w:rsidR="00AC700D" w:rsidRDefault="00000000">
      <w:pPr>
        <w:spacing w:after="200"/>
      </w:pPr>
      <w:r>
        <w:rPr>
          <w:color w:val="FF0000"/>
        </w:rPr>
        <w:t>Supplementary Table 7. Unliganded (apo) and bound (holo) NNIBP pocket volume. Apo values are the mean ± SD over the matched 10 ns window across three replicates; holo values are the replicate means from Table 3. The induced-fit gap is holo minus apo. Genotypes are ordered by apo pocket volume. *In all three G190E apo simulations RT became extended after 18.5 ns or later, and the trajectories were not usable past that point. The value shown comes from the matched 10 ns window, which precedes the change in every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2"/>
        <w:gridCol w:w="1096"/>
        <w:gridCol w:w="1766"/>
        <w:gridCol w:w="1670"/>
        <w:gridCol w:w="1669"/>
        <w:gridCol w:w="1467"/>
      </w:tblGrid>
      <w:tr w:rsidR="00AC700D" w14:paraId="7C9A2CD8" w14:textId="77777777">
        <w:trPr>
          <w:tblHeader/>
        </w:trPr>
        <w:tc>
          <w:tcPr>
            <w:tcW w:w="1700" w:type="dxa"/>
            <w:vAlign w:val="center"/>
          </w:tcPr>
          <w:p w14:paraId="3B645429" w14:textId="77777777" w:rsidR="00AC700D" w:rsidRDefault="00000000">
            <w:pPr>
              <w:jc w:val="center"/>
            </w:pPr>
            <w:r>
              <w:rPr>
                <w:b/>
                <w:sz w:val="16"/>
                <w:szCs w:val="16"/>
              </w:rPr>
              <w:t>Genotype</w:t>
            </w:r>
          </w:p>
        </w:tc>
        <w:tc>
          <w:tcPr>
            <w:tcW w:w="1100" w:type="dxa"/>
            <w:vAlign w:val="center"/>
          </w:tcPr>
          <w:p w14:paraId="12FD8882" w14:textId="77777777" w:rsidR="00AC700D" w:rsidRDefault="00000000">
            <w:pPr>
              <w:jc w:val="center"/>
            </w:pPr>
            <w:r>
              <w:rPr>
                <w:b/>
                <w:sz w:val="16"/>
                <w:szCs w:val="16"/>
              </w:rPr>
              <w:t>Replicates</w:t>
            </w:r>
          </w:p>
        </w:tc>
        <w:tc>
          <w:tcPr>
            <w:tcW w:w="1800" w:type="dxa"/>
            <w:vAlign w:val="center"/>
          </w:tcPr>
          <w:p w14:paraId="236A8E03" w14:textId="77777777" w:rsidR="00AC700D" w:rsidRDefault="00000000">
            <w:pPr>
              <w:jc w:val="center"/>
            </w:pPr>
            <w:r>
              <w:rPr>
                <w:b/>
                <w:sz w:val="16"/>
                <w:szCs w:val="16"/>
              </w:rPr>
              <w:t>Apo V(NNIBP) (Å³)</w:t>
            </w:r>
          </w:p>
        </w:tc>
        <w:tc>
          <w:tcPr>
            <w:tcW w:w="1700" w:type="dxa"/>
            <w:vAlign w:val="center"/>
          </w:tcPr>
          <w:p w14:paraId="49D6D810" w14:textId="77777777" w:rsidR="00AC700D" w:rsidRDefault="00000000">
            <w:pPr>
              <w:jc w:val="center"/>
            </w:pPr>
            <w:r>
              <w:rPr>
                <w:b/>
                <w:sz w:val="16"/>
                <w:szCs w:val="16"/>
              </w:rPr>
              <w:t>Holo V(NNIBP) (Å³)</w:t>
            </w:r>
          </w:p>
        </w:tc>
        <w:tc>
          <w:tcPr>
            <w:tcW w:w="1700" w:type="dxa"/>
            <w:vAlign w:val="center"/>
          </w:tcPr>
          <w:p w14:paraId="522BC8E2" w14:textId="77777777" w:rsidR="00AC700D" w:rsidRDefault="00000000">
            <w:pPr>
              <w:jc w:val="center"/>
            </w:pPr>
            <w:r>
              <w:rPr>
                <w:b/>
                <w:sz w:val="16"/>
                <w:szCs w:val="16"/>
              </w:rPr>
              <w:t>Induced-fit gap (Å³)</w:t>
            </w:r>
          </w:p>
        </w:tc>
        <w:tc>
          <w:tcPr>
            <w:tcW w:w="1500" w:type="dxa"/>
            <w:vAlign w:val="center"/>
          </w:tcPr>
          <w:p w14:paraId="74C67598" w14:textId="77777777" w:rsidR="00AC700D" w:rsidRDefault="00000000">
            <w:pPr>
              <w:jc w:val="center"/>
            </w:pPr>
            <w:r>
              <w:rPr>
                <w:b/>
                <w:sz w:val="16"/>
                <w:szCs w:val="16"/>
              </w:rPr>
              <w:t>ΔApo vs WT (Å³)</w:t>
            </w:r>
          </w:p>
        </w:tc>
      </w:tr>
      <w:tr w:rsidR="00AC700D" w14:paraId="0DE3E1A1" w14:textId="77777777">
        <w:tc>
          <w:tcPr>
            <w:tcW w:w="1700" w:type="dxa"/>
            <w:vAlign w:val="center"/>
          </w:tcPr>
          <w:p w14:paraId="41B75893" w14:textId="77777777" w:rsidR="00AC700D" w:rsidRDefault="00000000">
            <w:pPr>
              <w:jc w:val="center"/>
            </w:pPr>
            <w:r>
              <w:rPr>
                <w:color w:val="FF0000"/>
                <w:sz w:val="16"/>
                <w:szCs w:val="16"/>
              </w:rPr>
              <w:t>G190E*</w:t>
            </w:r>
          </w:p>
        </w:tc>
        <w:tc>
          <w:tcPr>
            <w:tcW w:w="1100" w:type="dxa"/>
            <w:vAlign w:val="center"/>
          </w:tcPr>
          <w:p w14:paraId="31CDCDDA" w14:textId="77777777" w:rsidR="00AC700D" w:rsidRDefault="00000000">
            <w:pPr>
              <w:jc w:val="center"/>
            </w:pPr>
            <w:r>
              <w:rPr>
                <w:color w:val="FF0000"/>
                <w:sz w:val="16"/>
                <w:szCs w:val="16"/>
              </w:rPr>
              <w:t>3</w:t>
            </w:r>
          </w:p>
        </w:tc>
        <w:tc>
          <w:tcPr>
            <w:tcW w:w="1800" w:type="dxa"/>
            <w:vAlign w:val="center"/>
          </w:tcPr>
          <w:p w14:paraId="3F5F04DA" w14:textId="77777777" w:rsidR="00AC700D" w:rsidRDefault="00000000">
            <w:pPr>
              <w:jc w:val="center"/>
            </w:pPr>
            <w:r>
              <w:rPr>
                <w:color w:val="FF0000"/>
                <w:sz w:val="16"/>
                <w:szCs w:val="16"/>
              </w:rPr>
              <w:t>42.0 ± 16.6</w:t>
            </w:r>
          </w:p>
        </w:tc>
        <w:tc>
          <w:tcPr>
            <w:tcW w:w="1700" w:type="dxa"/>
            <w:vAlign w:val="center"/>
          </w:tcPr>
          <w:p w14:paraId="3B4A052C" w14:textId="77777777" w:rsidR="00AC700D" w:rsidRDefault="00000000">
            <w:pPr>
              <w:jc w:val="center"/>
            </w:pPr>
            <w:r>
              <w:rPr>
                <w:color w:val="FF0000"/>
                <w:sz w:val="16"/>
                <w:szCs w:val="16"/>
              </w:rPr>
              <w:t>284.3</w:t>
            </w:r>
          </w:p>
        </w:tc>
        <w:tc>
          <w:tcPr>
            <w:tcW w:w="1700" w:type="dxa"/>
            <w:vAlign w:val="center"/>
          </w:tcPr>
          <w:p w14:paraId="21B54AFE" w14:textId="77777777" w:rsidR="00AC700D" w:rsidRDefault="00000000">
            <w:pPr>
              <w:jc w:val="center"/>
            </w:pPr>
            <w:r>
              <w:rPr>
                <w:color w:val="FF0000"/>
                <w:sz w:val="16"/>
                <w:szCs w:val="16"/>
              </w:rPr>
              <w:t>242</w:t>
            </w:r>
          </w:p>
        </w:tc>
        <w:tc>
          <w:tcPr>
            <w:tcW w:w="1500" w:type="dxa"/>
            <w:vAlign w:val="center"/>
          </w:tcPr>
          <w:p w14:paraId="430ABC3A" w14:textId="77777777" w:rsidR="00AC700D" w:rsidRDefault="00000000">
            <w:pPr>
              <w:jc w:val="center"/>
            </w:pPr>
            <w:r>
              <w:rPr>
                <w:color w:val="FF0000"/>
                <w:sz w:val="16"/>
                <w:szCs w:val="16"/>
              </w:rPr>
              <w:t>-49.0</w:t>
            </w:r>
          </w:p>
        </w:tc>
      </w:tr>
      <w:tr w:rsidR="00AC700D" w14:paraId="0539C5C3" w14:textId="77777777">
        <w:tc>
          <w:tcPr>
            <w:tcW w:w="1700" w:type="dxa"/>
            <w:vAlign w:val="center"/>
          </w:tcPr>
          <w:p w14:paraId="7A5387D2" w14:textId="77777777" w:rsidR="00AC700D" w:rsidRDefault="00000000">
            <w:pPr>
              <w:jc w:val="center"/>
            </w:pPr>
            <w:r>
              <w:rPr>
                <w:color w:val="FF0000"/>
                <w:sz w:val="16"/>
                <w:szCs w:val="16"/>
              </w:rPr>
              <w:t>V106I+F227C</w:t>
            </w:r>
          </w:p>
        </w:tc>
        <w:tc>
          <w:tcPr>
            <w:tcW w:w="1100" w:type="dxa"/>
            <w:vAlign w:val="center"/>
          </w:tcPr>
          <w:p w14:paraId="718E752D" w14:textId="77777777" w:rsidR="00AC700D" w:rsidRDefault="00000000">
            <w:pPr>
              <w:jc w:val="center"/>
            </w:pPr>
            <w:r>
              <w:rPr>
                <w:color w:val="FF0000"/>
                <w:sz w:val="16"/>
                <w:szCs w:val="16"/>
              </w:rPr>
              <w:t>3</w:t>
            </w:r>
          </w:p>
        </w:tc>
        <w:tc>
          <w:tcPr>
            <w:tcW w:w="1800" w:type="dxa"/>
            <w:vAlign w:val="center"/>
          </w:tcPr>
          <w:p w14:paraId="01324327" w14:textId="77777777" w:rsidR="00AC700D" w:rsidRDefault="00000000">
            <w:pPr>
              <w:jc w:val="center"/>
            </w:pPr>
            <w:r>
              <w:rPr>
                <w:color w:val="FF0000"/>
                <w:sz w:val="16"/>
                <w:szCs w:val="16"/>
              </w:rPr>
              <w:t>54.4 ± 27.6</w:t>
            </w:r>
          </w:p>
        </w:tc>
        <w:tc>
          <w:tcPr>
            <w:tcW w:w="1700" w:type="dxa"/>
            <w:vAlign w:val="center"/>
          </w:tcPr>
          <w:p w14:paraId="0046CFC4" w14:textId="77777777" w:rsidR="00AC700D" w:rsidRDefault="00000000">
            <w:pPr>
              <w:jc w:val="center"/>
            </w:pPr>
            <w:r>
              <w:rPr>
                <w:color w:val="FF0000"/>
                <w:sz w:val="16"/>
                <w:szCs w:val="16"/>
              </w:rPr>
              <w:t>232.8</w:t>
            </w:r>
          </w:p>
        </w:tc>
        <w:tc>
          <w:tcPr>
            <w:tcW w:w="1700" w:type="dxa"/>
            <w:vAlign w:val="center"/>
          </w:tcPr>
          <w:p w14:paraId="379D4635" w14:textId="77777777" w:rsidR="00AC700D" w:rsidRDefault="00000000">
            <w:pPr>
              <w:jc w:val="center"/>
            </w:pPr>
            <w:r>
              <w:rPr>
                <w:color w:val="FF0000"/>
                <w:sz w:val="16"/>
                <w:szCs w:val="16"/>
              </w:rPr>
              <w:t>178</w:t>
            </w:r>
          </w:p>
        </w:tc>
        <w:tc>
          <w:tcPr>
            <w:tcW w:w="1500" w:type="dxa"/>
            <w:vAlign w:val="center"/>
          </w:tcPr>
          <w:p w14:paraId="279B207B" w14:textId="77777777" w:rsidR="00AC700D" w:rsidRDefault="00000000">
            <w:pPr>
              <w:jc w:val="center"/>
            </w:pPr>
            <w:r>
              <w:rPr>
                <w:color w:val="FF0000"/>
                <w:sz w:val="16"/>
                <w:szCs w:val="16"/>
              </w:rPr>
              <w:t>-36.6</w:t>
            </w:r>
          </w:p>
        </w:tc>
      </w:tr>
      <w:tr w:rsidR="00AC700D" w14:paraId="53082E14" w14:textId="77777777">
        <w:tc>
          <w:tcPr>
            <w:tcW w:w="1700" w:type="dxa"/>
            <w:vAlign w:val="center"/>
          </w:tcPr>
          <w:p w14:paraId="14646A5D" w14:textId="77777777" w:rsidR="00AC700D" w:rsidRDefault="00000000">
            <w:pPr>
              <w:jc w:val="center"/>
            </w:pPr>
            <w:r>
              <w:rPr>
                <w:color w:val="FF0000"/>
                <w:sz w:val="16"/>
                <w:szCs w:val="16"/>
              </w:rPr>
              <w:t>A98G+F227C</w:t>
            </w:r>
          </w:p>
        </w:tc>
        <w:tc>
          <w:tcPr>
            <w:tcW w:w="1100" w:type="dxa"/>
            <w:vAlign w:val="center"/>
          </w:tcPr>
          <w:p w14:paraId="6B511ED1" w14:textId="77777777" w:rsidR="00AC700D" w:rsidRDefault="00000000">
            <w:pPr>
              <w:jc w:val="center"/>
            </w:pPr>
            <w:r>
              <w:rPr>
                <w:color w:val="FF0000"/>
                <w:sz w:val="16"/>
                <w:szCs w:val="16"/>
              </w:rPr>
              <w:t>3</w:t>
            </w:r>
          </w:p>
        </w:tc>
        <w:tc>
          <w:tcPr>
            <w:tcW w:w="1800" w:type="dxa"/>
            <w:vAlign w:val="center"/>
          </w:tcPr>
          <w:p w14:paraId="22181823" w14:textId="77777777" w:rsidR="00AC700D" w:rsidRDefault="00000000">
            <w:pPr>
              <w:jc w:val="center"/>
            </w:pPr>
            <w:r>
              <w:rPr>
                <w:color w:val="FF0000"/>
                <w:sz w:val="16"/>
                <w:szCs w:val="16"/>
              </w:rPr>
              <w:t>62.6 ± 21.0</w:t>
            </w:r>
          </w:p>
        </w:tc>
        <w:tc>
          <w:tcPr>
            <w:tcW w:w="1700" w:type="dxa"/>
            <w:vAlign w:val="center"/>
          </w:tcPr>
          <w:p w14:paraId="1162B2E3" w14:textId="77777777" w:rsidR="00AC700D" w:rsidRDefault="00000000">
            <w:pPr>
              <w:jc w:val="center"/>
            </w:pPr>
            <w:r>
              <w:rPr>
                <w:color w:val="FF0000"/>
                <w:sz w:val="16"/>
                <w:szCs w:val="16"/>
              </w:rPr>
              <w:t>238.1</w:t>
            </w:r>
          </w:p>
        </w:tc>
        <w:tc>
          <w:tcPr>
            <w:tcW w:w="1700" w:type="dxa"/>
            <w:vAlign w:val="center"/>
          </w:tcPr>
          <w:p w14:paraId="12755C79" w14:textId="77777777" w:rsidR="00AC700D" w:rsidRDefault="00000000">
            <w:pPr>
              <w:jc w:val="center"/>
            </w:pPr>
            <w:r>
              <w:rPr>
                <w:color w:val="FF0000"/>
                <w:sz w:val="16"/>
                <w:szCs w:val="16"/>
              </w:rPr>
              <w:t>176</w:t>
            </w:r>
          </w:p>
        </w:tc>
        <w:tc>
          <w:tcPr>
            <w:tcW w:w="1500" w:type="dxa"/>
            <w:vAlign w:val="center"/>
          </w:tcPr>
          <w:p w14:paraId="3B6955AA" w14:textId="77777777" w:rsidR="00AC700D" w:rsidRDefault="00000000">
            <w:pPr>
              <w:jc w:val="center"/>
            </w:pPr>
            <w:r>
              <w:rPr>
                <w:color w:val="FF0000"/>
                <w:sz w:val="16"/>
                <w:szCs w:val="16"/>
              </w:rPr>
              <w:t>-28.4</w:t>
            </w:r>
          </w:p>
        </w:tc>
      </w:tr>
      <w:tr w:rsidR="00AC700D" w14:paraId="7D03F0A5" w14:textId="77777777">
        <w:tc>
          <w:tcPr>
            <w:tcW w:w="1700" w:type="dxa"/>
            <w:vAlign w:val="center"/>
          </w:tcPr>
          <w:p w14:paraId="7BDC8E80" w14:textId="77777777" w:rsidR="00AC700D" w:rsidRDefault="00000000">
            <w:pPr>
              <w:jc w:val="center"/>
            </w:pPr>
            <w:r>
              <w:rPr>
                <w:color w:val="FF0000"/>
                <w:sz w:val="16"/>
                <w:szCs w:val="16"/>
              </w:rPr>
              <w:t>F227C</w:t>
            </w:r>
          </w:p>
        </w:tc>
        <w:tc>
          <w:tcPr>
            <w:tcW w:w="1100" w:type="dxa"/>
            <w:vAlign w:val="center"/>
          </w:tcPr>
          <w:p w14:paraId="5753D184" w14:textId="77777777" w:rsidR="00AC700D" w:rsidRDefault="00000000">
            <w:pPr>
              <w:jc w:val="center"/>
            </w:pPr>
            <w:r>
              <w:rPr>
                <w:color w:val="FF0000"/>
                <w:sz w:val="16"/>
                <w:szCs w:val="16"/>
              </w:rPr>
              <w:t>3</w:t>
            </w:r>
          </w:p>
        </w:tc>
        <w:tc>
          <w:tcPr>
            <w:tcW w:w="1800" w:type="dxa"/>
            <w:vAlign w:val="center"/>
          </w:tcPr>
          <w:p w14:paraId="459988F3" w14:textId="77777777" w:rsidR="00AC700D" w:rsidRDefault="00000000">
            <w:pPr>
              <w:jc w:val="center"/>
            </w:pPr>
            <w:r>
              <w:rPr>
                <w:color w:val="FF0000"/>
                <w:sz w:val="16"/>
                <w:szCs w:val="16"/>
              </w:rPr>
              <w:t>74.8 ± 25.7</w:t>
            </w:r>
          </w:p>
        </w:tc>
        <w:tc>
          <w:tcPr>
            <w:tcW w:w="1700" w:type="dxa"/>
            <w:vAlign w:val="center"/>
          </w:tcPr>
          <w:p w14:paraId="2E279D82" w14:textId="77777777" w:rsidR="00AC700D" w:rsidRDefault="00000000">
            <w:pPr>
              <w:jc w:val="center"/>
            </w:pPr>
            <w:r>
              <w:rPr>
                <w:color w:val="FF0000"/>
                <w:sz w:val="16"/>
                <w:szCs w:val="16"/>
              </w:rPr>
              <w:t>n/a</w:t>
            </w:r>
          </w:p>
        </w:tc>
        <w:tc>
          <w:tcPr>
            <w:tcW w:w="1700" w:type="dxa"/>
            <w:vAlign w:val="center"/>
          </w:tcPr>
          <w:p w14:paraId="40D245CA" w14:textId="77777777" w:rsidR="00AC700D" w:rsidRDefault="00000000">
            <w:pPr>
              <w:jc w:val="center"/>
            </w:pPr>
            <w:r>
              <w:rPr>
                <w:color w:val="FF0000"/>
                <w:sz w:val="16"/>
                <w:szCs w:val="16"/>
              </w:rPr>
              <w:t>n/a</w:t>
            </w:r>
          </w:p>
        </w:tc>
        <w:tc>
          <w:tcPr>
            <w:tcW w:w="1500" w:type="dxa"/>
            <w:vAlign w:val="center"/>
          </w:tcPr>
          <w:p w14:paraId="5DCC2DBF" w14:textId="77777777" w:rsidR="00AC700D" w:rsidRDefault="00000000">
            <w:pPr>
              <w:jc w:val="center"/>
            </w:pPr>
            <w:r>
              <w:rPr>
                <w:color w:val="FF0000"/>
                <w:sz w:val="16"/>
                <w:szCs w:val="16"/>
              </w:rPr>
              <w:t>-16.2</w:t>
            </w:r>
          </w:p>
        </w:tc>
      </w:tr>
      <w:tr w:rsidR="00AC700D" w14:paraId="2942FAD6" w14:textId="77777777">
        <w:tc>
          <w:tcPr>
            <w:tcW w:w="1700" w:type="dxa"/>
            <w:vAlign w:val="center"/>
          </w:tcPr>
          <w:p w14:paraId="1B33D83D" w14:textId="77777777" w:rsidR="00AC700D" w:rsidRDefault="00000000">
            <w:pPr>
              <w:jc w:val="center"/>
            </w:pPr>
            <w:r>
              <w:rPr>
                <w:color w:val="FF0000"/>
                <w:sz w:val="16"/>
                <w:szCs w:val="16"/>
              </w:rPr>
              <w:t>WT</w:t>
            </w:r>
          </w:p>
        </w:tc>
        <w:tc>
          <w:tcPr>
            <w:tcW w:w="1100" w:type="dxa"/>
            <w:vAlign w:val="center"/>
          </w:tcPr>
          <w:p w14:paraId="2EFB5E06" w14:textId="77777777" w:rsidR="00AC700D" w:rsidRDefault="00000000">
            <w:pPr>
              <w:jc w:val="center"/>
            </w:pPr>
            <w:r>
              <w:rPr>
                <w:color w:val="FF0000"/>
                <w:sz w:val="16"/>
                <w:szCs w:val="16"/>
              </w:rPr>
              <w:t>3</w:t>
            </w:r>
          </w:p>
        </w:tc>
        <w:tc>
          <w:tcPr>
            <w:tcW w:w="1800" w:type="dxa"/>
            <w:vAlign w:val="center"/>
          </w:tcPr>
          <w:p w14:paraId="7C52D90E" w14:textId="77777777" w:rsidR="00AC700D" w:rsidRDefault="00000000">
            <w:pPr>
              <w:jc w:val="center"/>
            </w:pPr>
            <w:r>
              <w:rPr>
                <w:color w:val="FF0000"/>
                <w:sz w:val="16"/>
                <w:szCs w:val="16"/>
              </w:rPr>
              <w:t>91.0 ± 23.7</w:t>
            </w:r>
          </w:p>
        </w:tc>
        <w:tc>
          <w:tcPr>
            <w:tcW w:w="1700" w:type="dxa"/>
            <w:vAlign w:val="center"/>
          </w:tcPr>
          <w:p w14:paraId="115DD5DD" w14:textId="77777777" w:rsidR="00AC700D" w:rsidRDefault="00000000">
            <w:pPr>
              <w:jc w:val="center"/>
            </w:pPr>
            <w:r>
              <w:rPr>
                <w:color w:val="FF0000"/>
                <w:sz w:val="16"/>
                <w:szCs w:val="16"/>
              </w:rPr>
              <w:t>228.4</w:t>
            </w:r>
          </w:p>
        </w:tc>
        <w:tc>
          <w:tcPr>
            <w:tcW w:w="1700" w:type="dxa"/>
            <w:vAlign w:val="center"/>
          </w:tcPr>
          <w:p w14:paraId="57E248CA" w14:textId="77777777" w:rsidR="00AC700D" w:rsidRDefault="00000000">
            <w:pPr>
              <w:jc w:val="center"/>
            </w:pPr>
            <w:r>
              <w:rPr>
                <w:color w:val="FF0000"/>
                <w:sz w:val="16"/>
                <w:szCs w:val="16"/>
              </w:rPr>
              <w:t>137</w:t>
            </w:r>
          </w:p>
        </w:tc>
        <w:tc>
          <w:tcPr>
            <w:tcW w:w="1500" w:type="dxa"/>
            <w:vAlign w:val="center"/>
          </w:tcPr>
          <w:p w14:paraId="1F0F4E7E" w14:textId="77777777" w:rsidR="00AC700D" w:rsidRDefault="00000000">
            <w:pPr>
              <w:jc w:val="center"/>
            </w:pPr>
            <w:r>
              <w:rPr>
                <w:color w:val="FF0000"/>
                <w:sz w:val="16"/>
                <w:szCs w:val="16"/>
              </w:rPr>
              <w:t>+0.0</w:t>
            </w:r>
          </w:p>
        </w:tc>
      </w:tr>
      <w:tr w:rsidR="00AC700D" w14:paraId="5BDC1BD4" w14:textId="77777777">
        <w:tc>
          <w:tcPr>
            <w:tcW w:w="1700" w:type="dxa"/>
            <w:vAlign w:val="center"/>
          </w:tcPr>
          <w:p w14:paraId="099DAD07" w14:textId="77777777" w:rsidR="00AC700D" w:rsidRDefault="00000000">
            <w:pPr>
              <w:jc w:val="center"/>
            </w:pPr>
            <w:r>
              <w:rPr>
                <w:color w:val="FF0000"/>
                <w:sz w:val="16"/>
                <w:szCs w:val="16"/>
              </w:rPr>
              <w:t>K103N+M230L</w:t>
            </w:r>
          </w:p>
        </w:tc>
        <w:tc>
          <w:tcPr>
            <w:tcW w:w="1100" w:type="dxa"/>
            <w:vAlign w:val="center"/>
          </w:tcPr>
          <w:p w14:paraId="01038B63" w14:textId="77777777" w:rsidR="00AC700D" w:rsidRDefault="00000000">
            <w:pPr>
              <w:jc w:val="center"/>
            </w:pPr>
            <w:r>
              <w:rPr>
                <w:color w:val="FF0000"/>
                <w:sz w:val="16"/>
                <w:szCs w:val="16"/>
              </w:rPr>
              <w:t>3</w:t>
            </w:r>
          </w:p>
        </w:tc>
        <w:tc>
          <w:tcPr>
            <w:tcW w:w="1800" w:type="dxa"/>
            <w:vAlign w:val="center"/>
          </w:tcPr>
          <w:p w14:paraId="0006FE08" w14:textId="77777777" w:rsidR="00AC700D" w:rsidRDefault="00000000">
            <w:pPr>
              <w:jc w:val="center"/>
            </w:pPr>
            <w:r>
              <w:rPr>
                <w:color w:val="FF0000"/>
                <w:sz w:val="16"/>
                <w:szCs w:val="16"/>
              </w:rPr>
              <w:t>93.0 ± 23.8</w:t>
            </w:r>
          </w:p>
        </w:tc>
        <w:tc>
          <w:tcPr>
            <w:tcW w:w="1700" w:type="dxa"/>
            <w:vAlign w:val="center"/>
          </w:tcPr>
          <w:p w14:paraId="274C1AB4" w14:textId="77777777" w:rsidR="00AC700D" w:rsidRDefault="00000000">
            <w:pPr>
              <w:jc w:val="center"/>
            </w:pPr>
            <w:r>
              <w:rPr>
                <w:color w:val="FF0000"/>
                <w:sz w:val="16"/>
                <w:szCs w:val="16"/>
              </w:rPr>
              <w:t>250.5</w:t>
            </w:r>
          </w:p>
        </w:tc>
        <w:tc>
          <w:tcPr>
            <w:tcW w:w="1700" w:type="dxa"/>
            <w:vAlign w:val="center"/>
          </w:tcPr>
          <w:p w14:paraId="2DA9274C" w14:textId="77777777" w:rsidR="00AC700D" w:rsidRDefault="00000000">
            <w:pPr>
              <w:jc w:val="center"/>
            </w:pPr>
            <w:r>
              <w:rPr>
                <w:color w:val="FF0000"/>
                <w:sz w:val="16"/>
                <w:szCs w:val="16"/>
              </w:rPr>
              <w:t>158</w:t>
            </w:r>
          </w:p>
        </w:tc>
        <w:tc>
          <w:tcPr>
            <w:tcW w:w="1500" w:type="dxa"/>
            <w:vAlign w:val="center"/>
          </w:tcPr>
          <w:p w14:paraId="4D5548F1" w14:textId="77777777" w:rsidR="00AC700D" w:rsidRDefault="00000000">
            <w:pPr>
              <w:jc w:val="center"/>
            </w:pPr>
            <w:r>
              <w:rPr>
                <w:color w:val="FF0000"/>
                <w:sz w:val="16"/>
                <w:szCs w:val="16"/>
              </w:rPr>
              <w:t>+2.0</w:t>
            </w:r>
          </w:p>
        </w:tc>
      </w:tr>
      <w:tr w:rsidR="00AC700D" w14:paraId="16D066D7" w14:textId="77777777">
        <w:tc>
          <w:tcPr>
            <w:tcW w:w="1700" w:type="dxa"/>
            <w:vAlign w:val="center"/>
          </w:tcPr>
          <w:p w14:paraId="2624872F" w14:textId="77777777" w:rsidR="00AC700D" w:rsidRDefault="00000000">
            <w:pPr>
              <w:jc w:val="center"/>
            </w:pPr>
            <w:r>
              <w:rPr>
                <w:color w:val="FF0000"/>
                <w:sz w:val="16"/>
                <w:szCs w:val="16"/>
              </w:rPr>
              <w:t>V106A</w:t>
            </w:r>
          </w:p>
        </w:tc>
        <w:tc>
          <w:tcPr>
            <w:tcW w:w="1100" w:type="dxa"/>
            <w:vAlign w:val="center"/>
          </w:tcPr>
          <w:p w14:paraId="6262D084" w14:textId="77777777" w:rsidR="00AC700D" w:rsidRDefault="00000000">
            <w:pPr>
              <w:jc w:val="center"/>
            </w:pPr>
            <w:r>
              <w:rPr>
                <w:color w:val="FF0000"/>
                <w:sz w:val="16"/>
                <w:szCs w:val="16"/>
              </w:rPr>
              <w:t>3</w:t>
            </w:r>
          </w:p>
        </w:tc>
        <w:tc>
          <w:tcPr>
            <w:tcW w:w="1800" w:type="dxa"/>
            <w:vAlign w:val="center"/>
          </w:tcPr>
          <w:p w14:paraId="03E64BDF" w14:textId="77777777" w:rsidR="00AC700D" w:rsidRDefault="00000000">
            <w:pPr>
              <w:jc w:val="center"/>
            </w:pPr>
            <w:r>
              <w:rPr>
                <w:color w:val="FF0000"/>
                <w:sz w:val="16"/>
                <w:szCs w:val="16"/>
              </w:rPr>
              <w:t>103.5 ± 42.0</w:t>
            </w:r>
          </w:p>
        </w:tc>
        <w:tc>
          <w:tcPr>
            <w:tcW w:w="1700" w:type="dxa"/>
            <w:vAlign w:val="center"/>
          </w:tcPr>
          <w:p w14:paraId="34F95D6A" w14:textId="77777777" w:rsidR="00AC700D" w:rsidRDefault="00000000">
            <w:pPr>
              <w:jc w:val="center"/>
            </w:pPr>
            <w:r>
              <w:rPr>
                <w:color w:val="FF0000"/>
                <w:sz w:val="16"/>
                <w:szCs w:val="16"/>
              </w:rPr>
              <w:t>250.5</w:t>
            </w:r>
          </w:p>
        </w:tc>
        <w:tc>
          <w:tcPr>
            <w:tcW w:w="1700" w:type="dxa"/>
            <w:vAlign w:val="center"/>
          </w:tcPr>
          <w:p w14:paraId="5D817636" w14:textId="77777777" w:rsidR="00AC700D" w:rsidRDefault="00000000">
            <w:pPr>
              <w:jc w:val="center"/>
            </w:pPr>
            <w:r>
              <w:rPr>
                <w:color w:val="FF0000"/>
                <w:sz w:val="16"/>
                <w:szCs w:val="16"/>
              </w:rPr>
              <w:t>147</w:t>
            </w:r>
          </w:p>
        </w:tc>
        <w:tc>
          <w:tcPr>
            <w:tcW w:w="1500" w:type="dxa"/>
            <w:vAlign w:val="center"/>
          </w:tcPr>
          <w:p w14:paraId="4AA0D321" w14:textId="77777777" w:rsidR="00AC700D" w:rsidRDefault="00000000">
            <w:pPr>
              <w:jc w:val="center"/>
            </w:pPr>
            <w:r>
              <w:rPr>
                <w:color w:val="FF0000"/>
                <w:sz w:val="16"/>
                <w:szCs w:val="16"/>
              </w:rPr>
              <w:t>+12.5</w:t>
            </w:r>
          </w:p>
        </w:tc>
      </w:tr>
      <w:tr w:rsidR="00AC700D" w14:paraId="00ACF11B" w14:textId="77777777">
        <w:tc>
          <w:tcPr>
            <w:tcW w:w="1700" w:type="dxa"/>
            <w:vAlign w:val="center"/>
          </w:tcPr>
          <w:p w14:paraId="54061561" w14:textId="77777777" w:rsidR="00AC700D" w:rsidRDefault="00000000">
            <w:pPr>
              <w:jc w:val="center"/>
            </w:pPr>
            <w:r>
              <w:rPr>
                <w:color w:val="FF0000"/>
                <w:sz w:val="16"/>
                <w:szCs w:val="16"/>
              </w:rPr>
              <w:t>V106A+P225H</w:t>
            </w:r>
          </w:p>
        </w:tc>
        <w:tc>
          <w:tcPr>
            <w:tcW w:w="1100" w:type="dxa"/>
            <w:vAlign w:val="center"/>
          </w:tcPr>
          <w:p w14:paraId="086F0AD3" w14:textId="77777777" w:rsidR="00AC700D" w:rsidRDefault="00000000">
            <w:pPr>
              <w:jc w:val="center"/>
            </w:pPr>
            <w:r>
              <w:rPr>
                <w:color w:val="FF0000"/>
                <w:sz w:val="16"/>
                <w:szCs w:val="16"/>
              </w:rPr>
              <w:t>3</w:t>
            </w:r>
          </w:p>
        </w:tc>
        <w:tc>
          <w:tcPr>
            <w:tcW w:w="1800" w:type="dxa"/>
            <w:vAlign w:val="center"/>
          </w:tcPr>
          <w:p w14:paraId="26FEF94D" w14:textId="77777777" w:rsidR="00AC700D" w:rsidRDefault="00000000">
            <w:pPr>
              <w:jc w:val="center"/>
            </w:pPr>
            <w:r>
              <w:rPr>
                <w:color w:val="FF0000"/>
                <w:sz w:val="16"/>
                <w:szCs w:val="16"/>
              </w:rPr>
              <w:t>106.7 ± 26.0</w:t>
            </w:r>
          </w:p>
        </w:tc>
        <w:tc>
          <w:tcPr>
            <w:tcW w:w="1700" w:type="dxa"/>
            <w:vAlign w:val="center"/>
          </w:tcPr>
          <w:p w14:paraId="1EAEBEBD" w14:textId="77777777" w:rsidR="00AC700D" w:rsidRDefault="00000000">
            <w:pPr>
              <w:jc w:val="center"/>
            </w:pPr>
            <w:r>
              <w:rPr>
                <w:color w:val="FF0000"/>
                <w:sz w:val="16"/>
                <w:szCs w:val="16"/>
              </w:rPr>
              <w:t>223.3</w:t>
            </w:r>
          </w:p>
        </w:tc>
        <w:tc>
          <w:tcPr>
            <w:tcW w:w="1700" w:type="dxa"/>
            <w:vAlign w:val="center"/>
          </w:tcPr>
          <w:p w14:paraId="30D8223E" w14:textId="77777777" w:rsidR="00AC700D" w:rsidRDefault="00000000">
            <w:pPr>
              <w:jc w:val="center"/>
            </w:pPr>
            <w:r>
              <w:rPr>
                <w:color w:val="FF0000"/>
                <w:sz w:val="16"/>
                <w:szCs w:val="16"/>
              </w:rPr>
              <w:t>117</w:t>
            </w:r>
          </w:p>
        </w:tc>
        <w:tc>
          <w:tcPr>
            <w:tcW w:w="1500" w:type="dxa"/>
            <w:vAlign w:val="center"/>
          </w:tcPr>
          <w:p w14:paraId="6EA6663C" w14:textId="77777777" w:rsidR="00AC700D" w:rsidRDefault="00000000">
            <w:pPr>
              <w:jc w:val="center"/>
            </w:pPr>
            <w:r>
              <w:rPr>
                <w:color w:val="FF0000"/>
                <w:sz w:val="16"/>
                <w:szCs w:val="16"/>
              </w:rPr>
              <w:t>+15.7</w:t>
            </w:r>
          </w:p>
        </w:tc>
      </w:tr>
    </w:tbl>
    <w:p w14:paraId="05AA3C1B" w14:textId="77777777" w:rsidR="00AC700D" w:rsidRDefault="00AC700D"/>
    <w:sectPr w:rsidR="00AC7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13281"/>
    <w:multiLevelType w:val="hybridMultilevel"/>
    <w:tmpl w:val="7C347ABE"/>
    <w:lvl w:ilvl="0" w:tplc="395E4F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6E469A"/>
    <w:multiLevelType w:val="hybridMultilevel"/>
    <w:tmpl w:val="0F1887E0"/>
    <w:lvl w:ilvl="0" w:tplc="D8EC578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39557916">
    <w:abstractNumId w:val="1"/>
  </w:num>
  <w:num w:numId="2" w16cid:durableId="13524951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07"/>
    <w:rsid w:val="000265A6"/>
    <w:rsid w:val="00106118"/>
    <w:rsid w:val="00154207"/>
    <w:rsid w:val="00157C46"/>
    <w:rsid w:val="00166E86"/>
    <w:rsid w:val="00201571"/>
    <w:rsid w:val="002812FE"/>
    <w:rsid w:val="002C069F"/>
    <w:rsid w:val="003271CC"/>
    <w:rsid w:val="00344758"/>
    <w:rsid w:val="00357877"/>
    <w:rsid w:val="003E3F5B"/>
    <w:rsid w:val="00447195"/>
    <w:rsid w:val="004B4122"/>
    <w:rsid w:val="004F1873"/>
    <w:rsid w:val="004F5449"/>
    <w:rsid w:val="00544331"/>
    <w:rsid w:val="00556141"/>
    <w:rsid w:val="005A1526"/>
    <w:rsid w:val="005A57D3"/>
    <w:rsid w:val="00624DE4"/>
    <w:rsid w:val="006C78C4"/>
    <w:rsid w:val="00732041"/>
    <w:rsid w:val="008C3960"/>
    <w:rsid w:val="00A00505"/>
    <w:rsid w:val="00A862E5"/>
    <w:rsid w:val="00AC700D"/>
    <w:rsid w:val="00C02DD7"/>
    <w:rsid w:val="00C13FA8"/>
    <w:rsid w:val="00DE7C44"/>
    <w:rsid w:val="00E20E6F"/>
    <w:rsid w:val="00E2101F"/>
    <w:rsid w:val="00E366D3"/>
    <w:rsid w:val="00E939C6"/>
    <w:rsid w:val="00FC06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5A50D"/>
  <w15:chartTrackingRefBased/>
  <w15:docId w15:val="{D771366F-133A-5341-8653-8CC7DD78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2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542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5420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54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2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2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2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2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20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5420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5420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54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207"/>
    <w:rPr>
      <w:rFonts w:eastAsiaTheme="majorEastAsia" w:cstheme="majorBidi"/>
      <w:color w:val="272727" w:themeColor="text1" w:themeTint="D8"/>
    </w:rPr>
  </w:style>
  <w:style w:type="paragraph" w:styleId="Title">
    <w:name w:val="Title"/>
    <w:basedOn w:val="Normal"/>
    <w:next w:val="Normal"/>
    <w:link w:val="TitleChar"/>
    <w:uiPriority w:val="10"/>
    <w:qFormat/>
    <w:rsid w:val="00154207"/>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542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54207"/>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542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542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4207"/>
    <w:rPr>
      <w:i/>
      <w:iCs/>
      <w:color w:val="404040" w:themeColor="text1" w:themeTint="BF"/>
    </w:rPr>
  </w:style>
  <w:style w:type="paragraph" w:styleId="ListParagraph">
    <w:name w:val="List Paragraph"/>
    <w:basedOn w:val="Normal"/>
    <w:uiPriority w:val="34"/>
    <w:qFormat/>
    <w:rsid w:val="00154207"/>
    <w:pPr>
      <w:ind w:left="720"/>
      <w:contextualSpacing/>
    </w:pPr>
  </w:style>
  <w:style w:type="character" w:styleId="IntenseEmphasis">
    <w:name w:val="Intense Emphasis"/>
    <w:basedOn w:val="DefaultParagraphFont"/>
    <w:uiPriority w:val="21"/>
    <w:qFormat/>
    <w:rsid w:val="00154207"/>
    <w:rPr>
      <w:i/>
      <w:iCs/>
      <w:color w:val="0F4761" w:themeColor="accent1" w:themeShade="BF"/>
    </w:rPr>
  </w:style>
  <w:style w:type="paragraph" w:styleId="IntenseQuote">
    <w:name w:val="Intense Quote"/>
    <w:basedOn w:val="Normal"/>
    <w:next w:val="Normal"/>
    <w:link w:val="IntenseQuoteChar"/>
    <w:uiPriority w:val="30"/>
    <w:qFormat/>
    <w:rsid w:val="00154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207"/>
    <w:rPr>
      <w:i/>
      <w:iCs/>
      <w:color w:val="0F4761" w:themeColor="accent1" w:themeShade="BF"/>
    </w:rPr>
  </w:style>
  <w:style w:type="character" w:styleId="IntenseReference">
    <w:name w:val="Intense Reference"/>
    <w:basedOn w:val="DefaultParagraphFont"/>
    <w:uiPriority w:val="32"/>
    <w:qFormat/>
    <w:rsid w:val="00154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6</Pages>
  <Words>1722</Words>
  <Characters>9818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20</cp:revision>
  <dcterms:created xsi:type="dcterms:W3CDTF">2026-05-20T18:21:00Z</dcterms:created>
  <dcterms:modified xsi:type="dcterms:W3CDTF">2026-10-22T01:35:00Z</dcterms:modified>
</cp:coreProperties>
</file>