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EB0E56" w14:textId="77777777" w:rsidR="003D726F" w:rsidRPr="00E536AD" w:rsidRDefault="003D726F">
      <w:pPr>
        <w:pStyle w:val="BATitle"/>
        <w:rPr>
          <w:b/>
          <w:bCs/>
          <w:sz w:val="36"/>
          <w:szCs w:val="28"/>
        </w:rPr>
      </w:pPr>
      <w:r>
        <w:rPr>
          <w:b/>
          <w:bCs/>
        </w:rPr>
        <w:t>Molecular Simulation of Doravirine Resistance in HIV-1 Reverse Transcriptase</w:t>
      </w:r>
    </w:p>
    <w:p w14:paraId="1091E84A" w14:textId="77777777" w:rsidR="003D726F" w:rsidRPr="00E536AD" w:rsidRDefault="003D726F">
      <w:pPr>
        <w:rPr>
          <w:rFonts w:ascii="Times New Roman" w:hAnsi="Times New Roman"/>
          <w:b/>
          <w:bCs/>
          <w:sz w:val="28"/>
          <w:szCs w:val="22"/>
        </w:rPr>
      </w:pPr>
    </w:p>
    <w:p w14:paraId="488919B4"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4EABD86B"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319A6C65"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0C3D2B46" w14:textId="77777777" w:rsidR="003D726F" w:rsidRPr="00E536AD" w:rsidRDefault="003D726F">
      <w:pPr>
        <w:rPr>
          <w:rFonts w:ascii="Times New Roman" w:hAnsi="Times New Roman"/>
          <w:b/>
          <w:bCs/>
          <w:sz w:val="28"/>
          <w:szCs w:val="22"/>
        </w:rPr>
      </w:pPr>
    </w:p>
    <w:p w14:paraId="21B1C1F9"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3B6B2102"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17DE225F" w14:textId="6340CCBC"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w:t>
      </w:r>
      <w:proofErr w:type="spellStart"/>
      <w:r>
        <w:t>ΔΔG</w:t>
      </w:r>
      <w:r>
        <w:rPr>
          <w:vertAlign w:val="subscript"/>
        </w:rPr>
        <w:t>bind</w:t>
      </w:r>
      <w:proofErr w:type="spellEnd"/>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3FD9456B"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t xml:space="preserve">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w:t>
      </w:r>
      <w:proofErr w:type="spellStart"/>
      <w:r>
        <w:t>ΔΔG</w:t>
      </w:r>
      <w:r>
        <w:rPr>
          <w:vertAlign w:val="subscript"/>
        </w:rPr>
        <w:t>bind</w:t>
      </w:r>
      <w:proofErr w:type="spellEnd"/>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w:t>
      </w:r>
      <w:proofErr w:type="spellStart"/>
      <w:r>
        <w:t>ΔΔG</w:t>
      </w:r>
      <w:r>
        <w:rPr>
          <w:vertAlign w:val="subscript"/>
        </w:rPr>
        <w:t>bind</w:t>
      </w:r>
      <w:proofErr w:type="spellEnd"/>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0D48E879"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410B3230" w14:textId="77777777" w:rsidR="006F1E06" w:rsidRPr="00E536AD" w:rsidRDefault="006F1E06" w:rsidP="004770A2">
      <w:pPr>
        <w:rPr>
          <w:rFonts w:ascii="Times New Roman" w:hAnsi="Times New Roman"/>
        </w:rPr>
      </w:pPr>
    </w:p>
    <w:p w14:paraId="6591392C" w14:textId="77777777" w:rsidR="006F1E06" w:rsidRDefault="006F1E06" w:rsidP="004770A2">
      <w:pPr>
        <w:rPr>
          <w:rFonts w:ascii="Times New Roman" w:hAnsi="Times New Roman"/>
        </w:rPr>
      </w:pPr>
    </w:p>
    <w:p w14:paraId="52734EEF" w14:textId="77777777" w:rsidR="00831C83" w:rsidRPr="008E233C" w:rsidRDefault="00831C83">
      <w:pPr>
        <w:pStyle w:val="TAMainText"/>
        <w:rPr>
          <w:rFonts w:ascii="Times New Roman" w:hAnsi="Times New Roman"/>
          <w:b/>
          <w:bCs/>
          <w:sz w:val="36"/>
          <w:szCs w:val="28"/>
        </w:rPr>
      </w:pPr>
      <w:r>
        <w:rPr>
          <w:b/>
          <w:bCs/>
          <w:sz w:val="28"/>
          <w:szCs w:val="22"/>
        </w:rPr>
        <w:lastRenderedPageBreak/>
        <w:t>Introduction</w:t>
      </w:r>
    </w:p>
    <w:p w14:paraId="2CA80888"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455C1DDA"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79F202DE" w14:textId="110B71D5"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rsidR="008A2546">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8A2546">
        <w:rPr>
          <w:rFonts w:hint="eastAsia"/>
        </w:rPr>
        <w:instrText>ô</w:instrText>
      </w:r>
      <w:r w:rsidR="008A2546">
        <w:instrText>t</w:instrText>
      </w:r>
      <w:r w:rsidR="008A2546">
        <w:rPr>
          <w:rFonts w:hint="eastAsia"/>
        </w:rPr>
        <w:instrText>é</w:instrText>
      </w:r>
      <w:r w:rsidR="008A2546">
        <w:instrText>","given":"Bernard"},{"family":"Burch","given":"Jason D."},{"family":"Asante-Appiah","given":"Ernest"},{"family":"Bayly","given":"Chris"},{"family":"B</w:instrText>
      </w:r>
      <w:r w:rsidR="008A2546">
        <w:rPr>
          <w:rFonts w:hint="eastAsia"/>
        </w:rPr>
        <w:instrText>é</w:instrText>
      </w:r>
      <w:r w:rsidR="008A2546">
        <w:instrText>dard","given":"Leanne"},{"family":"Blouin","given":"Marc"},{"family":"Campeau","given":"Louis-Charles"},{"family":"Cauchon","given":"Elizabeth"},{"family":"Chan","given":"Manuel"},{"family":"Chefson","given":"Amandine"},{"family":"Coulombe","given":"Nathalie"},{"family":"Cromlish","given":"Wanda"},{"family":"Debnath","given":"Smita"},{"family":"Desch</w:instrText>
      </w:r>
      <w:r w:rsidR="008A2546">
        <w:rPr>
          <w:rFonts w:hint="eastAsia"/>
        </w:rPr>
        <w:instrText>ê</w:instrText>
      </w:r>
      <w:r w:rsidR="008A2546">
        <w:instrText>nes","given":"Denis"},{"family":"Dupont-Gaudet","given":"Kristina"},{"family":"Falgueyret","given":"Jean-Pierre"},{"family":"Forget","given":"Robert"},{"family":"Gagn</w:instrText>
      </w:r>
      <w:r w:rsidR="008A2546">
        <w:rPr>
          <w:rFonts w:hint="eastAsia"/>
        </w:rPr>
        <w:instrText>é</w:instrText>
      </w:r>
      <w:r w:rsidR="008A2546">
        <w:instrText>","given":"S</w:instrText>
      </w:r>
      <w:r w:rsidR="008A2546">
        <w:rPr>
          <w:rFonts w:hint="eastAsia"/>
        </w:rPr>
        <w:instrText>é</w:instrText>
      </w:r>
      <w:r w:rsidR="008A2546">
        <w:instrText>bastien"},{"family":"Gauvreau","given":"Danny"},{"family":"Girardin","given":"Melina"},{"family":"Guiral","given":"S</w:instrText>
      </w:r>
      <w:r w:rsidR="008A2546">
        <w:rPr>
          <w:rFonts w:hint="eastAsia"/>
        </w:rPr>
        <w:instrText>é</w:instrText>
      </w:r>
      <w:r w:rsidR="008A2546">
        <w:instrText>bastien"},{"family":"Langlois","given":"Eric"},{"family":"Li","given":"Chun Sing"},{"family":"Nguyen","given":"Natalie"},{"family":"Papp","given":"Rob"},{"family":"Plamondon","given":"Serge"},{"family":"Roy","given":"Am</w:instrText>
      </w:r>
      <w:r w:rsidR="008A2546">
        <w:rPr>
          <w:rFonts w:hint="eastAsia"/>
        </w:rPr>
        <w:instrText>é</w:instrText>
      </w:r>
      <w:r w:rsidR="008A2546">
        <w:instrText>lie"},{"family":"Roy","given":"St</w:instrText>
      </w:r>
      <w:r w:rsidR="008A2546">
        <w:rPr>
          <w:rFonts w:hint="eastAsia"/>
        </w:rPr>
        <w:instrText>é</w:instrText>
      </w:r>
      <w:r w:rsidR="008A2546">
        <w:instrText>phanie"},{"family":"Seliniotakis","given":"Ria"},{"family":"St-Onge","given":"Miguel"},{"family":"Ouellet","given":"St</w:instrText>
      </w:r>
      <w:r w:rsidR="008A2546">
        <w:rPr>
          <w:rFonts w:hint="eastAsia"/>
        </w:rPr>
        <w:instrText>é</w:instrText>
      </w:r>
      <w:r w:rsidR="008A2546">
        <w:instrText>phane"},{"family":"Tawa","given":"Paul"},{"family":"Truchon","given":"Jean-Fran</w:instrText>
      </w:r>
      <w:r w:rsidR="008A2546">
        <w:rPr>
          <w:rFonts w:hint="eastAsia"/>
        </w:rPr>
        <w:instrText>ç</w:instrText>
      </w:r>
      <w:r w:rsidR="008A2546">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rsidR="008A2546">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rPr>
        <w:instrText>ô</w:instrText>
      </w:r>
      <w:r w:rsidR="008A2546">
        <w:instrText>t</w:instrText>
      </w:r>
      <w:r w:rsidR="008A2546">
        <w:rPr>
          <w:rFonts w:hint="eastAsia"/>
        </w:rPr>
        <w:instrText>é</w:instrText>
      </w:r>
      <w:r w:rsidR="008A2546">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5464F436" w14:textId="54C9558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rsidR="008A2546">
        <w:instrText xml:space="preserve"> ADDIN ZOTERO_ITEM CSL_CITATION {"citationID":"u34mWdrt","properties":{"unsorted":false,"formattedCitation":"\\super 19\\uc0\\u8211{}22\\nosupersub{}","plainCitation":"19</w:instrText>
      </w:r>
      <w:r w:rsidR="008A2546">
        <w:rPr>
          <w:rFonts w:hint="eastAsia"/>
        </w:rPr>
        <w:instrText>–</w:instrText>
      </w:r>
      <w:r w:rsidR="008A2546">
        <w:instrText>22","noteIndex":0},"citationItems":[{"id":169,"uris":["http://zotero.org/users/19404620/items/S7WWFBWH"],"itemData":{"id":169,"type":"article-journal","abstract":"BackgroundDoravirine is a non-nucleoside reverse transcriptase inhibitor (NNRTI) showing high efficacy and tolerability in both na</w:instrText>
      </w:r>
      <w:r w:rsidR="008A2546">
        <w:rPr>
          <w:rFonts w:hint="eastAsia"/>
        </w:rPr>
        <w:instrText>ï</w:instrText>
      </w:r>
      <w:r w:rsidR="008A2546">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sidR="008A2546">
        <w:rPr>
          <w:rFonts w:hint="eastAsia"/>
        </w:rPr>
        <w:instrText> </w:instrText>
      </w:r>
      <w:r w:rsidR="008A2546">
        <w:instrText>mg, lamivudine 300</w:instrText>
      </w:r>
      <w:r w:rsidR="008A2546">
        <w:rPr>
          <w:rFonts w:hint="eastAsia"/>
        </w:rPr>
        <w:instrText> </w:instrText>
      </w:r>
      <w:r w:rsidR="008A2546">
        <w:instrText>mg, and tenofovir disoproxil fumarate 300</w:instrText>
      </w:r>
      <w:r w:rsidR="008A2546">
        <w:rPr>
          <w:rFonts w:hint="eastAsia"/>
        </w:rPr>
        <w:instrText> </w:instrText>
      </w:r>
      <w:r w:rsidR="008A2546">
        <w:instrText>mg.ResultsAs a whole, 62 suppressed patients (51 men, median age, 51.7</w:instrText>
      </w:r>
      <w:r w:rsidR="008A2546">
        <w:rPr>
          <w:rFonts w:hint="eastAsia"/>
        </w:rPr>
        <w:instrText> </w:instrText>
      </w:r>
      <w:r w:rsidR="008A2546">
        <w:instrText>years; median CD4 T+ lymphocyte count, 577</w:instrText>
      </w:r>
      <w:r w:rsidR="008A2546">
        <w:rPr>
          <w:rFonts w:hint="eastAsia"/>
        </w:rPr>
        <w:instrText> </w:instrText>
      </w:r>
      <w:r w:rsidR="008A2546">
        <w:instrText>cells/mm3) were enrolled. After 12</w:instrText>
      </w:r>
      <w:r w:rsidR="008A2546">
        <w:rPr>
          <w:rFonts w:hint="eastAsia"/>
        </w:rPr>
        <w:instrText> </w:instrText>
      </w:r>
      <w:r w:rsidR="008A2546">
        <w:instrText>months, 58 (93.5%) patients showed HIV RNA &lt;20</w:instrText>
      </w:r>
      <w:r w:rsidR="008A2546">
        <w:rPr>
          <w:rFonts w:hint="eastAsia"/>
        </w:rPr>
        <w:instrText> </w:instrText>
      </w:r>
      <w:r w:rsidR="008A2546">
        <w:instrText>copies/mL and reasons for treatment failure were virological failure in one case, missing data in one case, and adverse events in two cases. At month 12, a significant decrease in median serum level of triglycerides (median change −61.2</w:instrText>
      </w:r>
      <w:r w:rsidR="008A2546">
        <w:rPr>
          <w:rFonts w:hint="eastAsia"/>
        </w:rPr>
        <w:instrText> </w:instrText>
      </w:r>
      <w:r w:rsidR="008A2546">
        <w:instrText>mg/dL; p = .009) and total cholesterol (median change −38.4</w:instrText>
      </w:r>
      <w:r w:rsidR="008A2546">
        <w:rPr>
          <w:rFonts w:hint="eastAsia"/>
        </w:rPr>
        <w:instrText> </w:instrText>
      </w:r>
      <w:r w:rsidR="008A2546">
        <w:instrText>mg/dL; p = .021) was reported, while a not significant median weight increase was registered (+0.55</w:instrText>
      </w:r>
      <w:r w:rsidR="008A2546">
        <w:rPr>
          <w:rFonts w:hint="eastAsia"/>
        </w:rPr>
        <w:instrText> </w:instrText>
      </w:r>
      <w:r w:rsidR="008A2546">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sidR="008A2546">
        <w:rPr>
          <w:rFonts w:hint="eastAsia"/>
        </w:rPr>
        <w:instrText>í</w:instrText>
      </w:r>
      <w:r w:rsidR="008A2546">
        <w:instrText>as-Trueba","given":"Marta"},{"family":"Gutierrez-Valencia","given":"Alicia"},{"family":"Llaves-Flores","given":"Silvia"},{"family":"Roca-Oporto","given":"Cristina"},{"family":"Herrero","given":"Marta"},{"family":"Sotomayor de la Piedra","given":"C</w:instrText>
      </w:r>
      <w:r w:rsidR="008A2546">
        <w:rPr>
          <w:rFonts w:hint="eastAsia"/>
        </w:rPr>
        <w:instrText>é</w:instrText>
      </w:r>
      <w:r w:rsidR="008A2546">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sidR="008A2546">
        <w:rPr>
          <w:rFonts w:hint="eastAsia"/>
        </w:rPr>
        <w:instrText>ï</w:instrText>
      </w:r>
      <w:r w:rsidR="008A2546">
        <w:instrText>ve and treatment-experienced PWH. A total of 83 PWH were included from January 1, 2022, to December 31, 2023. The median age was 40 years (32</w:instrText>
      </w:r>
      <w:r w:rsidR="008A2546">
        <w:rPr>
          <w:rFonts w:hint="eastAsia"/>
        </w:rPr>
        <w:instrText>–</w:instrText>
      </w:r>
      <w:r w:rsidR="008A2546">
        <w:instrText>54). Twenty-seven patients (32.5%) were treatment-na</w:instrText>
      </w:r>
      <w:r w:rsidR="008A2546">
        <w:rPr>
          <w:rFonts w:hint="eastAsia"/>
        </w:rPr>
        <w:instrText>ï</w:instrText>
      </w:r>
      <w:r w:rsidR="008A2546">
        <w:instrText>ve PWH, and 56 patients (67.5%) were treatment-experienced PWH, the most common switch was from integrase inhibitors (37/56) to DOR, followed by efavirenz (18/56) and nevirapine (1/56). In treatment-na</w:instrText>
      </w:r>
      <w:r w:rsidR="008A2546">
        <w:rPr>
          <w:rFonts w:hint="eastAsia"/>
        </w:rPr>
        <w:instrText>ï</w:instrText>
      </w:r>
      <w:r w:rsidR="008A2546">
        <w:instrText xml:space="preserve">ve PWH, the median CD4+ T-cell count was 222.9 </w:instrText>
      </w:r>
      <w:r w:rsidR="008A2546">
        <w:rPr>
          <w:rFonts w:hint="eastAsia"/>
        </w:rPr>
        <w:instrText>±</w:instrText>
      </w:r>
      <w:r w:rsidR="008A2546">
        <w:instrText xml:space="preserve"> 144.2 cells/mL at baseline, which increased to 337.8 </w:instrText>
      </w:r>
      <w:r w:rsidR="008A2546">
        <w:rPr>
          <w:rFonts w:hint="eastAsia"/>
        </w:rPr>
        <w:instrText>±</w:instrText>
      </w:r>
      <w:r w:rsidR="008A2546">
        <w:instrText xml:space="preserve"> 189.6 cells/</w:instrText>
      </w:r>
      <w:r w:rsidR="008A2546">
        <w:rPr>
          <w:rFonts w:hint="eastAsia"/>
        </w:rPr>
        <w:instrText>μ</w:instrText>
      </w:r>
      <w:r w:rsidR="008A2546">
        <w:instrText xml:space="preserve">L at week 24 (p &lt; 0.001) and to 431.6 </w:instrText>
      </w:r>
      <w:r w:rsidR="008A2546">
        <w:rPr>
          <w:rFonts w:hint="eastAsia"/>
        </w:rPr>
        <w:instrText>±</w:instrText>
      </w:r>
      <w:r w:rsidR="008A2546">
        <w:instrText xml:space="preserve"> 259.9 cells/</w:instrText>
      </w:r>
      <w:r w:rsidR="008A2546">
        <w:rPr>
          <w:rFonts w:hint="eastAsia"/>
        </w:rPr>
        <w:instrText>μ</w:instrText>
      </w:r>
      <w:r w:rsidR="008A2546">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sidR="008A2546">
        <w:rPr>
          <w:rFonts w:hint="eastAsia"/>
        </w:rPr>
        <w:instrText>ï</w:instrText>
      </w:r>
      <w:r w:rsidR="008A2546">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sidR="008A2546">
        <w:rPr>
          <w:rFonts w:hint="eastAsia"/>
        </w:rPr>
        <w:instrText>·</w:instrText>
      </w:r>
      <w:r w:rsidR="008A2546">
        <w:instrText>25 mg) once daily in virologically suppressed adults with HIV-1 on oral antiretroviral therapy: 48-week results of a phase 3, multicentre, randomised, open-label, non-inferiority trial","title-short":"Switch to fixed-dose doravirine (100 mg) and islatravir (0</w:instrText>
      </w:r>
      <w:r w:rsidR="008A2546">
        <w:rPr>
          <w:rFonts w:hint="eastAsia"/>
        </w:rPr>
        <w:instrText>·</w:instrText>
      </w:r>
      <w:r w:rsidR="008A2546">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sidR="008A2546" w:rsidRPr="008A2546">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3FF9954F" w14:textId="77777777" w:rsidR="00F431E8" w:rsidRDefault="00E23674" w:rsidP="004947E0">
      <w:pPr>
        <w:pStyle w:val="TAMainText"/>
        <w:rPr>
          <w:noProof/>
        </w:rPr>
      </w:pPr>
      <w:r>
        <w:lastRenderedPageBreak/>
        <w:t xml:space="preserve">To address this question, we quantified the effect of each genotype on DOR binding using two complementary calculations. Alchemical free energy perturbation estimates </w:t>
      </w:r>
      <w:proofErr w:type="spellStart"/>
      <w:r>
        <w:t>ΔΔG</w:t>
      </w:r>
      <w:r>
        <w:rPr>
          <w:vertAlign w:val="subscript"/>
        </w:rPr>
        <w:t>bind</w:t>
      </w:r>
      <w:proofErr w:type="spellEnd"/>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64E1BB6F"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42E072F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7A6EE7B" w14:textId="77777777" w:rsidR="008E233C" w:rsidRPr="008E233C" w:rsidRDefault="008E233C" w:rsidP="008E233C"/>
    <w:p w14:paraId="1A17B77B"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1AE6B883"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2041305D" w14:textId="77777777" w:rsidR="004260F0" w:rsidRPr="00E536AD" w:rsidRDefault="004260F0" w:rsidP="004260F0">
      <w:pPr>
        <w:pStyle w:val="TAMainText"/>
        <w:spacing w:after="240"/>
        <w:rPr>
          <w:rFonts w:ascii="Times New Roman" w:hAnsi="Times New Roman"/>
          <w:szCs w:val="24"/>
        </w:rPr>
      </w:pPr>
      <w:r>
        <w:t xml:space="preserve">The starting </w:t>
      </w:r>
      <w:proofErr w:type="spellStart"/>
      <w:r>
        <w:rPr>
          <w:i/>
          <w:iCs/>
        </w:rPr>
        <w:t>holo</w:t>
      </w:r>
      <w:proofErr w:type="spellEnd"/>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7FE93127"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300FAF69"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64C92DED"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14F3D4B0"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69331384"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678095E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4B03AEC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7553620"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4B0A530C"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620E300"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16B16991"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2F2BAF1A" w14:textId="77777777" w:rsidR="006E0AC1" w:rsidRPr="00E536AD" w:rsidRDefault="006E0AC1" w:rsidP="006E0AC1">
      <w:pPr>
        <w:pStyle w:val="TAMainText"/>
        <w:spacing w:after="240"/>
        <w:rPr>
          <w:rFonts w:ascii="Times New Roman" w:hAnsi="Times New Roman"/>
          <w:szCs w:val="24"/>
        </w:rPr>
      </w:pPr>
      <w:r>
        <w:t>and computed binding components as</w:t>
      </w:r>
    </w:p>
    <w:p w14:paraId="39E9409A"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44602AB6" w14:textId="481427A0" w:rsidR="00904E1B" w:rsidRPr="00E536AD" w:rsidRDefault="006E0AC1" w:rsidP="004260F0">
      <w:pPr>
        <w:pStyle w:val="TAMainText"/>
        <w:spacing w:after="240"/>
        <w:rPr>
          <w:rFonts w:ascii="Times New Roman" w:hAnsi="Times New Roman"/>
          <w:szCs w:val="24"/>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w:t>
      </w:r>
      <w:r w:rsidR="00DD322A">
        <w:t xml:space="preserve">artificial </w:t>
      </w:r>
      <w:r>
        <w:t xml:space="preserve">steric </w:t>
      </w:r>
      <w:r w:rsidR="009E0510">
        <w:t>clashes</w:t>
      </w:r>
      <w:r>
        <w:t xml:space="preserve">; minimization was run to convergence over 2,000 iterations. Replicate means are reported from 100 snapshots spaced evenly across the post-equilibration portion (final 75 ns) of each production trajectory. WT-referenced shifts were calculated as </w:t>
      </w:r>
    </w:p>
    <w:p w14:paraId="38536EF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73D5EF2C"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1455036"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B2310BF" w14:textId="77777777" w:rsidR="0014765A" w:rsidRPr="00E536AD" w:rsidRDefault="0014765A" w:rsidP="00E50017">
      <w:pPr>
        <w:pStyle w:val="TAMainText"/>
      </w:pPr>
      <w:r>
        <w:t>Our aim is to calculate the effect of each substitution on the DOR binding equilibrium,</w:t>
      </w:r>
    </w:p>
    <w:p w14:paraId="5B461CDE"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7DD4BB8A"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t>
      </w:r>
      <w:r>
        <w:lastRenderedPageBreak/>
        <w:t xml:space="preserve">which the p66 substitution was introduced alchemically in both the DOR-bound and the ligand-free enzyme, </w:t>
      </w:r>
    </w:p>
    <w:p w14:paraId="2BCE544E" w14:textId="652B9D09"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584FE24"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A1681B1"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4C7A629B"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0E259F2A" w14:textId="77777777" w:rsidR="00E75C39" w:rsidRPr="00E536AD" w:rsidRDefault="00E75C39" w:rsidP="00E50017">
      <w:pPr>
        <w:pStyle w:val="TAMainText"/>
      </w:pPr>
      <w:r>
        <w:t xml:space="preserve">The free energy of each end state is related to its partition function by </w:t>
      </w:r>
    </w:p>
    <w:p w14:paraId="5457D357"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8539C94"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Pr>
          <w:vertAlign w:val="superscript"/>
        </w:rPr>
        <w:t>46</w:t>
      </w:r>
      <w:r>
        <w:fldChar w:fldCharType="end"/>
      </w:r>
      <w:r>
        <w:t xml:space="preserve"> which share a common backbone and carry dummy atoms only where the two side chains differ, built with the amber14sbmut mutation force field to match the </w:t>
      </w:r>
      <w:r>
        <w:lastRenderedPageBreak/>
        <w:t xml:space="preserve">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AAAA9CA"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104083ED" w14:textId="77777777" w:rsidR="0014765A" w:rsidRPr="00E536AD" w:rsidRDefault="00E75C39" w:rsidP="00E50017">
      <w:pPr>
        <w:pStyle w:val="TAMainText"/>
      </w:pPr>
      <w:r>
        <w:t>with λ = 0 the wild type and λ = 1 the mutant residue. Hybrid systems were built in GROMACS 2023.1,</w:t>
      </w:r>
      <w:r>
        <w:fldChar w:fldCharType="begin"/>
      </w:r>
      <w:r>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fldChar w:fldCharType="separate"/>
      </w:r>
      <w:r>
        <w:rPr>
          <w:vertAlign w:val="superscript"/>
        </w:rPr>
        <w:t>47</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Pr>
          <w:vertAlign w:val="superscript"/>
        </w:rPr>
        <w:t>48</w:t>
      </w:r>
      <w:r>
        <w:fldChar w:fldCharType="end"/>
      </w:r>
      <w:r>
        <w:t xml:space="preserve"> Each replicate was seeded from the corresponding equilibrated MD starting structure.</w:t>
      </w:r>
    </w:p>
    <w:p w14:paraId="1611D0E6" w14:textId="77777777" w:rsidR="00E75C39" w:rsidRPr="00E536AD" w:rsidRDefault="00E75C39" w:rsidP="00E50017">
      <w:pPr>
        <w:pStyle w:val="TAMainText"/>
      </w:pPr>
      <w:r>
        <w:t>Non-equilibrium switching</w:t>
      </w:r>
      <w:r>
        <w:fldChar w:fldCharType="begin"/>
      </w:r>
      <w:r>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49,50</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Pr>
          <w:vertAlign w:val="superscript"/>
        </w:rPr>
        <w:t>51</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4487CB11"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88617E7"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p>
    <w:p w14:paraId="3B4FD2C2" w14:textId="77777777" w:rsidR="00E75C39" w:rsidRPr="00E536AD" w:rsidRDefault="00E75C39" w:rsidP="00E50017">
      <w:pPr>
        <w:pStyle w:val="TAMainText"/>
      </w:pPr>
      <w:r>
        <w:lastRenderedPageBreak/>
        <w:t>Because the switches are of finite duration, W exceeds ∆G on average, and the free energy must be recovered from the distribution of work values. Jarzynski’s equality</w:t>
      </w:r>
      <w:r>
        <w:fldChar w:fldCharType="begin"/>
      </w:r>
      <w:r>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Pr>
          <w:vertAlign w:val="superscript"/>
        </w:rPr>
        <w:t>49</w:t>
      </w:r>
      <w:r>
        <w:fldChar w:fldCharType="end"/>
      </w:r>
      <w:r>
        <w:t xml:space="preserve"> relates the two:</w:t>
      </w:r>
    </w:p>
    <w:p w14:paraId="00552E27"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5ED84131" w14:textId="77777777" w:rsidR="00E75C39" w:rsidRPr="00E536AD" w:rsidRDefault="00FE75D4" w:rsidP="00E50017">
      <w:pPr>
        <w:pStyle w:val="TAMainText"/>
      </w:pPr>
      <w:r>
        <w:t>while the Crooks fluctuation theorem</w:t>
      </w:r>
      <w:r>
        <w:fldChar w:fldCharType="begin"/>
      </w:r>
      <w:r>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50</w:t>
      </w:r>
      <w:r>
        <w:fldChar w:fldCharType="end"/>
      </w:r>
      <w:r>
        <w:t xml:space="preserve"> relates the forward and reverse work distributions P</w:t>
      </w:r>
      <w:r>
        <w:rPr>
          <w:vertAlign w:val="subscript"/>
        </w:rPr>
        <w:t>F</w:t>
      </w:r>
      <w:r>
        <w:t>(W) and P</w:t>
      </w:r>
      <w:r>
        <w:rPr>
          <w:vertAlign w:val="subscript"/>
        </w:rPr>
        <w:t>R</w:t>
      </w:r>
      <w:r>
        <w:t>(W):</w:t>
      </w:r>
    </w:p>
    <w:p w14:paraId="2949E964"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138B7B78" w14:textId="77777777" w:rsidR="001719C5" w:rsidRPr="00E536AD" w:rsidRDefault="001719C5" w:rsidP="00DD2D9A">
      <w:pPr>
        <w:pStyle w:val="TAMainText"/>
      </w:pPr>
      <w:r>
        <w:t>The maximum-likelihood estimate of ∆G from the above theorem is the Bennett acceptance ratio.</w:t>
      </w:r>
      <w:r>
        <w:fldChar w:fldCharType="begin"/>
      </w:r>
      <w:r>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Pr>
          <w:vertAlign w:val="superscript"/>
        </w:rPr>
        <w:t>52</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690C71C6"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1D75A833" w14:textId="77777777"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fldChar w:fldCharType="separate"/>
      </w:r>
      <w:r>
        <w:rPr>
          <w:vertAlign w:val="superscript"/>
        </w:rPr>
        <w:t>53</w:t>
      </w:r>
      <w:r>
        <w:fldChar w:fldCharType="end"/>
      </w:r>
      <w:r>
        <w:t xml:space="preserve"> because </w:t>
      </w:r>
      <w:proofErr w:type="spellStart"/>
      <w:r>
        <w:rPr>
          <w:i/>
          <w:iCs/>
        </w:rPr>
        <w:t>holo</w:t>
      </w:r>
      <w:proofErr w:type="spellEnd"/>
      <w:r>
        <w:t xml:space="preserve"> and </w:t>
      </w:r>
      <w:r>
        <w:rPr>
          <w:i/>
          <w:iCs/>
        </w:rPr>
        <w:t>apo</w:t>
      </w:r>
      <w:r>
        <w:t xml:space="preserve"> box volumes differ by less than 1%, this correction cancels to below 10⁻³ kcal/mol in ∆∆G.</w:t>
      </w:r>
    </w:p>
    <w:p w14:paraId="45C27C40" w14:textId="77777777" w:rsidR="00D53F77" w:rsidRPr="00E536AD" w:rsidRDefault="00D53F77" w:rsidP="00D53F77">
      <w:pPr>
        <w:pStyle w:val="TAMainText"/>
        <w:rPr>
          <w:rFonts w:ascii="Times New Roman" w:hAnsi="Times New Roman"/>
          <w:szCs w:val="24"/>
        </w:rPr>
      </w:pPr>
      <w:r>
        <w:rPr>
          <w:b/>
          <w:bCs/>
          <w:u w:val="single"/>
        </w:rPr>
        <w:t>Statistical analysis</w:t>
      </w:r>
    </w:p>
    <w:p w14:paraId="27C39B71" w14:textId="3DF341C0" w:rsidR="00766EBA" w:rsidRPr="003960AE" w:rsidRDefault="00D53F77" w:rsidP="003960AE">
      <w:pPr>
        <w:pStyle w:val="TAMainText"/>
        <w:spacing w:after="240"/>
      </w:pPr>
      <w:r>
        <w:t xml:space="preserve">Associations between the computed energies and phenotype were assessed by ordinary least-squares regression against log₁₀-transformed fold-change in susceptibility, reported as the </w:t>
      </w:r>
      <w:r>
        <w:lastRenderedPageBreak/>
        <w:t>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p>
    <w:p w14:paraId="162F0011"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242240A1"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511619A8"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57E33293"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21804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2E7166D6"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4F82EC65"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w:t>
      </w:r>
      <w:r>
        <w:lastRenderedPageBreak/>
        <w:t xml:space="preserve">undergoing testing were either site-directed mutants or clinical isolates for which known NNRTI-resistance mutations were specified. </w:t>
      </w:r>
    </w:p>
    <w:p w14:paraId="430E9DDF"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F61D6EA" w14:textId="77777777" w:rsidTr="005A06D4">
        <w:trPr>
          <w:trHeight w:val="539"/>
        </w:trPr>
        <w:tc>
          <w:tcPr>
            <w:tcW w:w="1206" w:type="dxa"/>
            <w:tcBorders>
              <w:top w:val="single" w:sz="4" w:space="0" w:color="auto"/>
              <w:bottom w:val="single" w:sz="4" w:space="0" w:color="auto"/>
            </w:tcBorders>
            <w:hideMark/>
          </w:tcPr>
          <w:p w14:paraId="24105FE6"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233BD346"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4924DA4E"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25D7ACD1"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5E0D968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4A54B99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2B57EA09" w14:textId="77777777" w:rsidTr="005A06D4">
        <w:trPr>
          <w:trHeight w:val="340"/>
        </w:trPr>
        <w:tc>
          <w:tcPr>
            <w:tcW w:w="1206" w:type="dxa"/>
            <w:vMerge w:val="restart"/>
            <w:tcBorders>
              <w:top w:val="single" w:sz="4" w:space="0" w:color="auto"/>
            </w:tcBorders>
            <w:vAlign w:val="center"/>
            <w:hideMark/>
          </w:tcPr>
          <w:p w14:paraId="577E93C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DF8A2D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368C18F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37A706D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DBF102C"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45DC3130" w14:textId="31B7A01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{"citationID":"du2T48Z8","properties":{"unsorted":false,"formattedCitation":"\\super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03E5EB02" w14:textId="77777777" w:rsidTr="005A06D4">
        <w:trPr>
          <w:trHeight w:val="340"/>
        </w:trPr>
        <w:tc>
          <w:tcPr>
            <w:tcW w:w="1206" w:type="dxa"/>
            <w:vMerge/>
            <w:hideMark/>
          </w:tcPr>
          <w:p w14:paraId="66BA2ED0" w14:textId="77777777" w:rsidR="00BA0839" w:rsidRPr="003968DD" w:rsidRDefault="00BA0839" w:rsidP="005A06D4">
            <w:pPr>
              <w:rPr>
                <w:rFonts w:ascii="Times New Roman" w:hAnsi="Times New Roman"/>
                <w:color w:val="000000"/>
                <w:sz w:val="22"/>
                <w:szCs w:val="22"/>
              </w:rPr>
            </w:pPr>
          </w:p>
        </w:tc>
        <w:tc>
          <w:tcPr>
            <w:tcW w:w="1648" w:type="dxa"/>
            <w:hideMark/>
          </w:tcPr>
          <w:p w14:paraId="0FA2CFB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74072D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257D41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0E71439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2A39BBCA" w14:textId="5DD53E55"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75F5187" w14:textId="77777777" w:rsidTr="005A06D4">
        <w:trPr>
          <w:trHeight w:val="340"/>
        </w:trPr>
        <w:tc>
          <w:tcPr>
            <w:tcW w:w="1206" w:type="dxa"/>
            <w:vMerge/>
            <w:hideMark/>
          </w:tcPr>
          <w:p w14:paraId="26756F2A" w14:textId="77777777" w:rsidR="00BA0839" w:rsidRPr="003968DD" w:rsidRDefault="00BA0839" w:rsidP="005A06D4">
            <w:pPr>
              <w:rPr>
                <w:rFonts w:ascii="Times New Roman" w:hAnsi="Times New Roman"/>
                <w:color w:val="000000"/>
                <w:sz w:val="22"/>
                <w:szCs w:val="22"/>
              </w:rPr>
            </w:pPr>
          </w:p>
        </w:tc>
        <w:tc>
          <w:tcPr>
            <w:tcW w:w="1648" w:type="dxa"/>
            <w:hideMark/>
          </w:tcPr>
          <w:p w14:paraId="023664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7BA7CB6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6F3372C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3C83C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3CF6B97" w14:textId="222D3A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6C3D663" w14:textId="77777777" w:rsidTr="005A06D4">
        <w:trPr>
          <w:trHeight w:val="359"/>
        </w:trPr>
        <w:tc>
          <w:tcPr>
            <w:tcW w:w="1206" w:type="dxa"/>
            <w:vMerge/>
            <w:tcBorders>
              <w:bottom w:val="single" w:sz="4" w:space="0" w:color="auto"/>
            </w:tcBorders>
            <w:hideMark/>
          </w:tcPr>
          <w:p w14:paraId="7EC7816E"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46BD4D8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754E5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3F0773C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1BF239F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36A799CB" w14:textId="51650F21"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4E079204" w14:textId="77777777" w:rsidTr="005A06D4">
        <w:trPr>
          <w:trHeight w:val="340"/>
        </w:trPr>
        <w:tc>
          <w:tcPr>
            <w:tcW w:w="1206" w:type="dxa"/>
            <w:vMerge w:val="restart"/>
            <w:tcBorders>
              <w:top w:val="single" w:sz="4" w:space="0" w:color="auto"/>
            </w:tcBorders>
            <w:vAlign w:val="center"/>
            <w:hideMark/>
          </w:tcPr>
          <w:p w14:paraId="32048568"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727EC0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3B625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7DBD00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C8D71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1F1383E" w14:textId="05A2B70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580E0E">
              <w:rPr>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580E0E">
              <w:rPr>
                <w:rFonts w:hint="eastAsia"/>
                <w:color w:val="000000"/>
                <w:sz w:val="22"/>
                <w:szCs w:val="22"/>
              </w:rPr>
              <w:instrText>–</w:instrText>
            </w:r>
            <w:r w:rsidR="00580E0E">
              <w:rPr>
                <w:color w:val="000000"/>
                <w:sz w:val="22"/>
                <w:szCs w:val="22"/>
              </w:rPr>
              <w:instrText>96.7%) than to etravirine (91.5%), rilpivirine (89.5%), efavirenz (81.5%), or nevirapine (77.5%). Based on a 3-fold cutoff, doravirine susceptibility was retained in 44.7</w:instrText>
            </w:r>
            <w:r w:rsidR="00580E0E">
              <w:rPr>
                <w:rFonts w:hint="eastAsia"/>
                <w:color w:val="000000"/>
                <w:sz w:val="22"/>
                <w:szCs w:val="22"/>
              </w:rPr>
              <w:instrText>–</w:instrText>
            </w:r>
            <w:r w:rsidR="00580E0E">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55</w:t>
            </w:r>
            <w:r>
              <w:rPr>
                <w:color w:val="000000"/>
                <w:sz w:val="22"/>
                <w:szCs w:val="22"/>
              </w:rPr>
              <w:fldChar w:fldCharType="end"/>
            </w:r>
          </w:p>
        </w:tc>
      </w:tr>
      <w:tr w:rsidR="00BA0839" w:rsidRPr="00E536AD" w14:paraId="60204ACF" w14:textId="77777777" w:rsidTr="005A06D4">
        <w:trPr>
          <w:trHeight w:val="340"/>
        </w:trPr>
        <w:tc>
          <w:tcPr>
            <w:tcW w:w="1206" w:type="dxa"/>
            <w:vMerge/>
            <w:hideMark/>
          </w:tcPr>
          <w:p w14:paraId="13798816" w14:textId="77777777" w:rsidR="00BA0839" w:rsidRPr="003968DD" w:rsidRDefault="00BA0839" w:rsidP="005A06D4">
            <w:pPr>
              <w:rPr>
                <w:rFonts w:ascii="Times New Roman" w:hAnsi="Times New Roman"/>
                <w:color w:val="000000"/>
                <w:sz w:val="22"/>
                <w:szCs w:val="22"/>
              </w:rPr>
            </w:pPr>
          </w:p>
        </w:tc>
        <w:tc>
          <w:tcPr>
            <w:tcW w:w="1648" w:type="dxa"/>
            <w:hideMark/>
          </w:tcPr>
          <w:p w14:paraId="3866654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4B48DC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52D6343" w14:textId="422C3E2E"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7945EB0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0A57A9F8" w14:textId="3CD65D6F"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sidR="008A2546">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color w:val="000000"/>
                <w:sz w:val="22"/>
                <w:szCs w:val="22"/>
              </w:rPr>
              <w:instrText>×</w:instrText>
            </w:r>
            <w:r w:rsidR="008A2546">
              <w:rPr>
                <w:color w:val="000000"/>
                <w:sz w:val="22"/>
                <w:szCs w:val="22"/>
              </w:rPr>
              <w:instrText xml:space="preserve"> EC95) to 1,000</w:instrText>
            </w:r>
            <w:r w:rsidR="008A2546">
              <w:rPr>
                <w:rFonts w:hint="eastAsia"/>
                <w:color w:val="000000"/>
                <w:sz w:val="22"/>
                <w:szCs w:val="22"/>
              </w:rPr>
              <w:instrText>×</w:instrText>
            </w:r>
            <w:r w:rsidR="008A2546">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1CDCFF00" w14:textId="77777777" w:rsidTr="005A06D4">
        <w:trPr>
          <w:trHeight w:val="340"/>
        </w:trPr>
        <w:tc>
          <w:tcPr>
            <w:tcW w:w="1206" w:type="dxa"/>
            <w:vMerge/>
            <w:hideMark/>
          </w:tcPr>
          <w:p w14:paraId="51E2DE7C" w14:textId="77777777" w:rsidR="00BA0839" w:rsidRPr="003968DD" w:rsidRDefault="00BA0839" w:rsidP="005A06D4">
            <w:pPr>
              <w:rPr>
                <w:rFonts w:ascii="Times New Roman" w:hAnsi="Times New Roman"/>
                <w:color w:val="000000"/>
                <w:sz w:val="22"/>
                <w:szCs w:val="22"/>
              </w:rPr>
            </w:pPr>
          </w:p>
        </w:tc>
        <w:tc>
          <w:tcPr>
            <w:tcW w:w="1648" w:type="dxa"/>
            <w:hideMark/>
          </w:tcPr>
          <w:p w14:paraId="077E1B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0BF10E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39CFF07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79498D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5D4B97F" w14:textId="6AEBC4E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25920E86" w14:textId="77777777" w:rsidTr="005A06D4">
        <w:trPr>
          <w:trHeight w:val="340"/>
        </w:trPr>
        <w:tc>
          <w:tcPr>
            <w:tcW w:w="1206" w:type="dxa"/>
            <w:vMerge/>
            <w:hideMark/>
          </w:tcPr>
          <w:p w14:paraId="652F6FE0" w14:textId="77777777" w:rsidR="00BA0839" w:rsidRPr="003968DD" w:rsidRDefault="00BA0839" w:rsidP="005A06D4">
            <w:pPr>
              <w:rPr>
                <w:rFonts w:ascii="Times New Roman" w:hAnsi="Times New Roman"/>
                <w:color w:val="000000"/>
                <w:sz w:val="22"/>
                <w:szCs w:val="22"/>
              </w:rPr>
            </w:pPr>
          </w:p>
        </w:tc>
        <w:tc>
          <w:tcPr>
            <w:tcW w:w="1648" w:type="dxa"/>
            <w:hideMark/>
          </w:tcPr>
          <w:p w14:paraId="67E3CC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291BBD9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284570B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0B02306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6E07353B" w14:textId="1D99F5C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5BC24F28" w14:textId="77777777" w:rsidTr="005A06D4">
        <w:trPr>
          <w:trHeight w:val="340"/>
        </w:trPr>
        <w:tc>
          <w:tcPr>
            <w:tcW w:w="1206" w:type="dxa"/>
            <w:vMerge/>
            <w:hideMark/>
          </w:tcPr>
          <w:p w14:paraId="6F43E858" w14:textId="77777777" w:rsidR="00BA0839" w:rsidRPr="003968DD" w:rsidRDefault="00BA0839" w:rsidP="005A06D4">
            <w:pPr>
              <w:rPr>
                <w:rFonts w:ascii="Times New Roman" w:hAnsi="Times New Roman"/>
                <w:color w:val="000000"/>
                <w:sz w:val="22"/>
                <w:szCs w:val="22"/>
              </w:rPr>
            </w:pPr>
          </w:p>
        </w:tc>
        <w:tc>
          <w:tcPr>
            <w:tcW w:w="1648" w:type="dxa"/>
            <w:hideMark/>
          </w:tcPr>
          <w:p w14:paraId="1B3564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6A61C3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43926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63912F8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53D98B50" w14:textId="6EB62A40"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580E0E">
              <w:rPr>
                <w:color w:val="000000"/>
                <w:sz w:val="22"/>
                <w:szCs w:val="22"/>
              </w:rPr>
              <w:instrText xml:space="preserve"> ADDIN ZOTERO_ITEM CSL_CITATION {"citationID":"nW736a0j","properties":{"unsorted":false,"formattedCitation":"\\super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56A7212A" w14:textId="77777777" w:rsidTr="005A06D4">
        <w:trPr>
          <w:trHeight w:val="340"/>
        </w:trPr>
        <w:tc>
          <w:tcPr>
            <w:tcW w:w="1206" w:type="dxa"/>
            <w:vMerge/>
            <w:hideMark/>
          </w:tcPr>
          <w:p w14:paraId="48639C3B" w14:textId="77777777" w:rsidR="00BA0839" w:rsidRPr="003968DD" w:rsidRDefault="00BA0839" w:rsidP="005A06D4">
            <w:pPr>
              <w:rPr>
                <w:rFonts w:ascii="Times New Roman" w:hAnsi="Times New Roman"/>
                <w:color w:val="000000"/>
                <w:sz w:val="22"/>
                <w:szCs w:val="22"/>
              </w:rPr>
            </w:pPr>
          </w:p>
        </w:tc>
        <w:tc>
          <w:tcPr>
            <w:tcW w:w="1648" w:type="dxa"/>
            <w:hideMark/>
          </w:tcPr>
          <w:p w14:paraId="306D501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6CA62E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3E60AA1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D699A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7536DC5" w14:textId="0B43D53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580E0E">
              <w:rPr>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57</w:t>
            </w:r>
            <w:r>
              <w:rPr>
                <w:color w:val="000000"/>
                <w:sz w:val="22"/>
                <w:szCs w:val="22"/>
              </w:rPr>
              <w:fldChar w:fldCharType="end"/>
            </w:r>
            <w:r>
              <w:rPr>
                <w:color w:val="000000"/>
                <w:sz w:val="22"/>
                <w:szCs w:val="22"/>
              </w:rPr>
              <w:t>; Lai et al (2018)</w:t>
            </w:r>
            <w:r>
              <w:rPr>
                <w:color w:val="000000"/>
                <w:sz w:val="22"/>
                <w:szCs w:val="22"/>
              </w:rPr>
              <w:fldChar w:fldCharType="begin"/>
            </w:r>
            <w:r w:rsidR="00580E0E">
              <w:rPr>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{"citationID":"VCuZmtqv","properties":{"unsorted":false,"formattedCitation":"\\super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54AEDC42" w14:textId="77777777" w:rsidTr="005A06D4">
        <w:trPr>
          <w:trHeight w:val="340"/>
        </w:trPr>
        <w:tc>
          <w:tcPr>
            <w:tcW w:w="1206" w:type="dxa"/>
            <w:vMerge/>
            <w:hideMark/>
          </w:tcPr>
          <w:p w14:paraId="64B0392C" w14:textId="77777777" w:rsidR="00BA0839" w:rsidRPr="003968DD" w:rsidRDefault="00BA0839" w:rsidP="005A06D4">
            <w:pPr>
              <w:rPr>
                <w:rFonts w:ascii="Times New Roman" w:hAnsi="Times New Roman"/>
                <w:color w:val="000000"/>
                <w:sz w:val="22"/>
                <w:szCs w:val="22"/>
              </w:rPr>
            </w:pPr>
          </w:p>
        </w:tc>
        <w:tc>
          <w:tcPr>
            <w:tcW w:w="1648" w:type="dxa"/>
            <w:hideMark/>
          </w:tcPr>
          <w:p w14:paraId="578E42E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7AA2DD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26ACEC8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2FB51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0E7C6156" w14:textId="009525D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sidR="00580E0E">
              <w:rPr>
                <w:color w:val="000000"/>
                <w:sz w:val="22"/>
                <w:szCs w:val="22"/>
              </w:rPr>
              <w:instrText xml:space="preserve"> ADDIN ZOTERO_ITEM CSL_CITATION {"citationID":"AGv01cke","properties":{"unsorted":false,"formattedCitation":"\\super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54</w:t>
            </w:r>
            <w:r>
              <w:rPr>
                <w:color w:val="000000"/>
                <w:sz w:val="22"/>
                <w:szCs w:val="22"/>
              </w:rPr>
              <w:fldChar w:fldCharType="end"/>
            </w:r>
          </w:p>
        </w:tc>
      </w:tr>
      <w:tr w:rsidR="00BA0839" w:rsidRPr="00E536AD" w14:paraId="009854BD" w14:textId="77777777" w:rsidTr="005A06D4">
        <w:trPr>
          <w:trHeight w:val="386"/>
        </w:trPr>
        <w:tc>
          <w:tcPr>
            <w:tcW w:w="1206" w:type="dxa"/>
            <w:vMerge/>
            <w:hideMark/>
          </w:tcPr>
          <w:p w14:paraId="5344BCC6" w14:textId="77777777" w:rsidR="00BA0839" w:rsidRPr="003968DD" w:rsidRDefault="00BA0839" w:rsidP="005A06D4">
            <w:pPr>
              <w:rPr>
                <w:rFonts w:ascii="Times New Roman" w:hAnsi="Times New Roman"/>
                <w:color w:val="000000"/>
                <w:sz w:val="22"/>
                <w:szCs w:val="22"/>
              </w:rPr>
            </w:pPr>
          </w:p>
        </w:tc>
        <w:tc>
          <w:tcPr>
            <w:tcW w:w="1648" w:type="dxa"/>
            <w:hideMark/>
          </w:tcPr>
          <w:p w14:paraId="0F0AC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BA2D55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20DE17F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034AE1B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6AC0C6D2" w14:textId="5059A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sidR="008A2546">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color w:val="000000"/>
                <w:sz w:val="22"/>
                <w:szCs w:val="22"/>
              </w:rPr>
              <w:instrText>×</w:instrText>
            </w:r>
            <w:r w:rsidR="008A2546">
              <w:rPr>
                <w:color w:val="000000"/>
                <w:sz w:val="22"/>
                <w:szCs w:val="22"/>
              </w:rPr>
              <w:instrText xml:space="preserve"> EC95) to 1,000</w:instrText>
            </w:r>
            <w:r w:rsidR="008A2546">
              <w:rPr>
                <w:rFonts w:hint="eastAsia"/>
                <w:color w:val="000000"/>
                <w:sz w:val="22"/>
                <w:szCs w:val="22"/>
              </w:rPr>
              <w:instrText>×</w:instrText>
            </w:r>
            <w:r w:rsidR="008A2546">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580E0E">
              <w:rPr>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w:instrText>
            </w:r>
            <w:r w:rsidR="00580E0E">
              <w:rPr>
                <w:rFonts w:hint="eastAsia"/>
                <w:color w:val="000000"/>
                <w:sz w:val="22"/>
                <w:szCs w:val="22"/>
              </w:rPr>
              <w:instrText> </w:instrText>
            </w:r>
            <w:r w:rsidR="00580E0E">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580E0E">
              <w:rPr>
                <w:rFonts w:hint="eastAsia"/>
                <w:color w:val="000000"/>
                <w:sz w:val="22"/>
                <w:szCs w:val="22"/>
              </w:rPr>
              <w:instrText>Å</w:instrText>
            </w:r>
            <w:r w:rsidR="00580E0E">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580E0E">
              <w:rPr>
                <w:rFonts w:hint="eastAsia"/>
                <w:color w:val="000000"/>
                <w:sz w:val="22"/>
                <w:szCs w:val="22"/>
              </w:rPr>
              <w:instrText> </w:instrText>
            </w:r>
            <w:r w:rsidR="00580E0E">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580E0E">
              <w:rPr>
                <w:rFonts w:hint="eastAsia"/>
                <w:color w:val="000000"/>
                <w:sz w:val="22"/>
                <w:szCs w:val="22"/>
              </w:rPr>
              <w:instrText> </w:instrText>
            </w:r>
            <w:r w:rsidR="00580E0E">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580E0E">
              <w:rPr>
                <w:rFonts w:hint="eastAsia"/>
                <w:color w:val="000000"/>
                <w:sz w:val="22"/>
                <w:szCs w:val="22"/>
              </w:rPr>
              <w:instrText> </w:instrText>
            </w:r>
            <w:r w:rsidR="00580E0E">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58</w:t>
            </w:r>
            <w:r>
              <w:rPr>
                <w:color w:val="000000"/>
                <w:sz w:val="22"/>
                <w:szCs w:val="22"/>
              </w:rPr>
              <w:fldChar w:fldCharType="end"/>
            </w:r>
          </w:p>
        </w:tc>
      </w:tr>
      <w:tr w:rsidR="00BA0839" w:rsidRPr="00E536AD" w14:paraId="6D9187D7" w14:textId="77777777" w:rsidTr="005A06D4">
        <w:trPr>
          <w:trHeight w:val="386"/>
        </w:trPr>
        <w:tc>
          <w:tcPr>
            <w:tcW w:w="1206" w:type="dxa"/>
            <w:tcBorders>
              <w:bottom w:val="single" w:sz="4" w:space="0" w:color="auto"/>
            </w:tcBorders>
          </w:tcPr>
          <w:p w14:paraId="6EF79719"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2B6C7C04"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7BDE73E6"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0114594"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51A6FE61"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0E79B13F" w14:textId="4E3882A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r w:rsidR="00BA0839" w:rsidRPr="00E536AD" w14:paraId="373FE016" w14:textId="77777777" w:rsidTr="005A06D4">
        <w:trPr>
          <w:trHeight w:val="340"/>
        </w:trPr>
        <w:tc>
          <w:tcPr>
            <w:tcW w:w="1206" w:type="dxa"/>
            <w:vMerge w:val="restart"/>
            <w:tcBorders>
              <w:top w:val="single" w:sz="4" w:space="0" w:color="auto"/>
            </w:tcBorders>
            <w:vAlign w:val="center"/>
            <w:hideMark/>
          </w:tcPr>
          <w:p w14:paraId="031527AA"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5D9F4F1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43AA17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6F4AC05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1C114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0735D52D" w14:textId="57378A7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1DE754F" w14:textId="77777777" w:rsidTr="005A06D4">
        <w:trPr>
          <w:trHeight w:val="467"/>
        </w:trPr>
        <w:tc>
          <w:tcPr>
            <w:tcW w:w="1206" w:type="dxa"/>
            <w:vMerge/>
            <w:hideMark/>
          </w:tcPr>
          <w:p w14:paraId="288483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EB3123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36CDA59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A573A5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F6638A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1F985415" w14:textId="467F6DB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3053C9" w14:textId="77777777" w:rsidTr="005A06D4">
        <w:trPr>
          <w:trHeight w:val="521"/>
        </w:trPr>
        <w:tc>
          <w:tcPr>
            <w:tcW w:w="1206" w:type="dxa"/>
            <w:vMerge/>
            <w:hideMark/>
          </w:tcPr>
          <w:p w14:paraId="3E471CB5"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492530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32CC5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6423EAE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50F865C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646581C5" w14:textId="084EC2D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EED43B6" w14:textId="77777777" w:rsidTr="005A06D4">
        <w:trPr>
          <w:trHeight w:val="350"/>
        </w:trPr>
        <w:tc>
          <w:tcPr>
            <w:tcW w:w="1206" w:type="dxa"/>
            <w:vMerge/>
            <w:hideMark/>
          </w:tcPr>
          <w:p w14:paraId="4A0B0B1A"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24B5D06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6E0968E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7A09F2B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AB1CC2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41F27E8A" w14:textId="221F1E81"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sidR="008A2546">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sidR="008A2546">
              <w:rPr>
                <w:rFonts w:hint="eastAsia"/>
                <w:color w:val="000000"/>
                <w:sz w:val="22"/>
                <w:szCs w:val="22"/>
              </w:rPr>
              <w:instrText>ô</w:instrText>
            </w:r>
            <w:r w:rsidR="008A2546">
              <w:rPr>
                <w:color w:val="000000"/>
                <w:sz w:val="22"/>
                <w:szCs w:val="22"/>
              </w:rPr>
              <w:instrText>t</w:instrText>
            </w:r>
            <w:r w:rsidR="008A2546">
              <w:rPr>
                <w:rFonts w:hint="eastAsia"/>
                <w:color w:val="000000"/>
                <w:sz w:val="22"/>
                <w:szCs w:val="22"/>
              </w:rPr>
              <w:instrText>é</w:instrText>
            </w:r>
            <w:r w:rsidR="008A2546">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093DF5F" w14:textId="77777777" w:rsidTr="005A06D4">
        <w:trPr>
          <w:trHeight w:val="350"/>
        </w:trPr>
        <w:tc>
          <w:tcPr>
            <w:tcW w:w="1206" w:type="dxa"/>
            <w:vMerge/>
            <w:tcBorders>
              <w:bottom w:val="single" w:sz="4" w:space="0" w:color="auto"/>
            </w:tcBorders>
          </w:tcPr>
          <w:p w14:paraId="3F4B4CD9"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6CFEF5B"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321E5DB0"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51FCE46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6DD43257"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09C2068" w14:textId="581C268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580E0E">
              <w:rPr>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sidR="00580E0E">
              <w:rPr>
                <w:rFonts w:hint="eastAsia"/>
                <w:color w:val="000000"/>
                <w:sz w:val="22"/>
                <w:szCs w:val="22"/>
              </w:rPr>
              <w:instrText>ï</w:instrText>
            </w:r>
            <w:r w:rsidR="00580E0E">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580E0E" w:rsidRPr="00580E0E">
              <w:rPr>
                <w:rFonts w:cs="Mangal"/>
                <w:color w:val="000000"/>
                <w:sz w:val="22"/>
                <w:szCs w:val="24"/>
                <w:vertAlign w:val="superscript"/>
                <w:lang w:bidi="hi-IN"/>
              </w:rPr>
              <w:t>56</w:t>
            </w:r>
            <w:r>
              <w:rPr>
                <w:color w:val="000000"/>
                <w:sz w:val="22"/>
                <w:szCs w:val="22"/>
              </w:rPr>
              <w:fldChar w:fldCharType="end"/>
            </w:r>
          </w:p>
        </w:tc>
      </w:tr>
    </w:tbl>
    <w:p w14:paraId="43ECEBB8" w14:textId="77777777" w:rsidR="000E15E2" w:rsidRPr="00E536AD" w:rsidRDefault="000E15E2" w:rsidP="000E15E2">
      <w:pPr>
        <w:rPr>
          <w:rFonts w:ascii="Times New Roman" w:hAnsi="Times New Roman"/>
        </w:rPr>
      </w:pPr>
    </w:p>
    <w:p w14:paraId="731BDD9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0F12244F"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4607B4CE" w14:textId="58924B20"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580E0E">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580E0E" w:rsidRPr="00580E0E">
        <w:rPr>
          <w:rFonts w:cs="Mangal"/>
          <w:szCs w:val="24"/>
          <w:vertAlign w:val="superscript"/>
          <w:lang w:bidi="hi-IN"/>
        </w:rPr>
        <w:t>59</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30B00EF7"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proofErr w:type="spellStart"/>
      <w:r>
        <w:rPr>
          <w:i/>
          <w:iCs/>
        </w:rPr>
        <w:t>holo</w:t>
      </w:r>
      <w:proofErr w:type="spellEnd"/>
      <w:r>
        <w:rPr>
          <w:i/>
          <w:iCs/>
        </w:rPr>
        <w:t xml:space="preserve">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xml:space="preserve">), generalized Born polar solvation </w:t>
      </w:r>
      <w:r>
        <w:lastRenderedPageBreak/>
        <w:t>(∆∆E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6D3AE22F"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proofErr w:type="spellStart"/>
      <w:r>
        <w:rPr>
          <w:i/>
          <w:iCs/>
          <w:sz w:val="22"/>
          <w:szCs w:val="18"/>
        </w:rPr>
        <w:t>holo</w:t>
      </w:r>
      <w:proofErr w:type="spellEnd"/>
      <w:r>
        <w:rPr>
          <w:i/>
          <w:iCs/>
          <w:sz w:val="22"/>
          <w:szCs w:val="18"/>
        </w:rPr>
        <w:t xml:space="preserve">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lastRenderedPageBreak/>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proofErr w:type="spellStart"/>
      <w:r>
        <w:rPr>
          <w:i/>
          <w:iCs/>
          <w:sz w:val="22"/>
          <w:szCs w:val="18"/>
        </w:rPr>
        <w:t>holo</w:t>
      </w:r>
      <w:proofErr w:type="spellEnd"/>
      <w:r>
        <w:rPr>
          <w:i/>
          <w:iCs/>
          <w:sz w:val="22"/>
          <w:szCs w:val="18"/>
        </w:rPr>
        <w:t xml:space="preserve">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070417B8"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36F91771"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58930BD8" w14:textId="77777777" w:rsidTr="005F306B">
        <w:trPr>
          <w:trHeight w:val="539"/>
        </w:trPr>
        <w:tc>
          <w:tcPr>
            <w:tcW w:w="1260" w:type="dxa"/>
            <w:tcBorders>
              <w:top w:val="single" w:sz="4" w:space="0" w:color="auto"/>
              <w:bottom w:val="single" w:sz="4" w:space="0" w:color="auto"/>
            </w:tcBorders>
            <w:hideMark/>
          </w:tcPr>
          <w:p w14:paraId="22CB5E69"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6EF1B94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A5E08E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14874D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5BB8039"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532E226"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2C1AA4A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152C1E4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660BA246" w14:textId="77777777" w:rsidTr="005F306B">
        <w:trPr>
          <w:trHeight w:val="340"/>
        </w:trPr>
        <w:tc>
          <w:tcPr>
            <w:tcW w:w="1260" w:type="dxa"/>
            <w:vMerge w:val="restart"/>
            <w:tcBorders>
              <w:top w:val="single" w:sz="4" w:space="0" w:color="auto"/>
            </w:tcBorders>
            <w:hideMark/>
          </w:tcPr>
          <w:p w14:paraId="1C3A4D30"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03AFFD9D"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1A114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6BAE835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0F1E6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B357DE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E2BAB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C6FB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70DAB00" w14:textId="77777777" w:rsidTr="005F306B">
        <w:trPr>
          <w:trHeight w:val="340"/>
        </w:trPr>
        <w:tc>
          <w:tcPr>
            <w:tcW w:w="1260" w:type="dxa"/>
            <w:vMerge/>
            <w:hideMark/>
          </w:tcPr>
          <w:p w14:paraId="675D5070" w14:textId="77777777" w:rsidR="003020DF" w:rsidRPr="00D06532" w:rsidRDefault="003020DF" w:rsidP="003020DF">
            <w:pPr>
              <w:rPr>
                <w:rFonts w:ascii="Times New Roman" w:hAnsi="Times New Roman"/>
                <w:color w:val="000000"/>
                <w:sz w:val="22"/>
                <w:szCs w:val="22"/>
              </w:rPr>
            </w:pPr>
          </w:p>
        </w:tc>
        <w:tc>
          <w:tcPr>
            <w:tcW w:w="1080" w:type="dxa"/>
            <w:hideMark/>
          </w:tcPr>
          <w:p w14:paraId="01E3BFF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9473F9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5D5E6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0ABA5B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2A566F43"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50F724AC"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3446B15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42263A37" w14:textId="77777777" w:rsidTr="005F306B">
        <w:trPr>
          <w:trHeight w:val="340"/>
        </w:trPr>
        <w:tc>
          <w:tcPr>
            <w:tcW w:w="1260" w:type="dxa"/>
            <w:vMerge/>
            <w:hideMark/>
          </w:tcPr>
          <w:p w14:paraId="0265DD6B" w14:textId="77777777" w:rsidR="003020DF" w:rsidRPr="00D06532" w:rsidRDefault="003020DF" w:rsidP="003020DF">
            <w:pPr>
              <w:rPr>
                <w:rFonts w:ascii="Times New Roman" w:hAnsi="Times New Roman"/>
                <w:color w:val="000000"/>
                <w:sz w:val="22"/>
                <w:szCs w:val="22"/>
              </w:rPr>
            </w:pPr>
          </w:p>
        </w:tc>
        <w:tc>
          <w:tcPr>
            <w:tcW w:w="1080" w:type="dxa"/>
            <w:hideMark/>
          </w:tcPr>
          <w:p w14:paraId="18EC111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335944B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02AD7C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5491867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6DE08CB9"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5A8391F6"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48374D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597ECCB8" w14:textId="77777777" w:rsidTr="005F306B">
        <w:trPr>
          <w:trHeight w:val="359"/>
        </w:trPr>
        <w:tc>
          <w:tcPr>
            <w:tcW w:w="1260" w:type="dxa"/>
            <w:vMerge/>
            <w:tcBorders>
              <w:bottom w:val="single" w:sz="4" w:space="0" w:color="auto"/>
            </w:tcBorders>
            <w:hideMark/>
          </w:tcPr>
          <w:p w14:paraId="4F942F37"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02E425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058534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24AAB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659A9A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772DFFF8"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AC1D4B7"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390A417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336C95BF" w14:textId="77777777" w:rsidTr="005F306B">
        <w:trPr>
          <w:trHeight w:val="340"/>
        </w:trPr>
        <w:tc>
          <w:tcPr>
            <w:tcW w:w="1260" w:type="dxa"/>
            <w:vMerge w:val="restart"/>
            <w:tcBorders>
              <w:top w:val="single" w:sz="4" w:space="0" w:color="auto"/>
            </w:tcBorders>
            <w:hideMark/>
          </w:tcPr>
          <w:p w14:paraId="7080A228"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11D9C7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6ABEB4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311023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34058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67DDF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05E8C5D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4DFB0E9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0A0673EC" w14:textId="77777777" w:rsidTr="005F306B">
        <w:trPr>
          <w:trHeight w:val="340"/>
        </w:trPr>
        <w:tc>
          <w:tcPr>
            <w:tcW w:w="1260" w:type="dxa"/>
            <w:vMerge/>
            <w:hideMark/>
          </w:tcPr>
          <w:p w14:paraId="67B98BC3" w14:textId="77777777" w:rsidR="003020DF" w:rsidRPr="00D06532" w:rsidRDefault="003020DF" w:rsidP="003020DF">
            <w:pPr>
              <w:rPr>
                <w:rFonts w:ascii="Times New Roman" w:hAnsi="Times New Roman"/>
                <w:color w:val="000000"/>
                <w:sz w:val="22"/>
                <w:szCs w:val="22"/>
              </w:rPr>
            </w:pPr>
          </w:p>
        </w:tc>
        <w:tc>
          <w:tcPr>
            <w:tcW w:w="1080" w:type="dxa"/>
            <w:hideMark/>
          </w:tcPr>
          <w:p w14:paraId="5433AD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5D9BA18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69017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50E62FD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29C5E3C2"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27BF5A1A"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72F05C00"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322B4F09" w14:textId="77777777" w:rsidTr="005F306B">
        <w:trPr>
          <w:trHeight w:val="340"/>
        </w:trPr>
        <w:tc>
          <w:tcPr>
            <w:tcW w:w="1260" w:type="dxa"/>
            <w:vMerge/>
            <w:hideMark/>
          </w:tcPr>
          <w:p w14:paraId="3499EB3E" w14:textId="77777777" w:rsidR="003020DF" w:rsidRPr="00D06532" w:rsidRDefault="003020DF" w:rsidP="003020DF">
            <w:pPr>
              <w:rPr>
                <w:rFonts w:ascii="Times New Roman" w:hAnsi="Times New Roman"/>
                <w:color w:val="000000"/>
                <w:sz w:val="22"/>
                <w:szCs w:val="22"/>
              </w:rPr>
            </w:pPr>
          </w:p>
        </w:tc>
        <w:tc>
          <w:tcPr>
            <w:tcW w:w="1080" w:type="dxa"/>
            <w:hideMark/>
          </w:tcPr>
          <w:p w14:paraId="0FE2807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7F663D7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1052382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3D413C8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0ABB293D"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4929ACC0"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ED5264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31D9128A" w14:textId="77777777" w:rsidTr="005F306B">
        <w:trPr>
          <w:trHeight w:val="340"/>
        </w:trPr>
        <w:tc>
          <w:tcPr>
            <w:tcW w:w="1260" w:type="dxa"/>
            <w:vMerge/>
            <w:hideMark/>
          </w:tcPr>
          <w:p w14:paraId="4283D7CC" w14:textId="77777777" w:rsidR="003020DF" w:rsidRPr="00D06532" w:rsidRDefault="003020DF" w:rsidP="003020DF">
            <w:pPr>
              <w:rPr>
                <w:rFonts w:ascii="Times New Roman" w:hAnsi="Times New Roman"/>
                <w:color w:val="000000"/>
                <w:sz w:val="22"/>
                <w:szCs w:val="22"/>
              </w:rPr>
            </w:pPr>
          </w:p>
        </w:tc>
        <w:tc>
          <w:tcPr>
            <w:tcW w:w="1080" w:type="dxa"/>
            <w:hideMark/>
          </w:tcPr>
          <w:p w14:paraId="56FA8A8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64A1E3B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31AAC3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7F17C01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D30A1CC"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5DBBE38D"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0C158D4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6718443F" w14:textId="77777777" w:rsidTr="005F306B">
        <w:trPr>
          <w:trHeight w:val="340"/>
        </w:trPr>
        <w:tc>
          <w:tcPr>
            <w:tcW w:w="1260" w:type="dxa"/>
            <w:vMerge/>
            <w:hideMark/>
          </w:tcPr>
          <w:p w14:paraId="6FA911BF" w14:textId="77777777" w:rsidR="003020DF" w:rsidRPr="00D06532" w:rsidRDefault="003020DF" w:rsidP="003020DF">
            <w:pPr>
              <w:rPr>
                <w:rFonts w:ascii="Times New Roman" w:hAnsi="Times New Roman"/>
                <w:color w:val="000000"/>
                <w:sz w:val="22"/>
                <w:szCs w:val="22"/>
              </w:rPr>
            </w:pPr>
          </w:p>
        </w:tc>
        <w:tc>
          <w:tcPr>
            <w:tcW w:w="1080" w:type="dxa"/>
            <w:hideMark/>
          </w:tcPr>
          <w:p w14:paraId="441AA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4ECC40C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0CDE0CB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D9B0DC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06BFC03"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49AFB078"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7411B9F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6D36F55D" w14:textId="77777777" w:rsidTr="005F306B">
        <w:trPr>
          <w:trHeight w:val="340"/>
        </w:trPr>
        <w:tc>
          <w:tcPr>
            <w:tcW w:w="1260" w:type="dxa"/>
            <w:vMerge/>
            <w:hideMark/>
          </w:tcPr>
          <w:p w14:paraId="28FF06F8" w14:textId="77777777" w:rsidR="003020DF" w:rsidRPr="00D06532" w:rsidRDefault="003020DF" w:rsidP="003020DF">
            <w:pPr>
              <w:rPr>
                <w:rFonts w:ascii="Times New Roman" w:hAnsi="Times New Roman"/>
                <w:color w:val="000000"/>
                <w:sz w:val="22"/>
                <w:szCs w:val="22"/>
              </w:rPr>
            </w:pPr>
          </w:p>
        </w:tc>
        <w:tc>
          <w:tcPr>
            <w:tcW w:w="1080" w:type="dxa"/>
            <w:hideMark/>
          </w:tcPr>
          <w:p w14:paraId="5ABB29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59215EE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7041F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2E5BA5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0CDB1EF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D40794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3D79301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0732911F" w14:textId="77777777" w:rsidTr="005F306B">
        <w:trPr>
          <w:trHeight w:val="340"/>
        </w:trPr>
        <w:tc>
          <w:tcPr>
            <w:tcW w:w="1260" w:type="dxa"/>
            <w:vMerge/>
            <w:hideMark/>
          </w:tcPr>
          <w:p w14:paraId="706FD928" w14:textId="77777777" w:rsidR="003020DF" w:rsidRPr="00D06532" w:rsidRDefault="003020DF" w:rsidP="003020DF">
            <w:pPr>
              <w:rPr>
                <w:rFonts w:ascii="Times New Roman" w:hAnsi="Times New Roman"/>
                <w:color w:val="000000"/>
                <w:sz w:val="22"/>
                <w:szCs w:val="22"/>
              </w:rPr>
            </w:pPr>
          </w:p>
        </w:tc>
        <w:tc>
          <w:tcPr>
            <w:tcW w:w="1080" w:type="dxa"/>
            <w:hideMark/>
          </w:tcPr>
          <w:p w14:paraId="0DEAD4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04F1E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4EA741D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1950B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4DD3E68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55408A1C"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27FF462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4257F70B" w14:textId="77777777" w:rsidTr="005F306B">
        <w:trPr>
          <w:trHeight w:val="386"/>
        </w:trPr>
        <w:tc>
          <w:tcPr>
            <w:tcW w:w="1260" w:type="dxa"/>
            <w:vMerge/>
            <w:hideMark/>
          </w:tcPr>
          <w:p w14:paraId="39F61506" w14:textId="77777777" w:rsidR="003020DF" w:rsidRPr="00D06532" w:rsidRDefault="003020DF" w:rsidP="003020DF">
            <w:pPr>
              <w:rPr>
                <w:rFonts w:ascii="Times New Roman" w:hAnsi="Times New Roman"/>
                <w:color w:val="000000"/>
                <w:sz w:val="22"/>
                <w:szCs w:val="22"/>
              </w:rPr>
            </w:pPr>
          </w:p>
        </w:tc>
        <w:tc>
          <w:tcPr>
            <w:tcW w:w="1080" w:type="dxa"/>
            <w:hideMark/>
          </w:tcPr>
          <w:p w14:paraId="30915A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535AF8F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640DE9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04C9A84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74961E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653D4736"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7AE1C5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6227588" w14:textId="77777777" w:rsidTr="005F306B">
        <w:trPr>
          <w:trHeight w:val="386"/>
        </w:trPr>
        <w:tc>
          <w:tcPr>
            <w:tcW w:w="1260" w:type="dxa"/>
            <w:vMerge/>
            <w:tcBorders>
              <w:bottom w:val="single" w:sz="4" w:space="0" w:color="auto"/>
            </w:tcBorders>
          </w:tcPr>
          <w:p w14:paraId="43AD4B05"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6A23D97A"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7C5B1547"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4D4C3D94"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00E3291E"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5AD08E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7A3BC881"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287FDD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2088B081" w14:textId="77777777" w:rsidTr="005F306B">
        <w:trPr>
          <w:trHeight w:val="340"/>
        </w:trPr>
        <w:tc>
          <w:tcPr>
            <w:tcW w:w="1260" w:type="dxa"/>
            <w:vMerge w:val="restart"/>
            <w:tcBorders>
              <w:top w:val="single" w:sz="4" w:space="0" w:color="auto"/>
            </w:tcBorders>
            <w:hideMark/>
          </w:tcPr>
          <w:p w14:paraId="4303940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51F4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120ABE0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4129E3F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F1A91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395F269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2578788"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2F733B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779A0728" w14:textId="77777777" w:rsidTr="005F306B">
        <w:trPr>
          <w:trHeight w:val="467"/>
        </w:trPr>
        <w:tc>
          <w:tcPr>
            <w:tcW w:w="1260" w:type="dxa"/>
            <w:vMerge/>
            <w:hideMark/>
          </w:tcPr>
          <w:p w14:paraId="36E80C5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F2E70B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33A834F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5705B3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10C1AE4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71468991"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3A1861FB"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5473C00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47C5E15C" w14:textId="77777777" w:rsidTr="005F306B">
        <w:trPr>
          <w:trHeight w:val="521"/>
        </w:trPr>
        <w:tc>
          <w:tcPr>
            <w:tcW w:w="1260" w:type="dxa"/>
            <w:vMerge/>
            <w:hideMark/>
          </w:tcPr>
          <w:p w14:paraId="6B118217"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B890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58822C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4F521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1B0D4F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68B507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03E0C62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611D9ABB"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3EDB753E" w14:textId="77777777" w:rsidTr="005F306B">
        <w:trPr>
          <w:trHeight w:val="350"/>
        </w:trPr>
        <w:tc>
          <w:tcPr>
            <w:tcW w:w="1260" w:type="dxa"/>
            <w:vMerge/>
            <w:hideMark/>
          </w:tcPr>
          <w:p w14:paraId="0D634FB5"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5F578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25202EA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5EAA38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4336ED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2D4F84B6"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EA2FCA7"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2DC377E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3509C52F" w14:textId="77777777" w:rsidTr="005F306B">
        <w:trPr>
          <w:trHeight w:val="350"/>
        </w:trPr>
        <w:tc>
          <w:tcPr>
            <w:tcW w:w="1260" w:type="dxa"/>
            <w:vMerge/>
            <w:tcBorders>
              <w:bottom w:val="single" w:sz="4" w:space="0" w:color="auto"/>
            </w:tcBorders>
          </w:tcPr>
          <w:p w14:paraId="042D985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643988F5"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0E4812EC"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E0A9B22"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77EE586A"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0DC2DE76"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07DD0367"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44D8322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2DE77EF"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BAC0030" w14:textId="77777777" w:rsidR="00F908FC" w:rsidRPr="00D06532" w:rsidRDefault="00F908FC" w:rsidP="00B96F1D">
      <w:pPr>
        <w:pStyle w:val="TAMainText"/>
        <w:rPr>
          <w:rFonts w:ascii="Times New Roman" w:hAnsi="Times New Roman"/>
          <w:sz w:val="22"/>
          <w:szCs w:val="22"/>
        </w:rPr>
      </w:pPr>
      <w:r>
        <w:rPr>
          <w:sz w:val="22"/>
          <w:szCs w:val="22"/>
        </w:rPr>
        <w:lastRenderedPageBreak/>
        <w:t xml:space="preserve">*Values are averages over 100 equally spaced snapshots from 3 independent 100ns equilibrium MD simulations. </w:t>
      </w:r>
    </w:p>
    <w:p w14:paraId="50900EA6"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418ECEA5"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E9A6FB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w:t>
      </w:r>
      <w:r>
        <w:lastRenderedPageBreak/>
        <w:t>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25BC051D"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391CF04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263A4C87"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5969922"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1D7D68C6"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1282DF6A" w14:textId="77777777" w:rsidTr="00D24828">
        <w:trPr>
          <w:trHeight w:val="539"/>
        </w:trPr>
        <w:tc>
          <w:tcPr>
            <w:tcW w:w="985" w:type="dxa"/>
            <w:tcBorders>
              <w:top w:val="single" w:sz="4" w:space="0" w:color="auto"/>
              <w:bottom w:val="single" w:sz="4" w:space="0" w:color="auto"/>
            </w:tcBorders>
            <w:hideMark/>
          </w:tcPr>
          <w:p w14:paraId="6F2928FA" w14:textId="77777777" w:rsidR="00EA289C" w:rsidRPr="0035326E" w:rsidRDefault="00EA289C" w:rsidP="00EA289C">
            <w:pPr>
              <w:pStyle w:val="TCTableBody"/>
              <w:jc w:val="center"/>
              <w:rPr>
                <w:rFonts w:ascii="Times New Roman" w:hAnsi="Times New Roman"/>
                <w:b/>
                <w:bCs/>
                <w:color w:val="000000"/>
                <w:sz w:val="16"/>
                <w:szCs w:val="16"/>
              </w:rPr>
            </w:pPr>
            <w:r w:rsidRPr="0035326E">
              <w:rPr>
                <w:b/>
                <w:bCs/>
                <w:color w:val="000000"/>
                <w:sz w:val="16"/>
                <w:szCs w:val="16"/>
              </w:rPr>
              <w:t>Category</w:t>
            </w:r>
          </w:p>
        </w:tc>
        <w:tc>
          <w:tcPr>
            <w:tcW w:w="900" w:type="dxa"/>
            <w:tcBorders>
              <w:top w:val="single" w:sz="4" w:space="0" w:color="auto"/>
              <w:bottom w:val="single" w:sz="4" w:space="0" w:color="auto"/>
            </w:tcBorders>
            <w:hideMark/>
          </w:tcPr>
          <w:p w14:paraId="1915EFBD"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sidRPr="0035326E">
              <w:rPr>
                <w:b/>
                <w:bCs/>
                <w:color w:val="000000"/>
                <w:sz w:val="16"/>
                <w:szCs w:val="16"/>
              </w:rPr>
              <w:t>Genotype</w:t>
            </w:r>
          </w:p>
        </w:tc>
        <w:tc>
          <w:tcPr>
            <w:tcW w:w="1080" w:type="dxa"/>
            <w:tcBorders>
              <w:top w:val="single" w:sz="4" w:space="0" w:color="auto"/>
              <w:bottom w:val="single" w:sz="4" w:space="0" w:color="auto"/>
            </w:tcBorders>
            <w:hideMark/>
          </w:tcPr>
          <w:p w14:paraId="799AF54E" w14:textId="77777777" w:rsidR="00EA289C" w:rsidRPr="0035326E" w:rsidRDefault="00453EE8" w:rsidP="00EA289C">
            <w:pPr>
              <w:pStyle w:val="TCTableBody"/>
              <w:jc w:val="center"/>
              <w:rPr>
                <w:rFonts w:ascii="Times New Roman" w:hAnsi="Times New Roman"/>
                <w:b/>
                <w:bCs/>
                <w:color w:val="000000"/>
                <w:sz w:val="16"/>
                <w:szCs w:val="16"/>
              </w:rPr>
            </w:pPr>
            <w:r w:rsidRPr="0035326E">
              <w:rPr>
                <w:b/>
                <w:bCs/>
                <w:sz w:val="16"/>
                <w:szCs w:val="16"/>
              </w:rPr>
              <w:t>Lys103 C=O to DOR triazolinone N (Å)</w:t>
            </w:r>
          </w:p>
        </w:tc>
        <w:tc>
          <w:tcPr>
            <w:tcW w:w="1260" w:type="dxa"/>
            <w:tcBorders>
              <w:top w:val="single" w:sz="4" w:space="0" w:color="auto"/>
              <w:bottom w:val="single" w:sz="4" w:space="0" w:color="auto"/>
            </w:tcBorders>
            <w:hideMark/>
          </w:tcPr>
          <w:p w14:paraId="48C1B4C3" w14:textId="77777777" w:rsidR="00EA289C" w:rsidRPr="0035326E" w:rsidRDefault="00453EE8" w:rsidP="00EA289C">
            <w:pPr>
              <w:pStyle w:val="TCTableBody"/>
              <w:jc w:val="center"/>
              <w:rPr>
                <w:rFonts w:ascii="Times New Roman" w:hAnsi="Times New Roman"/>
                <w:b/>
                <w:bCs/>
                <w:color w:val="000000"/>
                <w:sz w:val="16"/>
                <w:szCs w:val="16"/>
              </w:rPr>
            </w:pPr>
            <w:r w:rsidRPr="0035326E">
              <w:rPr>
                <w:b/>
                <w:bCs/>
                <w:sz w:val="16"/>
                <w:szCs w:val="16"/>
              </w:rPr>
              <w:t>Lys103 side-chain polar atoms to DOR (Å)</w:t>
            </w:r>
          </w:p>
        </w:tc>
        <w:tc>
          <w:tcPr>
            <w:tcW w:w="1530" w:type="dxa"/>
            <w:tcBorders>
              <w:top w:val="single" w:sz="4" w:space="0" w:color="auto"/>
              <w:bottom w:val="single" w:sz="4" w:space="0" w:color="auto"/>
            </w:tcBorders>
            <w:hideMark/>
          </w:tcPr>
          <w:p w14:paraId="4A40673E" w14:textId="77777777" w:rsidR="00EA289C" w:rsidRPr="0035326E" w:rsidRDefault="00EA289C" w:rsidP="00EA289C">
            <w:pPr>
              <w:pStyle w:val="TCTableBody"/>
              <w:jc w:val="center"/>
              <w:rPr>
                <w:rFonts w:ascii="Times New Roman" w:hAnsi="Times New Roman"/>
                <w:b/>
                <w:bCs/>
                <w:color w:val="000000"/>
                <w:sz w:val="16"/>
                <w:szCs w:val="16"/>
              </w:rPr>
            </w:pPr>
            <w:r w:rsidRPr="0035326E">
              <w:rPr>
                <w:b/>
                <w:bCs/>
                <w:sz w:val="16"/>
                <w:szCs w:val="16"/>
              </w:rPr>
              <w:t>RT heavy-atom contacts &lt; 4.0 Å of chlorocyanophenyl ring</w:t>
            </w:r>
          </w:p>
        </w:tc>
        <w:tc>
          <w:tcPr>
            <w:tcW w:w="1530" w:type="dxa"/>
            <w:tcBorders>
              <w:top w:val="single" w:sz="4" w:space="0" w:color="auto"/>
              <w:bottom w:val="single" w:sz="4" w:space="0" w:color="auto"/>
            </w:tcBorders>
          </w:tcPr>
          <w:p w14:paraId="23C59D87" w14:textId="77777777" w:rsidR="00EA289C" w:rsidRPr="0035326E" w:rsidRDefault="00EA289C" w:rsidP="00EA289C">
            <w:pPr>
              <w:pStyle w:val="TCTableBody"/>
              <w:jc w:val="center"/>
              <w:rPr>
                <w:rFonts w:ascii="Times New Roman" w:hAnsi="Times New Roman"/>
                <w:b/>
                <w:bCs/>
                <w:color w:val="000000"/>
                <w:sz w:val="16"/>
                <w:szCs w:val="16"/>
              </w:rPr>
            </w:pPr>
            <w:r w:rsidRPr="0035326E">
              <w:rPr>
                <w:b/>
                <w:bCs/>
                <w:sz w:val="16"/>
                <w:szCs w:val="16"/>
              </w:rPr>
              <w:t>Tyr188 / chlorocyanophenyl interplanar angle (°)</w:t>
            </w:r>
          </w:p>
        </w:tc>
        <w:tc>
          <w:tcPr>
            <w:tcW w:w="1170" w:type="dxa"/>
            <w:tcBorders>
              <w:top w:val="single" w:sz="4" w:space="0" w:color="auto"/>
              <w:bottom w:val="single" w:sz="4" w:space="0" w:color="auto"/>
            </w:tcBorders>
          </w:tcPr>
          <w:p w14:paraId="6F38FC03" w14:textId="77777777" w:rsidR="00EA289C" w:rsidRPr="0035326E" w:rsidRDefault="00EA289C" w:rsidP="00EA289C">
            <w:pPr>
              <w:pStyle w:val="TCTableBody"/>
              <w:jc w:val="center"/>
              <w:rPr>
                <w:rFonts w:ascii="Times New Roman" w:hAnsi="Times New Roman"/>
                <w:b/>
                <w:bCs/>
                <w:color w:val="000000"/>
                <w:sz w:val="16"/>
                <w:szCs w:val="16"/>
              </w:rPr>
            </w:pPr>
            <w:r w:rsidRPr="0035326E">
              <w:rPr>
                <w:b/>
                <w:bCs/>
                <w:sz w:val="16"/>
                <w:szCs w:val="16"/>
              </w:rPr>
              <w:t>Val179 to DOR minimum distance (Å)</w:t>
            </w:r>
          </w:p>
        </w:tc>
        <w:tc>
          <w:tcPr>
            <w:tcW w:w="1260" w:type="dxa"/>
            <w:tcBorders>
              <w:top w:val="single" w:sz="4" w:space="0" w:color="auto"/>
              <w:bottom w:val="single" w:sz="4" w:space="0" w:color="auto"/>
            </w:tcBorders>
          </w:tcPr>
          <w:p w14:paraId="7828F33A" w14:textId="77777777" w:rsidR="00EA289C" w:rsidRPr="0035326E" w:rsidRDefault="00EA289C" w:rsidP="00EA289C">
            <w:pPr>
              <w:pStyle w:val="TCTableBody"/>
              <w:jc w:val="center"/>
              <w:rPr>
                <w:rFonts w:ascii="Times New Roman" w:hAnsi="Times New Roman"/>
                <w:b/>
                <w:bCs/>
                <w:color w:val="000000"/>
                <w:sz w:val="16"/>
                <w:szCs w:val="16"/>
              </w:rPr>
            </w:pPr>
            <w:r w:rsidRPr="0035326E">
              <w:rPr>
                <w:b/>
                <w:bCs/>
                <w:sz w:val="16"/>
                <w:szCs w:val="16"/>
              </w:rPr>
              <w:t>Ser105 to DOR minimum distance (Å)</w:t>
            </w:r>
          </w:p>
        </w:tc>
        <w:tc>
          <w:tcPr>
            <w:tcW w:w="1080" w:type="dxa"/>
            <w:tcBorders>
              <w:top w:val="single" w:sz="4" w:space="0" w:color="auto"/>
              <w:bottom w:val="single" w:sz="4" w:space="0" w:color="auto"/>
            </w:tcBorders>
          </w:tcPr>
          <w:p w14:paraId="5607E6BD" w14:textId="77777777" w:rsidR="00EA289C" w:rsidRPr="0035326E" w:rsidRDefault="00453EE8" w:rsidP="00EA289C">
            <w:pPr>
              <w:pStyle w:val="TCTableBody"/>
              <w:jc w:val="center"/>
              <w:rPr>
                <w:rFonts w:ascii="Times New Roman" w:hAnsi="Times New Roman"/>
                <w:b/>
                <w:bCs/>
                <w:color w:val="000000"/>
                <w:sz w:val="16"/>
                <w:szCs w:val="16"/>
              </w:rPr>
            </w:pPr>
            <w:r w:rsidRPr="0035326E">
              <w:rPr>
                <w:b/>
                <w:bCs/>
                <w:sz w:val="16"/>
                <w:szCs w:val="16"/>
              </w:rPr>
              <w:t>Val106 to DOR minimum distance (Å)</w:t>
            </w:r>
          </w:p>
        </w:tc>
        <w:tc>
          <w:tcPr>
            <w:tcW w:w="990" w:type="dxa"/>
            <w:tcBorders>
              <w:top w:val="single" w:sz="4" w:space="0" w:color="auto"/>
              <w:bottom w:val="single" w:sz="4" w:space="0" w:color="auto"/>
            </w:tcBorders>
          </w:tcPr>
          <w:p w14:paraId="082BC571" w14:textId="77777777" w:rsidR="00EA289C" w:rsidRPr="0035326E" w:rsidRDefault="00EA289C" w:rsidP="00EA289C">
            <w:pPr>
              <w:pStyle w:val="TCTableBody"/>
              <w:jc w:val="center"/>
              <w:rPr>
                <w:rFonts w:ascii="Times New Roman" w:hAnsi="Times New Roman"/>
                <w:b/>
                <w:bCs/>
                <w:color w:val="000000"/>
                <w:sz w:val="16"/>
                <w:szCs w:val="16"/>
              </w:rPr>
            </w:pPr>
            <w:r w:rsidRPr="0035326E">
              <w:rPr>
                <w:b/>
                <w:bCs/>
                <w:sz w:val="16"/>
                <w:szCs w:val="16"/>
              </w:rPr>
              <w:t>Pyridinone moiety contacts &lt; 4.0 Å</w:t>
            </w:r>
          </w:p>
        </w:tc>
        <w:tc>
          <w:tcPr>
            <w:tcW w:w="1080" w:type="dxa"/>
            <w:tcBorders>
              <w:top w:val="single" w:sz="4" w:space="0" w:color="auto"/>
              <w:bottom w:val="single" w:sz="4" w:space="0" w:color="auto"/>
            </w:tcBorders>
          </w:tcPr>
          <w:p w14:paraId="12423F4B" w14:textId="77777777" w:rsidR="00EA289C" w:rsidRPr="0035326E" w:rsidRDefault="00EA289C" w:rsidP="00EA289C">
            <w:pPr>
              <w:pStyle w:val="TCTableBody"/>
              <w:jc w:val="center"/>
              <w:rPr>
                <w:rFonts w:ascii="Times New Roman" w:hAnsi="Times New Roman"/>
                <w:b/>
                <w:bCs/>
                <w:color w:val="000000"/>
                <w:sz w:val="16"/>
                <w:szCs w:val="16"/>
              </w:rPr>
            </w:pPr>
            <w:r w:rsidRPr="0035326E">
              <w:rPr>
                <w:b/>
                <w:bCs/>
                <w:sz w:val="16"/>
                <w:szCs w:val="16"/>
              </w:rPr>
              <w:t>NNIBP volume (Å</w:t>
            </w:r>
            <w:r w:rsidRPr="0035326E">
              <w:rPr>
                <w:b/>
                <w:bCs/>
                <w:sz w:val="16"/>
                <w:szCs w:val="16"/>
                <w:vertAlign w:val="superscript"/>
              </w:rPr>
              <w:t>3</w:t>
            </w:r>
            <w:r w:rsidRPr="0035326E">
              <w:rPr>
                <w:b/>
                <w:bCs/>
                <w:sz w:val="16"/>
                <w:szCs w:val="16"/>
              </w:rPr>
              <w:t>)</w:t>
            </w:r>
          </w:p>
        </w:tc>
      </w:tr>
      <w:tr w:rsidR="00FA0CDB" w:rsidRPr="00C634FF" w14:paraId="6A4BF709" w14:textId="77777777" w:rsidTr="00D24828">
        <w:trPr>
          <w:trHeight w:val="340"/>
        </w:trPr>
        <w:tc>
          <w:tcPr>
            <w:tcW w:w="985" w:type="dxa"/>
            <w:tcBorders>
              <w:top w:val="single" w:sz="4" w:space="0" w:color="auto"/>
              <w:bottom w:val="single" w:sz="4" w:space="0" w:color="auto"/>
            </w:tcBorders>
          </w:tcPr>
          <w:p w14:paraId="41C19DB4" w14:textId="77777777" w:rsidR="00FA0CDB" w:rsidRPr="0035326E" w:rsidRDefault="00FA0CDB" w:rsidP="00FA0CDB">
            <w:pPr>
              <w:pStyle w:val="TCTableBody"/>
              <w:jc w:val="center"/>
              <w:rPr>
                <w:rFonts w:ascii="Times New Roman" w:hAnsi="Times New Roman"/>
                <w:b/>
                <w:bCs/>
                <w:i/>
                <w:iCs/>
                <w:color w:val="000000"/>
                <w:sz w:val="16"/>
                <w:szCs w:val="16"/>
              </w:rPr>
            </w:pPr>
            <w:r w:rsidRPr="0035326E">
              <w:rPr>
                <w:b/>
                <w:bCs/>
                <w:i/>
                <w:iCs/>
                <w:color w:val="000000"/>
                <w:sz w:val="16"/>
                <w:szCs w:val="16"/>
              </w:rPr>
              <w:t>Wild Type</w:t>
            </w:r>
          </w:p>
        </w:tc>
        <w:tc>
          <w:tcPr>
            <w:tcW w:w="900" w:type="dxa"/>
            <w:tcBorders>
              <w:top w:val="single" w:sz="4" w:space="0" w:color="auto"/>
              <w:bottom w:val="single" w:sz="4" w:space="0" w:color="auto"/>
            </w:tcBorders>
          </w:tcPr>
          <w:p w14:paraId="3BCBE512" w14:textId="77777777" w:rsidR="00FA0CDB" w:rsidRPr="0035326E" w:rsidRDefault="00FA0CDB" w:rsidP="00FA0CDB">
            <w:pPr>
              <w:pStyle w:val="TCTableBody"/>
              <w:jc w:val="center"/>
              <w:rPr>
                <w:rFonts w:ascii="Times New Roman" w:hAnsi="Times New Roman"/>
                <w:color w:val="000000"/>
                <w:sz w:val="16"/>
                <w:szCs w:val="16"/>
              </w:rPr>
            </w:pPr>
            <w:r w:rsidRPr="0035326E">
              <w:rPr>
                <w:color w:val="000000"/>
                <w:sz w:val="16"/>
                <w:szCs w:val="16"/>
              </w:rPr>
              <w:t>WT</w:t>
            </w:r>
          </w:p>
        </w:tc>
        <w:tc>
          <w:tcPr>
            <w:tcW w:w="1080" w:type="dxa"/>
            <w:tcBorders>
              <w:top w:val="single" w:sz="4" w:space="0" w:color="auto"/>
              <w:bottom w:val="single" w:sz="4" w:space="0" w:color="auto"/>
            </w:tcBorders>
          </w:tcPr>
          <w:p w14:paraId="181FC5D9" w14:textId="77777777" w:rsidR="00FA0CDB" w:rsidRPr="0035326E" w:rsidRDefault="00FA0CDB" w:rsidP="00FA0CDB">
            <w:pPr>
              <w:pStyle w:val="TCTableBody"/>
              <w:jc w:val="center"/>
              <w:rPr>
                <w:rFonts w:ascii="Times New Roman" w:hAnsi="Times New Roman"/>
                <w:sz w:val="16"/>
                <w:szCs w:val="16"/>
              </w:rPr>
            </w:pPr>
            <w:r w:rsidRPr="0035326E">
              <w:rPr>
                <w:sz w:val="16"/>
                <w:szCs w:val="16"/>
              </w:rPr>
              <w:t>2.97 ± 0.01</w:t>
            </w:r>
          </w:p>
        </w:tc>
        <w:tc>
          <w:tcPr>
            <w:tcW w:w="1260" w:type="dxa"/>
            <w:tcBorders>
              <w:top w:val="single" w:sz="4" w:space="0" w:color="auto"/>
              <w:bottom w:val="single" w:sz="4" w:space="0" w:color="auto"/>
            </w:tcBorders>
          </w:tcPr>
          <w:p w14:paraId="15F5D54D" w14:textId="77777777" w:rsidR="00FA0CDB" w:rsidRPr="0035326E" w:rsidRDefault="00FA0CDB" w:rsidP="00FA0CDB">
            <w:pPr>
              <w:pStyle w:val="TCTableBody"/>
              <w:jc w:val="center"/>
              <w:rPr>
                <w:rFonts w:ascii="Times New Roman" w:hAnsi="Times New Roman"/>
                <w:sz w:val="16"/>
                <w:szCs w:val="16"/>
              </w:rPr>
            </w:pPr>
            <w:r w:rsidRPr="0035326E">
              <w:rPr>
                <w:sz w:val="16"/>
                <w:szCs w:val="16"/>
              </w:rPr>
              <w:t>8.38 ± 0.15</w:t>
            </w:r>
          </w:p>
        </w:tc>
        <w:tc>
          <w:tcPr>
            <w:tcW w:w="1530" w:type="dxa"/>
            <w:tcBorders>
              <w:top w:val="single" w:sz="4" w:space="0" w:color="auto"/>
              <w:bottom w:val="single" w:sz="4" w:space="0" w:color="auto"/>
            </w:tcBorders>
          </w:tcPr>
          <w:p w14:paraId="130498AF"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19.5 ± 0.5</w:t>
            </w:r>
          </w:p>
        </w:tc>
        <w:tc>
          <w:tcPr>
            <w:tcW w:w="1530" w:type="dxa"/>
            <w:tcBorders>
              <w:top w:val="single" w:sz="4" w:space="0" w:color="auto"/>
              <w:bottom w:val="single" w:sz="4" w:space="0" w:color="auto"/>
            </w:tcBorders>
          </w:tcPr>
          <w:p w14:paraId="32621D69"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13.4 ± 0.4</w:t>
            </w:r>
          </w:p>
        </w:tc>
        <w:tc>
          <w:tcPr>
            <w:tcW w:w="1170" w:type="dxa"/>
            <w:tcBorders>
              <w:top w:val="single" w:sz="4" w:space="0" w:color="auto"/>
              <w:bottom w:val="single" w:sz="4" w:space="0" w:color="auto"/>
            </w:tcBorders>
          </w:tcPr>
          <w:p w14:paraId="790F0295"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3.62 ± 0.06</w:t>
            </w:r>
          </w:p>
        </w:tc>
        <w:tc>
          <w:tcPr>
            <w:tcW w:w="1260" w:type="dxa"/>
            <w:tcBorders>
              <w:top w:val="single" w:sz="4" w:space="0" w:color="auto"/>
              <w:bottom w:val="single" w:sz="4" w:space="0" w:color="auto"/>
            </w:tcBorders>
          </w:tcPr>
          <w:p w14:paraId="4FE30C3C"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6.65 ± 0.09</w:t>
            </w:r>
          </w:p>
        </w:tc>
        <w:tc>
          <w:tcPr>
            <w:tcW w:w="1080" w:type="dxa"/>
            <w:tcBorders>
              <w:top w:val="single" w:sz="4" w:space="0" w:color="auto"/>
              <w:bottom w:val="single" w:sz="4" w:space="0" w:color="auto"/>
            </w:tcBorders>
          </w:tcPr>
          <w:p w14:paraId="5459283F"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3.36 ± 0.07</w:t>
            </w:r>
          </w:p>
        </w:tc>
        <w:tc>
          <w:tcPr>
            <w:tcW w:w="990" w:type="dxa"/>
            <w:tcBorders>
              <w:top w:val="single" w:sz="4" w:space="0" w:color="auto"/>
              <w:bottom w:val="single" w:sz="4" w:space="0" w:color="auto"/>
            </w:tcBorders>
          </w:tcPr>
          <w:p w14:paraId="7B69D98A"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14.8 ± 1.4</w:t>
            </w:r>
          </w:p>
        </w:tc>
        <w:tc>
          <w:tcPr>
            <w:tcW w:w="1080" w:type="dxa"/>
            <w:tcBorders>
              <w:top w:val="single" w:sz="4" w:space="0" w:color="auto"/>
              <w:bottom w:val="single" w:sz="4" w:space="0" w:color="auto"/>
            </w:tcBorders>
          </w:tcPr>
          <w:p w14:paraId="26CB8F7A"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228.4 ± 11.7</w:t>
            </w:r>
          </w:p>
        </w:tc>
      </w:tr>
      <w:tr w:rsidR="00FA0CDB" w:rsidRPr="00C634FF" w14:paraId="446F738F" w14:textId="77777777" w:rsidTr="00D24828">
        <w:trPr>
          <w:trHeight w:val="340"/>
        </w:trPr>
        <w:tc>
          <w:tcPr>
            <w:tcW w:w="985" w:type="dxa"/>
            <w:vMerge w:val="restart"/>
            <w:tcBorders>
              <w:top w:val="single" w:sz="4" w:space="0" w:color="auto"/>
            </w:tcBorders>
            <w:hideMark/>
          </w:tcPr>
          <w:p w14:paraId="7F510B8D" w14:textId="77777777" w:rsidR="00FA0CDB" w:rsidRPr="0035326E" w:rsidRDefault="00FA0CDB" w:rsidP="00FA0CDB">
            <w:pPr>
              <w:pStyle w:val="TCTableBody"/>
              <w:jc w:val="center"/>
              <w:rPr>
                <w:rFonts w:ascii="Times New Roman" w:hAnsi="Times New Roman"/>
                <w:b/>
                <w:bCs/>
                <w:i/>
                <w:iCs/>
                <w:color w:val="000000"/>
                <w:sz w:val="16"/>
                <w:szCs w:val="16"/>
              </w:rPr>
            </w:pPr>
            <w:r w:rsidRPr="0035326E">
              <w:rPr>
                <w:b/>
                <w:bCs/>
                <w:i/>
                <w:iCs/>
                <w:color w:val="000000"/>
                <w:sz w:val="16"/>
                <w:szCs w:val="16"/>
              </w:rPr>
              <w:t>Susceptible</w:t>
            </w:r>
          </w:p>
        </w:tc>
        <w:tc>
          <w:tcPr>
            <w:tcW w:w="900" w:type="dxa"/>
            <w:tcBorders>
              <w:top w:val="single" w:sz="4" w:space="0" w:color="auto"/>
            </w:tcBorders>
            <w:hideMark/>
          </w:tcPr>
          <w:p w14:paraId="63352704" w14:textId="77777777" w:rsidR="00FA0CDB" w:rsidRPr="0035326E" w:rsidRDefault="00FA0CDB" w:rsidP="00FA0CDB">
            <w:pPr>
              <w:pStyle w:val="TCTableBody"/>
              <w:jc w:val="center"/>
              <w:rPr>
                <w:rFonts w:ascii="Times New Roman" w:hAnsi="Times New Roman"/>
                <w:color w:val="000000"/>
                <w:sz w:val="16"/>
                <w:szCs w:val="16"/>
              </w:rPr>
            </w:pPr>
            <w:r w:rsidRPr="0035326E">
              <w:rPr>
                <w:color w:val="000000"/>
                <w:sz w:val="16"/>
                <w:szCs w:val="16"/>
              </w:rPr>
              <w:t>V106I</w:t>
            </w:r>
          </w:p>
        </w:tc>
        <w:tc>
          <w:tcPr>
            <w:tcW w:w="1080" w:type="dxa"/>
            <w:tcBorders>
              <w:top w:val="single" w:sz="4" w:space="0" w:color="auto"/>
            </w:tcBorders>
            <w:hideMark/>
          </w:tcPr>
          <w:p w14:paraId="0926BBF8"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3.62 ± 0.30</w:t>
            </w:r>
          </w:p>
        </w:tc>
        <w:tc>
          <w:tcPr>
            <w:tcW w:w="1260" w:type="dxa"/>
            <w:tcBorders>
              <w:top w:val="single" w:sz="4" w:space="0" w:color="auto"/>
            </w:tcBorders>
            <w:hideMark/>
          </w:tcPr>
          <w:p w14:paraId="2E05C1B5"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9.20 ± 0.50</w:t>
            </w:r>
          </w:p>
        </w:tc>
        <w:tc>
          <w:tcPr>
            <w:tcW w:w="1530" w:type="dxa"/>
            <w:tcBorders>
              <w:top w:val="single" w:sz="4" w:space="0" w:color="auto"/>
            </w:tcBorders>
            <w:hideMark/>
          </w:tcPr>
          <w:p w14:paraId="2DE50177"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20.2 ± 0.3</w:t>
            </w:r>
          </w:p>
        </w:tc>
        <w:tc>
          <w:tcPr>
            <w:tcW w:w="1530" w:type="dxa"/>
            <w:tcBorders>
              <w:top w:val="single" w:sz="4" w:space="0" w:color="auto"/>
            </w:tcBorders>
          </w:tcPr>
          <w:p w14:paraId="4575FB5C"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14.7 ± 2.3</w:t>
            </w:r>
          </w:p>
        </w:tc>
        <w:tc>
          <w:tcPr>
            <w:tcW w:w="1170" w:type="dxa"/>
            <w:tcBorders>
              <w:top w:val="single" w:sz="4" w:space="0" w:color="auto"/>
            </w:tcBorders>
          </w:tcPr>
          <w:p w14:paraId="5A38DD0D"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3.74 ± 0.20</w:t>
            </w:r>
          </w:p>
        </w:tc>
        <w:tc>
          <w:tcPr>
            <w:tcW w:w="1260" w:type="dxa"/>
            <w:tcBorders>
              <w:top w:val="single" w:sz="4" w:space="0" w:color="auto"/>
            </w:tcBorders>
          </w:tcPr>
          <w:p w14:paraId="52851363"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7.15 ± 0.14</w:t>
            </w:r>
          </w:p>
        </w:tc>
        <w:tc>
          <w:tcPr>
            <w:tcW w:w="1080" w:type="dxa"/>
            <w:tcBorders>
              <w:top w:val="single" w:sz="4" w:space="0" w:color="auto"/>
            </w:tcBorders>
          </w:tcPr>
          <w:p w14:paraId="5645AABC"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3.22 ± 0.09</w:t>
            </w:r>
          </w:p>
        </w:tc>
        <w:tc>
          <w:tcPr>
            <w:tcW w:w="990" w:type="dxa"/>
            <w:tcBorders>
              <w:top w:val="single" w:sz="4" w:space="0" w:color="auto"/>
            </w:tcBorders>
          </w:tcPr>
          <w:p w14:paraId="49B3CC1B"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16.0 ± 0.8</w:t>
            </w:r>
          </w:p>
        </w:tc>
        <w:tc>
          <w:tcPr>
            <w:tcW w:w="1080" w:type="dxa"/>
            <w:tcBorders>
              <w:top w:val="single" w:sz="4" w:space="0" w:color="auto"/>
            </w:tcBorders>
          </w:tcPr>
          <w:p w14:paraId="11AA1189"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247.3 ± 6.7</w:t>
            </w:r>
          </w:p>
        </w:tc>
      </w:tr>
      <w:tr w:rsidR="00FA0CDB" w:rsidRPr="00C634FF" w14:paraId="594E5961" w14:textId="77777777" w:rsidTr="00D24828">
        <w:trPr>
          <w:trHeight w:val="340"/>
        </w:trPr>
        <w:tc>
          <w:tcPr>
            <w:tcW w:w="985" w:type="dxa"/>
            <w:vMerge/>
            <w:hideMark/>
          </w:tcPr>
          <w:p w14:paraId="02B11709" w14:textId="77777777" w:rsidR="00FA0CDB" w:rsidRPr="0035326E" w:rsidRDefault="00FA0CDB" w:rsidP="00FA0CDB">
            <w:pPr>
              <w:rPr>
                <w:rFonts w:ascii="Times New Roman" w:hAnsi="Times New Roman"/>
                <w:color w:val="000000"/>
                <w:sz w:val="16"/>
                <w:szCs w:val="16"/>
              </w:rPr>
            </w:pPr>
          </w:p>
        </w:tc>
        <w:tc>
          <w:tcPr>
            <w:tcW w:w="900" w:type="dxa"/>
            <w:hideMark/>
          </w:tcPr>
          <w:p w14:paraId="5ECD5ED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K103N</w:t>
            </w:r>
          </w:p>
        </w:tc>
        <w:tc>
          <w:tcPr>
            <w:tcW w:w="1080" w:type="dxa"/>
            <w:hideMark/>
          </w:tcPr>
          <w:p w14:paraId="07BBCB7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3.08 ± 0.06</w:t>
            </w:r>
          </w:p>
        </w:tc>
        <w:tc>
          <w:tcPr>
            <w:tcW w:w="1260" w:type="dxa"/>
            <w:hideMark/>
          </w:tcPr>
          <w:p w14:paraId="4A78E2DA"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5.07 ± 0.04</w:t>
            </w:r>
          </w:p>
        </w:tc>
        <w:tc>
          <w:tcPr>
            <w:tcW w:w="1530" w:type="dxa"/>
            <w:hideMark/>
          </w:tcPr>
          <w:p w14:paraId="1AA3AA80"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20.3 ± 0.6</w:t>
            </w:r>
          </w:p>
        </w:tc>
        <w:tc>
          <w:tcPr>
            <w:tcW w:w="1530" w:type="dxa"/>
          </w:tcPr>
          <w:p w14:paraId="13D0BA28"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14.2 ± 1.7</w:t>
            </w:r>
          </w:p>
        </w:tc>
        <w:tc>
          <w:tcPr>
            <w:tcW w:w="1170" w:type="dxa"/>
          </w:tcPr>
          <w:p w14:paraId="49825936"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3.77 ± 0.13</w:t>
            </w:r>
          </w:p>
        </w:tc>
        <w:tc>
          <w:tcPr>
            <w:tcW w:w="1260" w:type="dxa"/>
          </w:tcPr>
          <w:p w14:paraId="28A54DCD"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6.48 ± 0.10</w:t>
            </w:r>
          </w:p>
        </w:tc>
        <w:tc>
          <w:tcPr>
            <w:tcW w:w="1080" w:type="dxa"/>
          </w:tcPr>
          <w:p w14:paraId="68A67B8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3.15 ± 0.14</w:t>
            </w:r>
          </w:p>
        </w:tc>
        <w:tc>
          <w:tcPr>
            <w:tcW w:w="990" w:type="dxa"/>
          </w:tcPr>
          <w:p w14:paraId="55DCC905"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17.4 ± 1.7</w:t>
            </w:r>
          </w:p>
        </w:tc>
        <w:tc>
          <w:tcPr>
            <w:tcW w:w="1080" w:type="dxa"/>
          </w:tcPr>
          <w:p w14:paraId="1218B7C2"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236.8 ± 3.7</w:t>
            </w:r>
          </w:p>
        </w:tc>
      </w:tr>
      <w:tr w:rsidR="00FA0CDB" w:rsidRPr="00C634FF" w14:paraId="4A928BC3" w14:textId="77777777" w:rsidTr="00D24828">
        <w:trPr>
          <w:trHeight w:val="340"/>
        </w:trPr>
        <w:tc>
          <w:tcPr>
            <w:tcW w:w="985" w:type="dxa"/>
            <w:vMerge/>
            <w:hideMark/>
          </w:tcPr>
          <w:p w14:paraId="2DC7B827" w14:textId="77777777" w:rsidR="00FA0CDB" w:rsidRPr="0035326E" w:rsidRDefault="00FA0CDB" w:rsidP="00FA0CDB">
            <w:pPr>
              <w:rPr>
                <w:rFonts w:ascii="Times New Roman" w:hAnsi="Times New Roman"/>
                <w:color w:val="000000"/>
                <w:sz w:val="16"/>
                <w:szCs w:val="16"/>
              </w:rPr>
            </w:pPr>
          </w:p>
        </w:tc>
        <w:tc>
          <w:tcPr>
            <w:tcW w:w="900" w:type="dxa"/>
            <w:hideMark/>
          </w:tcPr>
          <w:p w14:paraId="61F088C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Y181C</w:t>
            </w:r>
          </w:p>
        </w:tc>
        <w:tc>
          <w:tcPr>
            <w:tcW w:w="1080" w:type="dxa"/>
            <w:hideMark/>
          </w:tcPr>
          <w:p w14:paraId="63BD4277"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2.95 ± 0.06</w:t>
            </w:r>
          </w:p>
        </w:tc>
        <w:tc>
          <w:tcPr>
            <w:tcW w:w="1260" w:type="dxa"/>
            <w:hideMark/>
          </w:tcPr>
          <w:p w14:paraId="6EABC431"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8.17 ± 0.26</w:t>
            </w:r>
          </w:p>
        </w:tc>
        <w:tc>
          <w:tcPr>
            <w:tcW w:w="1530" w:type="dxa"/>
            <w:hideMark/>
          </w:tcPr>
          <w:p w14:paraId="4E927A65"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24.0 ± 2.6</w:t>
            </w:r>
          </w:p>
        </w:tc>
        <w:tc>
          <w:tcPr>
            <w:tcW w:w="1530" w:type="dxa"/>
          </w:tcPr>
          <w:p w14:paraId="646E526D"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14.9 ± 1.6</w:t>
            </w:r>
          </w:p>
        </w:tc>
        <w:tc>
          <w:tcPr>
            <w:tcW w:w="1170" w:type="dxa"/>
          </w:tcPr>
          <w:p w14:paraId="775D025A"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3.51 ± 0.13</w:t>
            </w:r>
          </w:p>
        </w:tc>
        <w:tc>
          <w:tcPr>
            <w:tcW w:w="1260" w:type="dxa"/>
          </w:tcPr>
          <w:p w14:paraId="46301FF8"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5.99 ± 0.15</w:t>
            </w:r>
          </w:p>
        </w:tc>
        <w:tc>
          <w:tcPr>
            <w:tcW w:w="1080" w:type="dxa"/>
          </w:tcPr>
          <w:p w14:paraId="3F474EE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3.05 ± 0.17</w:t>
            </w:r>
          </w:p>
        </w:tc>
        <w:tc>
          <w:tcPr>
            <w:tcW w:w="990" w:type="dxa"/>
          </w:tcPr>
          <w:p w14:paraId="2DA9C2CA"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16.4 ± 1.1</w:t>
            </w:r>
          </w:p>
        </w:tc>
        <w:tc>
          <w:tcPr>
            <w:tcW w:w="1080" w:type="dxa"/>
          </w:tcPr>
          <w:p w14:paraId="64A289EF"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257.3 ± 1.6</w:t>
            </w:r>
          </w:p>
        </w:tc>
      </w:tr>
      <w:tr w:rsidR="00FA0CDB" w:rsidRPr="00C634FF" w14:paraId="236BD366" w14:textId="77777777" w:rsidTr="00D24828">
        <w:trPr>
          <w:trHeight w:val="359"/>
        </w:trPr>
        <w:tc>
          <w:tcPr>
            <w:tcW w:w="985" w:type="dxa"/>
            <w:vMerge/>
            <w:tcBorders>
              <w:bottom w:val="single" w:sz="4" w:space="0" w:color="auto"/>
            </w:tcBorders>
            <w:hideMark/>
          </w:tcPr>
          <w:p w14:paraId="73088DEE"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2A39D85A"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G190A</w:t>
            </w:r>
          </w:p>
        </w:tc>
        <w:tc>
          <w:tcPr>
            <w:tcW w:w="1080" w:type="dxa"/>
            <w:tcBorders>
              <w:bottom w:val="single" w:sz="4" w:space="0" w:color="auto"/>
            </w:tcBorders>
            <w:hideMark/>
          </w:tcPr>
          <w:p w14:paraId="082DB5F6"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3.01 ± 0.03</w:t>
            </w:r>
          </w:p>
        </w:tc>
        <w:tc>
          <w:tcPr>
            <w:tcW w:w="1260" w:type="dxa"/>
            <w:tcBorders>
              <w:bottom w:val="single" w:sz="4" w:space="0" w:color="auto"/>
            </w:tcBorders>
            <w:hideMark/>
          </w:tcPr>
          <w:p w14:paraId="5CAA59DC"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8.56 ± 0.20</w:t>
            </w:r>
          </w:p>
        </w:tc>
        <w:tc>
          <w:tcPr>
            <w:tcW w:w="1530" w:type="dxa"/>
            <w:tcBorders>
              <w:bottom w:val="single" w:sz="4" w:space="0" w:color="auto"/>
            </w:tcBorders>
            <w:hideMark/>
          </w:tcPr>
          <w:p w14:paraId="0E462F4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20.0 ± 1.2</w:t>
            </w:r>
          </w:p>
        </w:tc>
        <w:tc>
          <w:tcPr>
            <w:tcW w:w="1530" w:type="dxa"/>
            <w:tcBorders>
              <w:bottom w:val="single" w:sz="4" w:space="0" w:color="auto"/>
            </w:tcBorders>
          </w:tcPr>
          <w:p w14:paraId="359189C5"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16.0 ± 1.8</w:t>
            </w:r>
          </w:p>
        </w:tc>
        <w:tc>
          <w:tcPr>
            <w:tcW w:w="1170" w:type="dxa"/>
            <w:tcBorders>
              <w:bottom w:val="single" w:sz="4" w:space="0" w:color="auto"/>
            </w:tcBorders>
          </w:tcPr>
          <w:p w14:paraId="2B5F1A84"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3.51 ± 0.05</w:t>
            </w:r>
          </w:p>
        </w:tc>
        <w:tc>
          <w:tcPr>
            <w:tcW w:w="1260" w:type="dxa"/>
            <w:tcBorders>
              <w:bottom w:val="single" w:sz="4" w:space="0" w:color="auto"/>
            </w:tcBorders>
          </w:tcPr>
          <w:p w14:paraId="7A890C85"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6.81 ± 0.08</w:t>
            </w:r>
          </w:p>
        </w:tc>
        <w:tc>
          <w:tcPr>
            <w:tcW w:w="1080" w:type="dxa"/>
            <w:tcBorders>
              <w:bottom w:val="single" w:sz="4" w:space="0" w:color="auto"/>
            </w:tcBorders>
          </w:tcPr>
          <w:p w14:paraId="76B250F6"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3.26 ± 0.10</w:t>
            </w:r>
          </w:p>
        </w:tc>
        <w:tc>
          <w:tcPr>
            <w:tcW w:w="990" w:type="dxa"/>
            <w:tcBorders>
              <w:bottom w:val="single" w:sz="4" w:space="0" w:color="auto"/>
            </w:tcBorders>
          </w:tcPr>
          <w:p w14:paraId="31D8D6F1"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14.5 ± 0.7</w:t>
            </w:r>
          </w:p>
        </w:tc>
        <w:tc>
          <w:tcPr>
            <w:tcW w:w="1080" w:type="dxa"/>
            <w:tcBorders>
              <w:bottom w:val="single" w:sz="4" w:space="0" w:color="auto"/>
            </w:tcBorders>
          </w:tcPr>
          <w:p w14:paraId="66BAB2D7"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233.3 ± 1.5</w:t>
            </w:r>
          </w:p>
        </w:tc>
      </w:tr>
      <w:tr w:rsidR="00FA0CDB" w:rsidRPr="00C634FF" w14:paraId="4878E7CB" w14:textId="77777777" w:rsidTr="00D24828">
        <w:trPr>
          <w:trHeight w:val="340"/>
        </w:trPr>
        <w:tc>
          <w:tcPr>
            <w:tcW w:w="985" w:type="dxa"/>
            <w:vMerge w:val="restart"/>
            <w:tcBorders>
              <w:top w:val="single" w:sz="4" w:space="0" w:color="auto"/>
            </w:tcBorders>
            <w:hideMark/>
          </w:tcPr>
          <w:p w14:paraId="7A99BC1B" w14:textId="77777777" w:rsidR="00FA0CDB" w:rsidRPr="0035326E" w:rsidRDefault="00FA0CDB" w:rsidP="00FA0CDB">
            <w:pPr>
              <w:pStyle w:val="TCTableBody"/>
              <w:jc w:val="center"/>
              <w:rPr>
                <w:rFonts w:ascii="Times New Roman" w:hAnsi="Times New Roman"/>
                <w:b/>
                <w:bCs/>
                <w:i/>
                <w:iCs/>
                <w:color w:val="000000"/>
                <w:sz w:val="16"/>
                <w:szCs w:val="16"/>
              </w:rPr>
            </w:pPr>
            <w:r w:rsidRPr="0035326E">
              <w:rPr>
                <w:b/>
                <w:bCs/>
                <w:i/>
                <w:iCs/>
                <w:color w:val="000000"/>
                <w:sz w:val="16"/>
                <w:szCs w:val="16"/>
              </w:rPr>
              <w:t>Resistant</w:t>
            </w:r>
          </w:p>
        </w:tc>
        <w:tc>
          <w:tcPr>
            <w:tcW w:w="900" w:type="dxa"/>
            <w:tcBorders>
              <w:top w:val="single" w:sz="4" w:space="0" w:color="auto"/>
            </w:tcBorders>
            <w:hideMark/>
          </w:tcPr>
          <w:p w14:paraId="76D23FA8"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Y318F</w:t>
            </w:r>
          </w:p>
        </w:tc>
        <w:tc>
          <w:tcPr>
            <w:tcW w:w="1080" w:type="dxa"/>
            <w:tcBorders>
              <w:top w:val="single" w:sz="4" w:space="0" w:color="auto"/>
            </w:tcBorders>
            <w:hideMark/>
          </w:tcPr>
          <w:p w14:paraId="7AE106CA"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2.99 ± 0.06</w:t>
            </w:r>
          </w:p>
        </w:tc>
        <w:tc>
          <w:tcPr>
            <w:tcW w:w="1260" w:type="dxa"/>
            <w:tcBorders>
              <w:top w:val="single" w:sz="4" w:space="0" w:color="auto"/>
            </w:tcBorders>
            <w:hideMark/>
          </w:tcPr>
          <w:p w14:paraId="25CE6FD7"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8.29 ± 0.05</w:t>
            </w:r>
          </w:p>
        </w:tc>
        <w:tc>
          <w:tcPr>
            <w:tcW w:w="1530" w:type="dxa"/>
            <w:tcBorders>
              <w:top w:val="single" w:sz="4" w:space="0" w:color="auto"/>
            </w:tcBorders>
            <w:hideMark/>
          </w:tcPr>
          <w:p w14:paraId="7BA559B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19.2 ± 0.2</w:t>
            </w:r>
          </w:p>
        </w:tc>
        <w:tc>
          <w:tcPr>
            <w:tcW w:w="1530" w:type="dxa"/>
            <w:tcBorders>
              <w:top w:val="single" w:sz="4" w:space="0" w:color="auto"/>
            </w:tcBorders>
          </w:tcPr>
          <w:p w14:paraId="116F3CFD"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14.2 ± 0.2</w:t>
            </w:r>
          </w:p>
        </w:tc>
        <w:tc>
          <w:tcPr>
            <w:tcW w:w="1170" w:type="dxa"/>
            <w:tcBorders>
              <w:top w:val="single" w:sz="4" w:space="0" w:color="auto"/>
            </w:tcBorders>
          </w:tcPr>
          <w:p w14:paraId="73836D48"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3.69 ± 0.04</w:t>
            </w:r>
          </w:p>
        </w:tc>
        <w:tc>
          <w:tcPr>
            <w:tcW w:w="1260" w:type="dxa"/>
            <w:tcBorders>
              <w:top w:val="single" w:sz="4" w:space="0" w:color="auto"/>
            </w:tcBorders>
          </w:tcPr>
          <w:p w14:paraId="140445EA"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6.61 ± 0.09</w:t>
            </w:r>
          </w:p>
        </w:tc>
        <w:tc>
          <w:tcPr>
            <w:tcW w:w="1080" w:type="dxa"/>
            <w:tcBorders>
              <w:top w:val="single" w:sz="4" w:space="0" w:color="auto"/>
            </w:tcBorders>
          </w:tcPr>
          <w:p w14:paraId="02FAE4EC"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3.30 ± 0.00</w:t>
            </w:r>
          </w:p>
        </w:tc>
        <w:tc>
          <w:tcPr>
            <w:tcW w:w="990" w:type="dxa"/>
            <w:tcBorders>
              <w:top w:val="single" w:sz="4" w:space="0" w:color="auto"/>
            </w:tcBorders>
          </w:tcPr>
          <w:p w14:paraId="6E2CED13"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14.2 ± 0.4</w:t>
            </w:r>
          </w:p>
        </w:tc>
        <w:tc>
          <w:tcPr>
            <w:tcW w:w="1080" w:type="dxa"/>
            <w:tcBorders>
              <w:top w:val="single" w:sz="4" w:space="0" w:color="auto"/>
            </w:tcBorders>
          </w:tcPr>
          <w:p w14:paraId="4C8FECB6"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233.8 ± 7.8</w:t>
            </w:r>
          </w:p>
        </w:tc>
      </w:tr>
      <w:tr w:rsidR="00FA0CDB" w:rsidRPr="00C634FF" w14:paraId="5C0E3FFA" w14:textId="77777777" w:rsidTr="00D24828">
        <w:trPr>
          <w:trHeight w:val="340"/>
        </w:trPr>
        <w:tc>
          <w:tcPr>
            <w:tcW w:w="985" w:type="dxa"/>
            <w:vMerge/>
            <w:hideMark/>
          </w:tcPr>
          <w:p w14:paraId="6161433E" w14:textId="77777777" w:rsidR="00FA0CDB" w:rsidRPr="0035326E" w:rsidRDefault="00FA0CDB" w:rsidP="00FA0CDB">
            <w:pPr>
              <w:rPr>
                <w:rFonts w:ascii="Times New Roman" w:hAnsi="Times New Roman"/>
                <w:color w:val="000000"/>
                <w:sz w:val="16"/>
                <w:szCs w:val="16"/>
              </w:rPr>
            </w:pPr>
          </w:p>
        </w:tc>
        <w:tc>
          <w:tcPr>
            <w:tcW w:w="900" w:type="dxa"/>
            <w:hideMark/>
          </w:tcPr>
          <w:p w14:paraId="6B5D7BF6"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V106A</w:t>
            </w:r>
          </w:p>
        </w:tc>
        <w:tc>
          <w:tcPr>
            <w:tcW w:w="1080" w:type="dxa"/>
            <w:hideMark/>
          </w:tcPr>
          <w:p w14:paraId="7C696F6B"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3.05 ± 0.08</w:t>
            </w:r>
          </w:p>
        </w:tc>
        <w:tc>
          <w:tcPr>
            <w:tcW w:w="1260" w:type="dxa"/>
            <w:hideMark/>
          </w:tcPr>
          <w:p w14:paraId="73E4610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8.45 ± 0.07</w:t>
            </w:r>
          </w:p>
        </w:tc>
        <w:tc>
          <w:tcPr>
            <w:tcW w:w="1530" w:type="dxa"/>
            <w:hideMark/>
          </w:tcPr>
          <w:p w14:paraId="1B6ACE1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17.8 ± 0.7</w:t>
            </w:r>
          </w:p>
        </w:tc>
        <w:tc>
          <w:tcPr>
            <w:tcW w:w="1530" w:type="dxa"/>
          </w:tcPr>
          <w:p w14:paraId="6B720B85" w14:textId="77777777" w:rsidR="00FA0CDB" w:rsidRPr="0035326E" w:rsidRDefault="00FA0CDB" w:rsidP="00FA0CDB">
            <w:pPr>
              <w:pStyle w:val="TCTableBody"/>
              <w:jc w:val="center"/>
              <w:rPr>
                <w:rFonts w:ascii="Times New Roman" w:hAnsi="Times New Roman"/>
                <w:sz w:val="16"/>
                <w:szCs w:val="16"/>
              </w:rPr>
            </w:pPr>
            <w:r w:rsidRPr="0035326E">
              <w:rPr>
                <w:sz w:val="16"/>
                <w:szCs w:val="16"/>
              </w:rPr>
              <w:t>20.5 ± 7.1</w:t>
            </w:r>
          </w:p>
        </w:tc>
        <w:tc>
          <w:tcPr>
            <w:tcW w:w="1170" w:type="dxa"/>
          </w:tcPr>
          <w:p w14:paraId="1130D71E"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3.55 ± 0.07</w:t>
            </w:r>
          </w:p>
        </w:tc>
        <w:tc>
          <w:tcPr>
            <w:tcW w:w="1260" w:type="dxa"/>
          </w:tcPr>
          <w:p w14:paraId="19B95FA9"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5.30 ± 0.02</w:t>
            </w:r>
          </w:p>
        </w:tc>
        <w:tc>
          <w:tcPr>
            <w:tcW w:w="1080" w:type="dxa"/>
          </w:tcPr>
          <w:p w14:paraId="77978DFD"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3.54 ± 0.10</w:t>
            </w:r>
          </w:p>
        </w:tc>
        <w:tc>
          <w:tcPr>
            <w:tcW w:w="990" w:type="dxa"/>
          </w:tcPr>
          <w:p w14:paraId="0C2F1A93"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11.6 ± 1.7</w:t>
            </w:r>
          </w:p>
        </w:tc>
        <w:tc>
          <w:tcPr>
            <w:tcW w:w="1080" w:type="dxa"/>
          </w:tcPr>
          <w:p w14:paraId="061B3007"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250.5 ± 7.9</w:t>
            </w:r>
          </w:p>
        </w:tc>
      </w:tr>
      <w:tr w:rsidR="00FA0CDB" w:rsidRPr="00C634FF" w14:paraId="729F8757" w14:textId="77777777" w:rsidTr="00D24828">
        <w:trPr>
          <w:trHeight w:val="340"/>
        </w:trPr>
        <w:tc>
          <w:tcPr>
            <w:tcW w:w="985" w:type="dxa"/>
            <w:vMerge/>
            <w:hideMark/>
          </w:tcPr>
          <w:p w14:paraId="29B945F2" w14:textId="77777777" w:rsidR="00FA0CDB" w:rsidRPr="0035326E" w:rsidRDefault="00FA0CDB" w:rsidP="00FA0CDB">
            <w:pPr>
              <w:rPr>
                <w:rFonts w:ascii="Times New Roman" w:hAnsi="Times New Roman"/>
                <w:color w:val="000000"/>
                <w:sz w:val="16"/>
                <w:szCs w:val="16"/>
              </w:rPr>
            </w:pPr>
          </w:p>
        </w:tc>
        <w:tc>
          <w:tcPr>
            <w:tcW w:w="900" w:type="dxa"/>
            <w:hideMark/>
          </w:tcPr>
          <w:p w14:paraId="43BD0C83"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A98G + F227C</w:t>
            </w:r>
          </w:p>
        </w:tc>
        <w:tc>
          <w:tcPr>
            <w:tcW w:w="1080" w:type="dxa"/>
            <w:hideMark/>
          </w:tcPr>
          <w:p w14:paraId="4695CEE3"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2.97 ± 0.01</w:t>
            </w:r>
          </w:p>
        </w:tc>
        <w:tc>
          <w:tcPr>
            <w:tcW w:w="1260" w:type="dxa"/>
            <w:hideMark/>
          </w:tcPr>
          <w:p w14:paraId="7C2EB75F"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8.32 ± 0.07</w:t>
            </w:r>
          </w:p>
        </w:tc>
        <w:tc>
          <w:tcPr>
            <w:tcW w:w="1530" w:type="dxa"/>
            <w:hideMark/>
          </w:tcPr>
          <w:p w14:paraId="273DC0B5"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20.4 ± 3.5</w:t>
            </w:r>
          </w:p>
        </w:tc>
        <w:tc>
          <w:tcPr>
            <w:tcW w:w="1530" w:type="dxa"/>
          </w:tcPr>
          <w:p w14:paraId="0716A9B6" w14:textId="77777777" w:rsidR="00FA0CDB" w:rsidRPr="0035326E" w:rsidRDefault="00FA0CDB" w:rsidP="00FA0CDB">
            <w:pPr>
              <w:pStyle w:val="TCTableBody"/>
              <w:jc w:val="center"/>
              <w:rPr>
                <w:rFonts w:ascii="Times New Roman" w:hAnsi="Times New Roman"/>
                <w:sz w:val="16"/>
                <w:szCs w:val="16"/>
              </w:rPr>
            </w:pPr>
            <w:r w:rsidRPr="0035326E">
              <w:rPr>
                <w:sz w:val="16"/>
                <w:szCs w:val="16"/>
              </w:rPr>
              <w:t>22.0 ± 9.4</w:t>
            </w:r>
          </w:p>
        </w:tc>
        <w:tc>
          <w:tcPr>
            <w:tcW w:w="1170" w:type="dxa"/>
          </w:tcPr>
          <w:p w14:paraId="0B796950"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3.39 ± 0.01</w:t>
            </w:r>
          </w:p>
        </w:tc>
        <w:tc>
          <w:tcPr>
            <w:tcW w:w="1260" w:type="dxa"/>
          </w:tcPr>
          <w:p w14:paraId="4BC9CC66"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6.19 ± 0.21</w:t>
            </w:r>
          </w:p>
        </w:tc>
        <w:tc>
          <w:tcPr>
            <w:tcW w:w="1080" w:type="dxa"/>
          </w:tcPr>
          <w:p w14:paraId="17B33096"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3.41 ± 0.02</w:t>
            </w:r>
          </w:p>
        </w:tc>
        <w:tc>
          <w:tcPr>
            <w:tcW w:w="990" w:type="dxa"/>
          </w:tcPr>
          <w:p w14:paraId="505BA19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15.2 ± 0.4</w:t>
            </w:r>
          </w:p>
        </w:tc>
        <w:tc>
          <w:tcPr>
            <w:tcW w:w="1080" w:type="dxa"/>
          </w:tcPr>
          <w:p w14:paraId="6651FE8E"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238.1 ± 10.2</w:t>
            </w:r>
          </w:p>
        </w:tc>
      </w:tr>
      <w:tr w:rsidR="00FA0CDB" w:rsidRPr="00C634FF" w14:paraId="65D5B89A" w14:textId="77777777" w:rsidTr="00D24828">
        <w:trPr>
          <w:trHeight w:val="340"/>
        </w:trPr>
        <w:tc>
          <w:tcPr>
            <w:tcW w:w="985" w:type="dxa"/>
            <w:vMerge/>
            <w:hideMark/>
          </w:tcPr>
          <w:p w14:paraId="6D181B2D" w14:textId="77777777" w:rsidR="00FA0CDB" w:rsidRPr="0035326E" w:rsidRDefault="00FA0CDB" w:rsidP="00FA0CDB">
            <w:pPr>
              <w:rPr>
                <w:rFonts w:ascii="Times New Roman" w:hAnsi="Times New Roman"/>
                <w:color w:val="000000"/>
                <w:sz w:val="16"/>
                <w:szCs w:val="16"/>
              </w:rPr>
            </w:pPr>
          </w:p>
        </w:tc>
        <w:tc>
          <w:tcPr>
            <w:tcW w:w="900" w:type="dxa"/>
            <w:hideMark/>
          </w:tcPr>
          <w:p w14:paraId="50D76FE1"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V106I + F227C</w:t>
            </w:r>
          </w:p>
        </w:tc>
        <w:tc>
          <w:tcPr>
            <w:tcW w:w="1080" w:type="dxa"/>
            <w:hideMark/>
          </w:tcPr>
          <w:p w14:paraId="73EBDF2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2.80 ± 0.16</w:t>
            </w:r>
          </w:p>
        </w:tc>
        <w:tc>
          <w:tcPr>
            <w:tcW w:w="1260" w:type="dxa"/>
            <w:hideMark/>
          </w:tcPr>
          <w:p w14:paraId="3ADDDCC0"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8.07 ± 0.07</w:t>
            </w:r>
          </w:p>
        </w:tc>
        <w:tc>
          <w:tcPr>
            <w:tcW w:w="1530" w:type="dxa"/>
            <w:hideMark/>
          </w:tcPr>
          <w:p w14:paraId="6C6A80F2"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19.2 ± 2.3</w:t>
            </w:r>
          </w:p>
        </w:tc>
        <w:tc>
          <w:tcPr>
            <w:tcW w:w="1530" w:type="dxa"/>
          </w:tcPr>
          <w:p w14:paraId="4CE1C3E4"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14.0 ± 0.3</w:t>
            </w:r>
          </w:p>
        </w:tc>
        <w:tc>
          <w:tcPr>
            <w:tcW w:w="1170" w:type="dxa"/>
          </w:tcPr>
          <w:p w14:paraId="0C24E4F6"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3.50 ± 0.06</w:t>
            </w:r>
          </w:p>
        </w:tc>
        <w:tc>
          <w:tcPr>
            <w:tcW w:w="1260" w:type="dxa"/>
          </w:tcPr>
          <w:p w14:paraId="7E7070C1"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6.47 ± 0.20</w:t>
            </w:r>
          </w:p>
        </w:tc>
        <w:tc>
          <w:tcPr>
            <w:tcW w:w="1080" w:type="dxa"/>
          </w:tcPr>
          <w:p w14:paraId="3AA28F94"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3.09 ± 0.16</w:t>
            </w:r>
          </w:p>
        </w:tc>
        <w:tc>
          <w:tcPr>
            <w:tcW w:w="990" w:type="dxa"/>
          </w:tcPr>
          <w:p w14:paraId="096AF729"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16.8 ± 2.7</w:t>
            </w:r>
          </w:p>
        </w:tc>
        <w:tc>
          <w:tcPr>
            <w:tcW w:w="1080" w:type="dxa"/>
          </w:tcPr>
          <w:p w14:paraId="6798A3ED"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232.8 ± 4.6</w:t>
            </w:r>
          </w:p>
        </w:tc>
      </w:tr>
      <w:tr w:rsidR="00FA0CDB" w:rsidRPr="00C634FF" w14:paraId="76EBBB90" w14:textId="77777777" w:rsidTr="00D24828">
        <w:trPr>
          <w:trHeight w:val="340"/>
        </w:trPr>
        <w:tc>
          <w:tcPr>
            <w:tcW w:w="985" w:type="dxa"/>
            <w:vMerge/>
            <w:hideMark/>
          </w:tcPr>
          <w:p w14:paraId="5317CF4D" w14:textId="77777777" w:rsidR="00FA0CDB" w:rsidRPr="0035326E" w:rsidRDefault="00FA0CDB" w:rsidP="00FA0CDB">
            <w:pPr>
              <w:rPr>
                <w:rFonts w:ascii="Times New Roman" w:hAnsi="Times New Roman"/>
                <w:color w:val="000000"/>
                <w:sz w:val="16"/>
                <w:szCs w:val="16"/>
              </w:rPr>
            </w:pPr>
          </w:p>
        </w:tc>
        <w:tc>
          <w:tcPr>
            <w:tcW w:w="900" w:type="dxa"/>
            <w:hideMark/>
          </w:tcPr>
          <w:p w14:paraId="5378914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V106A + F227L</w:t>
            </w:r>
          </w:p>
        </w:tc>
        <w:tc>
          <w:tcPr>
            <w:tcW w:w="1080" w:type="dxa"/>
            <w:hideMark/>
          </w:tcPr>
          <w:p w14:paraId="5369C4C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3.17 ± 0.08</w:t>
            </w:r>
          </w:p>
        </w:tc>
        <w:tc>
          <w:tcPr>
            <w:tcW w:w="1260" w:type="dxa"/>
            <w:hideMark/>
          </w:tcPr>
          <w:p w14:paraId="1BAFEA48"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8.54 ± 0.10</w:t>
            </w:r>
          </w:p>
        </w:tc>
        <w:tc>
          <w:tcPr>
            <w:tcW w:w="1530" w:type="dxa"/>
            <w:hideMark/>
          </w:tcPr>
          <w:p w14:paraId="46BB7EA8"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17.2 ± 0.3</w:t>
            </w:r>
          </w:p>
        </w:tc>
        <w:tc>
          <w:tcPr>
            <w:tcW w:w="1530" w:type="dxa"/>
          </w:tcPr>
          <w:p w14:paraId="21F6DD35"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16.7 ± 1.8</w:t>
            </w:r>
          </w:p>
        </w:tc>
        <w:tc>
          <w:tcPr>
            <w:tcW w:w="1170" w:type="dxa"/>
          </w:tcPr>
          <w:p w14:paraId="1690FC7E"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3.50 ± 0.11</w:t>
            </w:r>
          </w:p>
        </w:tc>
        <w:tc>
          <w:tcPr>
            <w:tcW w:w="1260" w:type="dxa"/>
          </w:tcPr>
          <w:p w14:paraId="53333721"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5.24 ± 0.06</w:t>
            </w:r>
          </w:p>
        </w:tc>
        <w:tc>
          <w:tcPr>
            <w:tcW w:w="1080" w:type="dxa"/>
          </w:tcPr>
          <w:p w14:paraId="6ED6C028"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3.63 ± 0.04</w:t>
            </w:r>
          </w:p>
        </w:tc>
        <w:tc>
          <w:tcPr>
            <w:tcW w:w="990" w:type="dxa"/>
          </w:tcPr>
          <w:p w14:paraId="3F96B033"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10.3 ± 0.6</w:t>
            </w:r>
          </w:p>
        </w:tc>
        <w:tc>
          <w:tcPr>
            <w:tcW w:w="1080" w:type="dxa"/>
          </w:tcPr>
          <w:p w14:paraId="12F25D23"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239.2 ± 3.6</w:t>
            </w:r>
          </w:p>
        </w:tc>
      </w:tr>
      <w:tr w:rsidR="00FA0CDB" w:rsidRPr="00C634FF" w14:paraId="0AA1D9DE" w14:textId="77777777" w:rsidTr="00D24828">
        <w:trPr>
          <w:trHeight w:val="340"/>
        </w:trPr>
        <w:tc>
          <w:tcPr>
            <w:tcW w:w="985" w:type="dxa"/>
            <w:vMerge/>
            <w:hideMark/>
          </w:tcPr>
          <w:p w14:paraId="4C8777D3" w14:textId="77777777" w:rsidR="00FA0CDB" w:rsidRPr="0035326E" w:rsidRDefault="00FA0CDB" w:rsidP="00FA0CDB">
            <w:pPr>
              <w:rPr>
                <w:rFonts w:ascii="Times New Roman" w:hAnsi="Times New Roman"/>
                <w:color w:val="000000"/>
                <w:sz w:val="16"/>
                <w:szCs w:val="16"/>
              </w:rPr>
            </w:pPr>
          </w:p>
        </w:tc>
        <w:tc>
          <w:tcPr>
            <w:tcW w:w="900" w:type="dxa"/>
            <w:hideMark/>
          </w:tcPr>
          <w:p w14:paraId="040CC4E1"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Y188L</w:t>
            </w:r>
          </w:p>
        </w:tc>
        <w:tc>
          <w:tcPr>
            <w:tcW w:w="1080" w:type="dxa"/>
            <w:hideMark/>
          </w:tcPr>
          <w:p w14:paraId="78E99C70"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2.91 ± 0.30</w:t>
            </w:r>
          </w:p>
        </w:tc>
        <w:tc>
          <w:tcPr>
            <w:tcW w:w="1260" w:type="dxa"/>
            <w:hideMark/>
          </w:tcPr>
          <w:p w14:paraId="35237770"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8.44 ± 0.24</w:t>
            </w:r>
          </w:p>
        </w:tc>
        <w:tc>
          <w:tcPr>
            <w:tcW w:w="1530" w:type="dxa"/>
            <w:hideMark/>
          </w:tcPr>
          <w:p w14:paraId="2CA9DC2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13.7 ± 1.5</w:t>
            </w:r>
          </w:p>
        </w:tc>
        <w:tc>
          <w:tcPr>
            <w:tcW w:w="1530" w:type="dxa"/>
          </w:tcPr>
          <w:p w14:paraId="0B70980C" w14:textId="77777777" w:rsidR="00FA0CDB" w:rsidRPr="0035326E" w:rsidRDefault="009F24E2" w:rsidP="00FA0CDB">
            <w:pPr>
              <w:pStyle w:val="TCTableBody"/>
              <w:jc w:val="center"/>
              <w:rPr>
                <w:rFonts w:ascii="Times New Roman" w:hAnsi="Times New Roman"/>
                <w:color w:val="000000"/>
                <w:sz w:val="16"/>
                <w:szCs w:val="16"/>
              </w:rPr>
            </w:pPr>
            <w:r w:rsidRPr="0035326E">
              <w:rPr>
                <w:color w:val="000000"/>
                <w:sz w:val="16"/>
                <w:szCs w:val="16"/>
              </w:rPr>
              <w:t>*</w:t>
            </w:r>
          </w:p>
        </w:tc>
        <w:tc>
          <w:tcPr>
            <w:tcW w:w="1170" w:type="dxa"/>
          </w:tcPr>
          <w:p w14:paraId="7985B4D6"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3.63 ± 0.03</w:t>
            </w:r>
          </w:p>
        </w:tc>
        <w:tc>
          <w:tcPr>
            <w:tcW w:w="1260" w:type="dxa"/>
          </w:tcPr>
          <w:p w14:paraId="19776397"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6.38 ± 0.42</w:t>
            </w:r>
          </w:p>
        </w:tc>
        <w:tc>
          <w:tcPr>
            <w:tcW w:w="1080" w:type="dxa"/>
          </w:tcPr>
          <w:p w14:paraId="14345646"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3.13 ± 0.28</w:t>
            </w:r>
          </w:p>
        </w:tc>
        <w:tc>
          <w:tcPr>
            <w:tcW w:w="990" w:type="dxa"/>
          </w:tcPr>
          <w:p w14:paraId="36DE7AAC"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17.4 ± 3.7</w:t>
            </w:r>
          </w:p>
        </w:tc>
        <w:tc>
          <w:tcPr>
            <w:tcW w:w="1080" w:type="dxa"/>
          </w:tcPr>
          <w:p w14:paraId="1014D7A7"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241.6 ± 7.1</w:t>
            </w:r>
          </w:p>
        </w:tc>
      </w:tr>
      <w:tr w:rsidR="00FA0CDB" w:rsidRPr="00C634FF" w14:paraId="7A2BD47C" w14:textId="77777777" w:rsidTr="00D24828">
        <w:trPr>
          <w:trHeight w:val="340"/>
        </w:trPr>
        <w:tc>
          <w:tcPr>
            <w:tcW w:w="985" w:type="dxa"/>
            <w:vMerge/>
            <w:hideMark/>
          </w:tcPr>
          <w:p w14:paraId="7E2FD5F6" w14:textId="77777777" w:rsidR="00FA0CDB" w:rsidRPr="0035326E" w:rsidRDefault="00FA0CDB" w:rsidP="00FA0CDB">
            <w:pPr>
              <w:rPr>
                <w:rFonts w:ascii="Times New Roman" w:hAnsi="Times New Roman"/>
                <w:color w:val="000000"/>
                <w:sz w:val="16"/>
                <w:szCs w:val="16"/>
              </w:rPr>
            </w:pPr>
          </w:p>
        </w:tc>
        <w:tc>
          <w:tcPr>
            <w:tcW w:w="900" w:type="dxa"/>
            <w:hideMark/>
          </w:tcPr>
          <w:p w14:paraId="0C30470A"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V106A + P225H</w:t>
            </w:r>
          </w:p>
        </w:tc>
        <w:tc>
          <w:tcPr>
            <w:tcW w:w="1080" w:type="dxa"/>
            <w:hideMark/>
          </w:tcPr>
          <w:p w14:paraId="33220A19"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3.11 ± 0.08</w:t>
            </w:r>
          </w:p>
        </w:tc>
        <w:tc>
          <w:tcPr>
            <w:tcW w:w="1260" w:type="dxa"/>
            <w:hideMark/>
          </w:tcPr>
          <w:p w14:paraId="3BEA3527"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8.54 ± 0.11</w:t>
            </w:r>
          </w:p>
        </w:tc>
        <w:tc>
          <w:tcPr>
            <w:tcW w:w="1530" w:type="dxa"/>
            <w:hideMark/>
          </w:tcPr>
          <w:p w14:paraId="2305EB5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17.9 ± 1.2</w:t>
            </w:r>
          </w:p>
        </w:tc>
        <w:tc>
          <w:tcPr>
            <w:tcW w:w="1530" w:type="dxa"/>
          </w:tcPr>
          <w:p w14:paraId="35233297" w14:textId="77777777" w:rsidR="00FA0CDB" w:rsidRPr="0035326E" w:rsidRDefault="00FA0CDB" w:rsidP="00FA0CDB">
            <w:pPr>
              <w:pStyle w:val="TCTableBody"/>
              <w:jc w:val="center"/>
              <w:rPr>
                <w:rFonts w:ascii="Times New Roman" w:hAnsi="Times New Roman"/>
                <w:sz w:val="16"/>
                <w:szCs w:val="16"/>
              </w:rPr>
            </w:pPr>
            <w:r w:rsidRPr="0035326E">
              <w:rPr>
                <w:sz w:val="16"/>
                <w:szCs w:val="16"/>
              </w:rPr>
              <w:t>21.1 ± 8.3</w:t>
            </w:r>
          </w:p>
        </w:tc>
        <w:tc>
          <w:tcPr>
            <w:tcW w:w="1170" w:type="dxa"/>
          </w:tcPr>
          <w:p w14:paraId="2258A299"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3.59 ± 0.07</w:t>
            </w:r>
          </w:p>
        </w:tc>
        <w:tc>
          <w:tcPr>
            <w:tcW w:w="1260" w:type="dxa"/>
          </w:tcPr>
          <w:p w14:paraId="3D6295F5"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5.29 ± 0.17</w:t>
            </w:r>
          </w:p>
        </w:tc>
        <w:tc>
          <w:tcPr>
            <w:tcW w:w="1080" w:type="dxa"/>
          </w:tcPr>
          <w:p w14:paraId="0A1FB1B2"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3.64 ± 0.04</w:t>
            </w:r>
          </w:p>
        </w:tc>
        <w:tc>
          <w:tcPr>
            <w:tcW w:w="990" w:type="dxa"/>
          </w:tcPr>
          <w:p w14:paraId="7CF0BD65"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11.8 ± 0.1</w:t>
            </w:r>
          </w:p>
        </w:tc>
        <w:tc>
          <w:tcPr>
            <w:tcW w:w="1080" w:type="dxa"/>
          </w:tcPr>
          <w:p w14:paraId="3A9ED3B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223.3 ± 7.4</w:t>
            </w:r>
          </w:p>
        </w:tc>
      </w:tr>
      <w:tr w:rsidR="00FA0CDB" w:rsidRPr="00C634FF" w14:paraId="23E194C9" w14:textId="77777777" w:rsidTr="00D24828">
        <w:trPr>
          <w:trHeight w:val="386"/>
        </w:trPr>
        <w:tc>
          <w:tcPr>
            <w:tcW w:w="985" w:type="dxa"/>
            <w:vMerge/>
            <w:hideMark/>
          </w:tcPr>
          <w:p w14:paraId="7E83992C" w14:textId="77777777" w:rsidR="00FA0CDB" w:rsidRPr="0035326E" w:rsidRDefault="00FA0CDB" w:rsidP="00FA0CDB">
            <w:pPr>
              <w:rPr>
                <w:rFonts w:ascii="Times New Roman" w:hAnsi="Times New Roman"/>
                <w:color w:val="000000"/>
                <w:sz w:val="16"/>
                <w:szCs w:val="16"/>
              </w:rPr>
            </w:pPr>
          </w:p>
        </w:tc>
        <w:tc>
          <w:tcPr>
            <w:tcW w:w="900" w:type="dxa"/>
            <w:hideMark/>
          </w:tcPr>
          <w:p w14:paraId="19981E0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V106A + L234I</w:t>
            </w:r>
          </w:p>
        </w:tc>
        <w:tc>
          <w:tcPr>
            <w:tcW w:w="1080" w:type="dxa"/>
            <w:hideMark/>
          </w:tcPr>
          <w:p w14:paraId="7BC5B64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3.22 ± 0.09</w:t>
            </w:r>
          </w:p>
        </w:tc>
        <w:tc>
          <w:tcPr>
            <w:tcW w:w="1260" w:type="dxa"/>
            <w:hideMark/>
          </w:tcPr>
          <w:p w14:paraId="6AEFC98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8.48 ± 0.02</w:t>
            </w:r>
          </w:p>
        </w:tc>
        <w:tc>
          <w:tcPr>
            <w:tcW w:w="1530" w:type="dxa"/>
            <w:hideMark/>
          </w:tcPr>
          <w:p w14:paraId="0C12BE79"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18.9 ± 0.4</w:t>
            </w:r>
          </w:p>
        </w:tc>
        <w:tc>
          <w:tcPr>
            <w:tcW w:w="1530" w:type="dxa"/>
          </w:tcPr>
          <w:p w14:paraId="4621E2A0"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16.2 ± 1.7</w:t>
            </w:r>
          </w:p>
        </w:tc>
        <w:tc>
          <w:tcPr>
            <w:tcW w:w="1170" w:type="dxa"/>
          </w:tcPr>
          <w:p w14:paraId="1CFFF695"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3.43 ± 0.04</w:t>
            </w:r>
          </w:p>
        </w:tc>
        <w:tc>
          <w:tcPr>
            <w:tcW w:w="1260" w:type="dxa"/>
          </w:tcPr>
          <w:p w14:paraId="22A37F88"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5.13 ± 0.07</w:t>
            </w:r>
          </w:p>
        </w:tc>
        <w:tc>
          <w:tcPr>
            <w:tcW w:w="1080" w:type="dxa"/>
          </w:tcPr>
          <w:p w14:paraId="7560503B"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3.58 ± 0.07</w:t>
            </w:r>
          </w:p>
        </w:tc>
        <w:tc>
          <w:tcPr>
            <w:tcW w:w="990" w:type="dxa"/>
          </w:tcPr>
          <w:p w14:paraId="0AF2E0BF"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10.3 ± 0.8</w:t>
            </w:r>
          </w:p>
        </w:tc>
        <w:tc>
          <w:tcPr>
            <w:tcW w:w="1080" w:type="dxa"/>
          </w:tcPr>
          <w:p w14:paraId="22A4B5DD"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237.3 ± 12.0</w:t>
            </w:r>
          </w:p>
        </w:tc>
      </w:tr>
      <w:tr w:rsidR="00FA0CDB" w:rsidRPr="00C634FF" w14:paraId="1D06D7D8" w14:textId="77777777" w:rsidTr="00D24828">
        <w:trPr>
          <w:trHeight w:val="386"/>
        </w:trPr>
        <w:tc>
          <w:tcPr>
            <w:tcW w:w="985" w:type="dxa"/>
            <w:vMerge/>
            <w:tcBorders>
              <w:bottom w:val="single" w:sz="4" w:space="0" w:color="auto"/>
            </w:tcBorders>
          </w:tcPr>
          <w:p w14:paraId="2015B106"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7B34EA06" w14:textId="77777777" w:rsidR="00FA0CDB" w:rsidRPr="0035326E" w:rsidRDefault="00FA0CDB" w:rsidP="00FA0CDB">
            <w:pPr>
              <w:pStyle w:val="TCTableBody"/>
              <w:jc w:val="center"/>
              <w:rPr>
                <w:rFonts w:ascii="Times New Roman" w:hAnsi="Times New Roman"/>
                <w:sz w:val="16"/>
                <w:szCs w:val="16"/>
              </w:rPr>
            </w:pPr>
            <w:r w:rsidRPr="0035326E">
              <w:rPr>
                <w:sz w:val="16"/>
                <w:szCs w:val="16"/>
              </w:rPr>
              <w:t>K103N + M230L</w:t>
            </w:r>
          </w:p>
        </w:tc>
        <w:tc>
          <w:tcPr>
            <w:tcW w:w="1080" w:type="dxa"/>
            <w:tcBorders>
              <w:bottom w:val="single" w:sz="4" w:space="0" w:color="auto"/>
            </w:tcBorders>
          </w:tcPr>
          <w:p w14:paraId="3802E6E2"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3.05 ± 0.04</w:t>
            </w:r>
          </w:p>
        </w:tc>
        <w:tc>
          <w:tcPr>
            <w:tcW w:w="1260" w:type="dxa"/>
            <w:tcBorders>
              <w:bottom w:val="single" w:sz="4" w:space="0" w:color="auto"/>
            </w:tcBorders>
          </w:tcPr>
          <w:p w14:paraId="62604BEF" w14:textId="77777777" w:rsidR="00FA0CDB" w:rsidRPr="0035326E" w:rsidRDefault="00FA0CDB" w:rsidP="00FA0CDB">
            <w:pPr>
              <w:pStyle w:val="TCTableBody"/>
              <w:jc w:val="center"/>
              <w:rPr>
                <w:rFonts w:ascii="Times New Roman" w:hAnsi="Times New Roman"/>
                <w:sz w:val="16"/>
                <w:szCs w:val="16"/>
              </w:rPr>
            </w:pPr>
            <w:r w:rsidRPr="0035326E">
              <w:rPr>
                <w:sz w:val="16"/>
                <w:szCs w:val="16"/>
              </w:rPr>
              <w:t>4.80 ± 0.14</w:t>
            </w:r>
          </w:p>
        </w:tc>
        <w:tc>
          <w:tcPr>
            <w:tcW w:w="1530" w:type="dxa"/>
            <w:tcBorders>
              <w:bottom w:val="single" w:sz="4" w:space="0" w:color="auto"/>
            </w:tcBorders>
          </w:tcPr>
          <w:p w14:paraId="234DF5E1" w14:textId="77777777" w:rsidR="00FA0CDB" w:rsidRPr="0035326E" w:rsidRDefault="00FA0CDB" w:rsidP="00FA0CDB">
            <w:pPr>
              <w:pStyle w:val="TCTableBody"/>
              <w:jc w:val="center"/>
              <w:rPr>
                <w:rFonts w:ascii="Times New Roman" w:hAnsi="Times New Roman"/>
                <w:sz w:val="16"/>
                <w:szCs w:val="16"/>
              </w:rPr>
            </w:pPr>
            <w:r w:rsidRPr="0035326E">
              <w:rPr>
                <w:sz w:val="16"/>
                <w:szCs w:val="16"/>
              </w:rPr>
              <w:t>22.8 ± 2.4</w:t>
            </w:r>
          </w:p>
        </w:tc>
        <w:tc>
          <w:tcPr>
            <w:tcW w:w="1530" w:type="dxa"/>
            <w:tcBorders>
              <w:bottom w:val="single" w:sz="4" w:space="0" w:color="auto"/>
            </w:tcBorders>
          </w:tcPr>
          <w:p w14:paraId="00DE7B5B"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13.8 ± 0.3</w:t>
            </w:r>
          </w:p>
        </w:tc>
        <w:tc>
          <w:tcPr>
            <w:tcW w:w="1170" w:type="dxa"/>
            <w:tcBorders>
              <w:bottom w:val="single" w:sz="4" w:space="0" w:color="auto"/>
            </w:tcBorders>
          </w:tcPr>
          <w:p w14:paraId="722EF187"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3.53 ± 0.08</w:t>
            </w:r>
          </w:p>
        </w:tc>
        <w:tc>
          <w:tcPr>
            <w:tcW w:w="1260" w:type="dxa"/>
            <w:tcBorders>
              <w:bottom w:val="single" w:sz="4" w:space="0" w:color="auto"/>
            </w:tcBorders>
          </w:tcPr>
          <w:p w14:paraId="0DF4ACFA"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6.19 ± 0.29</w:t>
            </w:r>
          </w:p>
        </w:tc>
        <w:tc>
          <w:tcPr>
            <w:tcW w:w="1080" w:type="dxa"/>
            <w:tcBorders>
              <w:bottom w:val="single" w:sz="4" w:space="0" w:color="auto"/>
            </w:tcBorders>
          </w:tcPr>
          <w:p w14:paraId="7E9CA518"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3.20 ± 0.12</w:t>
            </w:r>
          </w:p>
        </w:tc>
        <w:tc>
          <w:tcPr>
            <w:tcW w:w="990" w:type="dxa"/>
            <w:tcBorders>
              <w:bottom w:val="single" w:sz="4" w:space="0" w:color="auto"/>
            </w:tcBorders>
          </w:tcPr>
          <w:p w14:paraId="5A768559"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16.6 ± 0.6</w:t>
            </w:r>
          </w:p>
        </w:tc>
        <w:tc>
          <w:tcPr>
            <w:tcW w:w="1080" w:type="dxa"/>
            <w:tcBorders>
              <w:bottom w:val="single" w:sz="4" w:space="0" w:color="auto"/>
            </w:tcBorders>
          </w:tcPr>
          <w:p w14:paraId="0FE69C4C"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250.5 ± 1.2</w:t>
            </w:r>
          </w:p>
        </w:tc>
      </w:tr>
      <w:tr w:rsidR="00FA0CDB" w:rsidRPr="00C634FF" w14:paraId="01E992A1" w14:textId="77777777" w:rsidTr="00D24828">
        <w:trPr>
          <w:trHeight w:val="340"/>
        </w:trPr>
        <w:tc>
          <w:tcPr>
            <w:tcW w:w="985" w:type="dxa"/>
            <w:vMerge w:val="restart"/>
            <w:tcBorders>
              <w:top w:val="single" w:sz="4" w:space="0" w:color="auto"/>
            </w:tcBorders>
            <w:hideMark/>
          </w:tcPr>
          <w:p w14:paraId="2A9330D8" w14:textId="77777777" w:rsidR="00FA0CDB" w:rsidRPr="0035326E" w:rsidRDefault="00FA0CDB" w:rsidP="00FA0CDB">
            <w:pPr>
              <w:pStyle w:val="TCTableBody"/>
              <w:jc w:val="center"/>
              <w:rPr>
                <w:rFonts w:ascii="Times New Roman" w:hAnsi="Times New Roman"/>
                <w:b/>
                <w:bCs/>
                <w:i/>
                <w:iCs/>
                <w:color w:val="000000"/>
                <w:sz w:val="16"/>
                <w:szCs w:val="16"/>
              </w:rPr>
            </w:pPr>
            <w:r w:rsidRPr="0035326E">
              <w:rPr>
                <w:b/>
                <w:bCs/>
                <w:i/>
                <w:iCs/>
                <w:color w:val="000000"/>
                <w:sz w:val="16"/>
                <w:szCs w:val="16"/>
              </w:rPr>
              <w:t xml:space="preserve">Uncertain </w:t>
            </w:r>
          </w:p>
        </w:tc>
        <w:tc>
          <w:tcPr>
            <w:tcW w:w="900" w:type="dxa"/>
            <w:tcBorders>
              <w:top w:val="single" w:sz="4" w:space="0" w:color="auto"/>
            </w:tcBorders>
            <w:hideMark/>
          </w:tcPr>
          <w:p w14:paraId="6BC58ADC"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V106M</w:t>
            </w:r>
          </w:p>
        </w:tc>
        <w:tc>
          <w:tcPr>
            <w:tcW w:w="1080" w:type="dxa"/>
            <w:tcBorders>
              <w:top w:val="single" w:sz="4" w:space="0" w:color="auto"/>
            </w:tcBorders>
            <w:hideMark/>
          </w:tcPr>
          <w:p w14:paraId="146D0333"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3.56 ± 0.20</w:t>
            </w:r>
          </w:p>
        </w:tc>
        <w:tc>
          <w:tcPr>
            <w:tcW w:w="1260" w:type="dxa"/>
            <w:tcBorders>
              <w:top w:val="single" w:sz="4" w:space="0" w:color="auto"/>
            </w:tcBorders>
            <w:hideMark/>
          </w:tcPr>
          <w:p w14:paraId="352076F2"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8.88 ± 0.38</w:t>
            </w:r>
          </w:p>
        </w:tc>
        <w:tc>
          <w:tcPr>
            <w:tcW w:w="1530" w:type="dxa"/>
            <w:tcBorders>
              <w:top w:val="single" w:sz="4" w:space="0" w:color="auto"/>
            </w:tcBorders>
            <w:hideMark/>
          </w:tcPr>
          <w:p w14:paraId="397FFD5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19.3 ± 0.9</w:t>
            </w:r>
          </w:p>
        </w:tc>
        <w:tc>
          <w:tcPr>
            <w:tcW w:w="1530" w:type="dxa"/>
            <w:tcBorders>
              <w:top w:val="single" w:sz="4" w:space="0" w:color="auto"/>
            </w:tcBorders>
          </w:tcPr>
          <w:p w14:paraId="7E264A11"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16.7 ± 1.5</w:t>
            </w:r>
          </w:p>
        </w:tc>
        <w:tc>
          <w:tcPr>
            <w:tcW w:w="1170" w:type="dxa"/>
            <w:tcBorders>
              <w:top w:val="single" w:sz="4" w:space="0" w:color="auto"/>
            </w:tcBorders>
          </w:tcPr>
          <w:p w14:paraId="1DF4641E"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3.76 ± 0.23</w:t>
            </w:r>
          </w:p>
        </w:tc>
        <w:tc>
          <w:tcPr>
            <w:tcW w:w="1260" w:type="dxa"/>
            <w:tcBorders>
              <w:top w:val="single" w:sz="4" w:space="0" w:color="auto"/>
            </w:tcBorders>
          </w:tcPr>
          <w:p w14:paraId="43B182A1"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7.04 ± 0.46</w:t>
            </w:r>
          </w:p>
        </w:tc>
        <w:tc>
          <w:tcPr>
            <w:tcW w:w="1080" w:type="dxa"/>
            <w:tcBorders>
              <w:top w:val="single" w:sz="4" w:space="0" w:color="auto"/>
            </w:tcBorders>
          </w:tcPr>
          <w:p w14:paraId="0BED2904"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3.16 ± 0.14</w:t>
            </w:r>
          </w:p>
        </w:tc>
        <w:tc>
          <w:tcPr>
            <w:tcW w:w="990" w:type="dxa"/>
            <w:tcBorders>
              <w:top w:val="single" w:sz="4" w:space="0" w:color="auto"/>
            </w:tcBorders>
          </w:tcPr>
          <w:p w14:paraId="244B3FB8"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16.8 ± 2.4</w:t>
            </w:r>
          </w:p>
        </w:tc>
        <w:tc>
          <w:tcPr>
            <w:tcW w:w="1080" w:type="dxa"/>
            <w:tcBorders>
              <w:top w:val="single" w:sz="4" w:space="0" w:color="auto"/>
            </w:tcBorders>
          </w:tcPr>
          <w:p w14:paraId="75D83155"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239.6 ± 22.6</w:t>
            </w:r>
          </w:p>
        </w:tc>
      </w:tr>
      <w:tr w:rsidR="00FA0CDB" w:rsidRPr="00C634FF" w14:paraId="75F2C2AB" w14:textId="77777777" w:rsidTr="00D24828">
        <w:trPr>
          <w:trHeight w:val="467"/>
        </w:trPr>
        <w:tc>
          <w:tcPr>
            <w:tcW w:w="985" w:type="dxa"/>
            <w:vMerge/>
            <w:hideMark/>
          </w:tcPr>
          <w:p w14:paraId="78AACAA1"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4B2C7FC5"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G190S</w:t>
            </w:r>
          </w:p>
        </w:tc>
        <w:tc>
          <w:tcPr>
            <w:tcW w:w="1080" w:type="dxa"/>
            <w:hideMark/>
          </w:tcPr>
          <w:p w14:paraId="052E8DF3"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3.00 ± 0.03</w:t>
            </w:r>
          </w:p>
        </w:tc>
        <w:tc>
          <w:tcPr>
            <w:tcW w:w="1260" w:type="dxa"/>
            <w:hideMark/>
          </w:tcPr>
          <w:p w14:paraId="66084D89"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8.72 ± 0.04</w:t>
            </w:r>
          </w:p>
        </w:tc>
        <w:tc>
          <w:tcPr>
            <w:tcW w:w="1530" w:type="dxa"/>
            <w:hideMark/>
          </w:tcPr>
          <w:p w14:paraId="67936BB1"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19.0 ± 0.4</w:t>
            </w:r>
          </w:p>
        </w:tc>
        <w:tc>
          <w:tcPr>
            <w:tcW w:w="1530" w:type="dxa"/>
          </w:tcPr>
          <w:p w14:paraId="1D9746DC" w14:textId="77777777" w:rsidR="00FA0CDB" w:rsidRPr="0035326E" w:rsidRDefault="00FA0CDB" w:rsidP="00FA0CDB">
            <w:pPr>
              <w:pStyle w:val="TCTableBody"/>
              <w:jc w:val="center"/>
              <w:rPr>
                <w:rFonts w:ascii="Times New Roman" w:hAnsi="Times New Roman"/>
                <w:sz w:val="16"/>
                <w:szCs w:val="16"/>
              </w:rPr>
            </w:pPr>
            <w:r w:rsidRPr="0035326E">
              <w:rPr>
                <w:sz w:val="16"/>
                <w:szCs w:val="16"/>
              </w:rPr>
              <w:t>27.4 ± 5.3</w:t>
            </w:r>
          </w:p>
        </w:tc>
        <w:tc>
          <w:tcPr>
            <w:tcW w:w="1170" w:type="dxa"/>
          </w:tcPr>
          <w:p w14:paraId="4F862C6E"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3.78 ± 0.08</w:t>
            </w:r>
          </w:p>
        </w:tc>
        <w:tc>
          <w:tcPr>
            <w:tcW w:w="1260" w:type="dxa"/>
          </w:tcPr>
          <w:p w14:paraId="69634EE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5.95 ± 0.28</w:t>
            </w:r>
          </w:p>
        </w:tc>
        <w:tc>
          <w:tcPr>
            <w:tcW w:w="1080" w:type="dxa"/>
          </w:tcPr>
          <w:p w14:paraId="21D5DC31"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3.15 ± 0.20</w:t>
            </w:r>
          </w:p>
        </w:tc>
        <w:tc>
          <w:tcPr>
            <w:tcW w:w="990" w:type="dxa"/>
          </w:tcPr>
          <w:p w14:paraId="246CFE19"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17.2 ± 2.4</w:t>
            </w:r>
          </w:p>
        </w:tc>
        <w:tc>
          <w:tcPr>
            <w:tcW w:w="1080" w:type="dxa"/>
          </w:tcPr>
          <w:p w14:paraId="045CC4B3"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268.1 ± 18.3</w:t>
            </w:r>
          </w:p>
        </w:tc>
      </w:tr>
      <w:tr w:rsidR="00FA0CDB" w:rsidRPr="00C634FF" w14:paraId="3D3A28B9" w14:textId="77777777" w:rsidTr="00D24828">
        <w:trPr>
          <w:trHeight w:val="521"/>
        </w:trPr>
        <w:tc>
          <w:tcPr>
            <w:tcW w:w="985" w:type="dxa"/>
            <w:vMerge/>
            <w:hideMark/>
          </w:tcPr>
          <w:p w14:paraId="7D230A6F"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44544F51"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L100I + K103N</w:t>
            </w:r>
          </w:p>
        </w:tc>
        <w:tc>
          <w:tcPr>
            <w:tcW w:w="1080" w:type="dxa"/>
            <w:hideMark/>
          </w:tcPr>
          <w:p w14:paraId="7173AE2A"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3.20 ± 0.15</w:t>
            </w:r>
          </w:p>
        </w:tc>
        <w:tc>
          <w:tcPr>
            <w:tcW w:w="1260" w:type="dxa"/>
            <w:hideMark/>
          </w:tcPr>
          <w:p w14:paraId="7DED75FE"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5.43 ± 0.20</w:t>
            </w:r>
          </w:p>
        </w:tc>
        <w:tc>
          <w:tcPr>
            <w:tcW w:w="1530" w:type="dxa"/>
            <w:hideMark/>
          </w:tcPr>
          <w:p w14:paraId="19D4915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18.4 ± 0.5</w:t>
            </w:r>
          </w:p>
        </w:tc>
        <w:tc>
          <w:tcPr>
            <w:tcW w:w="1530" w:type="dxa"/>
          </w:tcPr>
          <w:p w14:paraId="0AD80754"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12.7 ± 0.3</w:t>
            </w:r>
          </w:p>
        </w:tc>
        <w:tc>
          <w:tcPr>
            <w:tcW w:w="1170" w:type="dxa"/>
          </w:tcPr>
          <w:p w14:paraId="1C9DE3C1"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3.89 ± 0.29</w:t>
            </w:r>
          </w:p>
        </w:tc>
        <w:tc>
          <w:tcPr>
            <w:tcW w:w="1260" w:type="dxa"/>
          </w:tcPr>
          <w:p w14:paraId="70372C77"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6.31 ± 0.23</w:t>
            </w:r>
          </w:p>
        </w:tc>
        <w:tc>
          <w:tcPr>
            <w:tcW w:w="1080" w:type="dxa"/>
          </w:tcPr>
          <w:p w14:paraId="0FB1CAC4"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3.38 ± 0.02</w:t>
            </w:r>
          </w:p>
        </w:tc>
        <w:tc>
          <w:tcPr>
            <w:tcW w:w="990" w:type="dxa"/>
          </w:tcPr>
          <w:p w14:paraId="32BC8C82"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17.8 ± 0.4</w:t>
            </w:r>
          </w:p>
        </w:tc>
        <w:tc>
          <w:tcPr>
            <w:tcW w:w="1080" w:type="dxa"/>
          </w:tcPr>
          <w:p w14:paraId="06671FC3"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229.9 ± 6.9</w:t>
            </w:r>
          </w:p>
        </w:tc>
      </w:tr>
      <w:tr w:rsidR="00FA0CDB" w:rsidRPr="00C634FF" w14:paraId="10D65785" w14:textId="77777777" w:rsidTr="00D24828">
        <w:trPr>
          <w:trHeight w:val="350"/>
        </w:trPr>
        <w:tc>
          <w:tcPr>
            <w:tcW w:w="985" w:type="dxa"/>
            <w:vMerge/>
            <w:hideMark/>
          </w:tcPr>
          <w:p w14:paraId="7B39137A"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7AD1A18"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K103N + P225H</w:t>
            </w:r>
          </w:p>
        </w:tc>
        <w:tc>
          <w:tcPr>
            <w:tcW w:w="1080" w:type="dxa"/>
            <w:hideMark/>
          </w:tcPr>
          <w:p w14:paraId="26CEDE6A"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3.10 ± 0.02</w:t>
            </w:r>
          </w:p>
        </w:tc>
        <w:tc>
          <w:tcPr>
            <w:tcW w:w="1260" w:type="dxa"/>
            <w:hideMark/>
          </w:tcPr>
          <w:p w14:paraId="69375E39"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5.06 ± 0.14</w:t>
            </w:r>
          </w:p>
        </w:tc>
        <w:tc>
          <w:tcPr>
            <w:tcW w:w="1530" w:type="dxa"/>
            <w:hideMark/>
          </w:tcPr>
          <w:p w14:paraId="0C26A91F" w14:textId="77777777" w:rsidR="00FA0CDB" w:rsidRPr="0035326E" w:rsidRDefault="00FA0CDB" w:rsidP="00FA0CDB">
            <w:pPr>
              <w:pStyle w:val="TCTableBody"/>
              <w:jc w:val="center"/>
              <w:rPr>
                <w:rFonts w:ascii="Times New Roman" w:hAnsi="Times New Roman"/>
                <w:color w:val="000000"/>
                <w:sz w:val="16"/>
                <w:szCs w:val="16"/>
              </w:rPr>
            </w:pPr>
            <w:r w:rsidRPr="0035326E">
              <w:rPr>
                <w:sz w:val="16"/>
                <w:szCs w:val="16"/>
              </w:rPr>
              <w:t>18.3 ± 0.6</w:t>
            </w:r>
          </w:p>
        </w:tc>
        <w:tc>
          <w:tcPr>
            <w:tcW w:w="1530" w:type="dxa"/>
          </w:tcPr>
          <w:p w14:paraId="4232B9C4"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15.5 ± 3.0</w:t>
            </w:r>
          </w:p>
        </w:tc>
        <w:tc>
          <w:tcPr>
            <w:tcW w:w="1170" w:type="dxa"/>
          </w:tcPr>
          <w:p w14:paraId="2F0D7430"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3.71 ± 0.08</w:t>
            </w:r>
          </w:p>
        </w:tc>
        <w:tc>
          <w:tcPr>
            <w:tcW w:w="1260" w:type="dxa"/>
          </w:tcPr>
          <w:p w14:paraId="322F231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6.37 ± 0.15</w:t>
            </w:r>
          </w:p>
        </w:tc>
        <w:tc>
          <w:tcPr>
            <w:tcW w:w="1080" w:type="dxa"/>
          </w:tcPr>
          <w:p w14:paraId="5560FD8B"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3.34 ± 0.09</w:t>
            </w:r>
          </w:p>
        </w:tc>
        <w:tc>
          <w:tcPr>
            <w:tcW w:w="990" w:type="dxa"/>
          </w:tcPr>
          <w:p w14:paraId="04EBAA72"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15.7 ± 0.5</w:t>
            </w:r>
          </w:p>
        </w:tc>
        <w:tc>
          <w:tcPr>
            <w:tcW w:w="1080" w:type="dxa"/>
          </w:tcPr>
          <w:p w14:paraId="5FF68EEF"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239.7 ± 11.5</w:t>
            </w:r>
          </w:p>
        </w:tc>
      </w:tr>
      <w:tr w:rsidR="00FA0CDB" w:rsidRPr="00C634FF" w14:paraId="20FE7C27" w14:textId="77777777" w:rsidTr="00D24828">
        <w:trPr>
          <w:trHeight w:val="350"/>
        </w:trPr>
        <w:tc>
          <w:tcPr>
            <w:tcW w:w="985" w:type="dxa"/>
            <w:vMerge/>
            <w:tcBorders>
              <w:bottom w:val="single" w:sz="4" w:space="0" w:color="auto"/>
            </w:tcBorders>
          </w:tcPr>
          <w:p w14:paraId="09E843FD"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2E84FD01" w14:textId="77777777" w:rsidR="00FA0CDB" w:rsidRPr="0035326E" w:rsidRDefault="00FA0CDB" w:rsidP="00FA0CDB">
            <w:pPr>
              <w:pStyle w:val="TCTableBody"/>
              <w:jc w:val="center"/>
              <w:rPr>
                <w:rFonts w:ascii="Times New Roman" w:hAnsi="Times New Roman"/>
                <w:sz w:val="16"/>
                <w:szCs w:val="16"/>
              </w:rPr>
            </w:pPr>
            <w:r w:rsidRPr="0035326E">
              <w:rPr>
                <w:sz w:val="16"/>
                <w:szCs w:val="16"/>
              </w:rPr>
              <w:t>G190E</w:t>
            </w:r>
          </w:p>
        </w:tc>
        <w:tc>
          <w:tcPr>
            <w:tcW w:w="1080" w:type="dxa"/>
            <w:tcBorders>
              <w:bottom w:val="single" w:sz="4" w:space="0" w:color="auto"/>
            </w:tcBorders>
          </w:tcPr>
          <w:p w14:paraId="3EEADCC4" w14:textId="77777777" w:rsidR="00FA0CDB" w:rsidRPr="0035326E" w:rsidRDefault="00FA0CDB" w:rsidP="00FA0CDB">
            <w:pPr>
              <w:pStyle w:val="TCTableBody"/>
              <w:jc w:val="center"/>
              <w:rPr>
                <w:rFonts w:ascii="Times New Roman" w:hAnsi="Times New Roman"/>
                <w:sz w:val="16"/>
                <w:szCs w:val="16"/>
              </w:rPr>
            </w:pPr>
            <w:r w:rsidRPr="0035326E">
              <w:rPr>
                <w:sz w:val="16"/>
                <w:szCs w:val="16"/>
              </w:rPr>
              <w:t>3.17 ± 0.09</w:t>
            </w:r>
          </w:p>
        </w:tc>
        <w:tc>
          <w:tcPr>
            <w:tcW w:w="1260" w:type="dxa"/>
            <w:tcBorders>
              <w:bottom w:val="single" w:sz="4" w:space="0" w:color="auto"/>
            </w:tcBorders>
          </w:tcPr>
          <w:p w14:paraId="53241708" w14:textId="77777777" w:rsidR="00FA0CDB" w:rsidRPr="0035326E" w:rsidRDefault="00FA0CDB" w:rsidP="00FA0CDB">
            <w:pPr>
              <w:pStyle w:val="TCTableBody"/>
              <w:jc w:val="center"/>
              <w:rPr>
                <w:rFonts w:ascii="Times New Roman" w:hAnsi="Times New Roman"/>
                <w:sz w:val="16"/>
                <w:szCs w:val="16"/>
              </w:rPr>
            </w:pPr>
            <w:r w:rsidRPr="0035326E">
              <w:rPr>
                <w:sz w:val="16"/>
                <w:szCs w:val="16"/>
              </w:rPr>
              <w:t>8.63 ± 0.16</w:t>
            </w:r>
          </w:p>
        </w:tc>
        <w:tc>
          <w:tcPr>
            <w:tcW w:w="1530" w:type="dxa"/>
            <w:tcBorders>
              <w:bottom w:val="single" w:sz="4" w:space="0" w:color="auto"/>
            </w:tcBorders>
          </w:tcPr>
          <w:p w14:paraId="2A9460DA" w14:textId="77777777" w:rsidR="00FA0CDB" w:rsidRPr="0035326E" w:rsidRDefault="00FA0CDB" w:rsidP="00FA0CDB">
            <w:pPr>
              <w:pStyle w:val="TCTableBody"/>
              <w:jc w:val="center"/>
              <w:rPr>
                <w:rFonts w:ascii="Times New Roman" w:hAnsi="Times New Roman"/>
                <w:sz w:val="16"/>
                <w:szCs w:val="16"/>
              </w:rPr>
            </w:pPr>
            <w:r w:rsidRPr="0035326E">
              <w:rPr>
                <w:sz w:val="16"/>
                <w:szCs w:val="16"/>
              </w:rPr>
              <w:t>22.7 ± 2.0</w:t>
            </w:r>
          </w:p>
        </w:tc>
        <w:tc>
          <w:tcPr>
            <w:tcW w:w="1530" w:type="dxa"/>
            <w:tcBorders>
              <w:bottom w:val="single" w:sz="4" w:space="0" w:color="auto"/>
            </w:tcBorders>
          </w:tcPr>
          <w:p w14:paraId="195467F6" w14:textId="77777777" w:rsidR="00FA0CDB" w:rsidRPr="0035326E" w:rsidRDefault="00FA0CDB" w:rsidP="00FA0CDB">
            <w:pPr>
              <w:pStyle w:val="TCTableBody"/>
              <w:jc w:val="center"/>
              <w:rPr>
                <w:rFonts w:ascii="Times New Roman" w:hAnsi="Times New Roman"/>
                <w:sz w:val="16"/>
                <w:szCs w:val="16"/>
              </w:rPr>
            </w:pPr>
            <w:r w:rsidRPr="0035326E">
              <w:rPr>
                <w:sz w:val="16"/>
                <w:szCs w:val="16"/>
              </w:rPr>
              <w:t>12.0 ± 0.9</w:t>
            </w:r>
          </w:p>
        </w:tc>
        <w:tc>
          <w:tcPr>
            <w:tcW w:w="1170" w:type="dxa"/>
            <w:tcBorders>
              <w:bottom w:val="single" w:sz="4" w:space="0" w:color="auto"/>
            </w:tcBorders>
          </w:tcPr>
          <w:p w14:paraId="5624F6E6" w14:textId="77777777" w:rsidR="00FA0CDB" w:rsidRPr="0035326E" w:rsidRDefault="00FA0CDB" w:rsidP="00FA0CDB">
            <w:pPr>
              <w:pStyle w:val="TCTableBody"/>
              <w:jc w:val="center"/>
              <w:rPr>
                <w:rFonts w:ascii="Times New Roman" w:hAnsi="Times New Roman"/>
                <w:sz w:val="16"/>
                <w:szCs w:val="16"/>
              </w:rPr>
            </w:pPr>
            <w:r w:rsidRPr="0035326E">
              <w:rPr>
                <w:sz w:val="16"/>
                <w:szCs w:val="16"/>
              </w:rPr>
              <w:t>6.47 ± 0.44</w:t>
            </w:r>
          </w:p>
        </w:tc>
        <w:tc>
          <w:tcPr>
            <w:tcW w:w="1260" w:type="dxa"/>
            <w:tcBorders>
              <w:bottom w:val="single" w:sz="4" w:space="0" w:color="auto"/>
            </w:tcBorders>
          </w:tcPr>
          <w:p w14:paraId="6320A7AD"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5.70 ± 0.45</w:t>
            </w:r>
          </w:p>
        </w:tc>
        <w:tc>
          <w:tcPr>
            <w:tcW w:w="1080" w:type="dxa"/>
            <w:tcBorders>
              <w:bottom w:val="single" w:sz="4" w:space="0" w:color="auto"/>
            </w:tcBorders>
          </w:tcPr>
          <w:p w14:paraId="76CD74AE"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2.92 ± 0.24</w:t>
            </w:r>
          </w:p>
        </w:tc>
        <w:tc>
          <w:tcPr>
            <w:tcW w:w="990" w:type="dxa"/>
            <w:tcBorders>
              <w:bottom w:val="single" w:sz="4" w:space="0" w:color="auto"/>
            </w:tcBorders>
          </w:tcPr>
          <w:p w14:paraId="4302397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17.3 ± 2.7</w:t>
            </w:r>
          </w:p>
        </w:tc>
        <w:tc>
          <w:tcPr>
            <w:tcW w:w="1080" w:type="dxa"/>
            <w:tcBorders>
              <w:bottom w:val="single" w:sz="4" w:space="0" w:color="auto"/>
            </w:tcBorders>
          </w:tcPr>
          <w:p w14:paraId="47624BB0" w14:textId="77777777" w:rsidR="00FA0CDB" w:rsidRPr="0035326E" w:rsidRDefault="00FA0CDB" w:rsidP="00FA0CDB">
            <w:pPr>
              <w:pStyle w:val="TCTableBody"/>
              <w:jc w:val="center"/>
              <w:rPr>
                <w:rFonts w:ascii="Times New Roman" w:hAnsi="Times New Roman"/>
                <w:b/>
                <w:bCs/>
                <w:color w:val="000000"/>
                <w:sz w:val="16"/>
                <w:szCs w:val="16"/>
              </w:rPr>
            </w:pPr>
            <w:r w:rsidRPr="0035326E">
              <w:rPr>
                <w:sz w:val="16"/>
                <w:szCs w:val="16"/>
              </w:rPr>
              <w:t>284.3 ± 3.2</w:t>
            </w:r>
          </w:p>
        </w:tc>
      </w:tr>
    </w:tbl>
    <w:p w14:paraId="5DED9625" w14:textId="77777777" w:rsidR="004240A7" w:rsidRPr="00A53223" w:rsidRDefault="009F24E2" w:rsidP="00007567">
      <w:pPr>
        <w:pStyle w:val="TAMainText"/>
        <w:spacing w:after="240"/>
        <w:rPr>
          <w:rFonts w:ascii="Times New Roman" w:hAnsi="Times New Roman"/>
          <w:b/>
          <w:bCs/>
          <w:noProof/>
          <w:sz w:val="16"/>
          <w:szCs w:val="16"/>
        </w:rPr>
      </w:pPr>
      <w:r w:rsidRPr="00A53223">
        <w:rPr>
          <w:sz w:val="16"/>
          <w:szCs w:val="16"/>
        </w:rPr>
        <w:t>*Loss of tyrosine sidechain precludes calculation of ring stacking angle in this genotype</w:t>
      </w:r>
    </w:p>
    <w:p w14:paraId="7EA5E932"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3DF0289D" w14:textId="72A82DE6"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4152D5D8"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21E28BE6" w14:textId="7EC5CAA3"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0B1DB486" w14:textId="77777777" w:rsidR="008F1E59" w:rsidRPr="00E536AD" w:rsidRDefault="008F1E59" w:rsidP="006D47C9">
      <w:pPr>
        <w:pStyle w:val="TAMainText"/>
        <w:spacing w:after="240"/>
        <w:ind w:firstLine="0"/>
        <w:rPr>
          <w:rFonts w:ascii="Times New Roman" w:hAnsi="Times New Roman"/>
          <w:szCs w:val="24"/>
        </w:rPr>
      </w:pPr>
    </w:p>
    <w:p w14:paraId="0DA3347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4920DDD9"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0CEBAA26" w14:textId="31FDE218"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580E0E">
        <w:instrText xml:space="preserve"> ADDIN ZOTERO_ITEM CSL_CITATION {"citationID":"YsIGJLYx","properties":{"unsorted":true,"formattedCitation":"\\super 60\\uc0\\u8211{}62\\nosupersub{}","plainCitation":"60</w:instrText>
      </w:r>
      <w:r w:rsidR="00580E0E">
        <w:rPr>
          <w:rFonts w:hint="eastAsia"/>
        </w:rPr>
        <w:instrText>–</w:instrText>
      </w:r>
      <w:r w:rsidR="00580E0E">
        <w:instrText>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580E0E">
        <w:rPr>
          <w:rFonts w:hint="eastAsia"/>
        </w:rPr>
        <w:instrText>Δ</w:instrText>
      </w:r>
      <w:r w:rsidR="00580E0E">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580E0E">
        <w:rPr>
          <w:rFonts w:hint="eastAsia"/>
        </w:rPr>
        <w:instrText>ΔΔ</w:instrText>
      </w:r>
      <w:r w:rsidR="00580E0E">
        <w:instrText>Ecoul for R292K-wildtype at position 292 parallel the change in experimental fold resistance energies (</w:instrText>
      </w:r>
      <w:r w:rsidR="00580E0E">
        <w:rPr>
          <w:rFonts w:hint="eastAsia"/>
        </w:rPr>
        <w:instrText>ΔΔ</w:instrText>
      </w:r>
      <w:r w:rsidR="00580E0E">
        <w:instrText xml:space="preserve">GR292K-WT) with S03 &amp;lt; S00 &amp;lt; S02 &amp;lt; S01. The footprints also reveal that the most potent ligands have (1) less reliance on R292 for intrinsic affinity, (2) enhanced binding via residues E119, E227, and E277, and (3) flatter </w:instrText>
      </w:r>
      <w:r w:rsidR="00580E0E">
        <w:rPr>
          <w:rFonts w:hint="eastAsia"/>
        </w:rPr>
        <w:instrText>Δ</w:instrText>
      </w:r>
      <w:r w:rsidR="00580E0E">
        <w:instrText xml:space="preserve">Ecoul and </w:instrText>
      </w:r>
      <w:r w:rsidR="00580E0E">
        <w:rPr>
          <w:rFonts w:hint="eastAsia"/>
        </w:rPr>
        <w:instrText>Δ</w:instrText>
      </w:r>
      <w:r w:rsidR="00580E0E">
        <w:instrText>H-bond profiles. Improved resistance for S03 appears to be a function of the ligand</w:instrText>
      </w:r>
      <w:r w:rsidR="00580E0E">
        <w:rPr>
          <w:rFonts w:hint="eastAsia"/>
        </w:rPr>
        <w:instrText>’</w:instrText>
      </w:r>
      <w:r w:rsidR="00580E0E">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580E0E">
        <w:rPr>
          <w:rFonts w:hint="eastAsia"/>
        </w:rPr>
        <w:instrText>µ</w:instrText>
      </w:r>
      <w:r w:rsidR="00580E0E">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580E0E">
        <w:rPr>
          <w:rFonts w:hint="eastAsia"/>
        </w:rPr>
        <w:instrText>’</w:instrText>
      </w:r>
      <w:r w:rsidR="00580E0E">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580E0E" w:rsidRPr="00580E0E">
        <w:rPr>
          <w:rFonts w:cs="Mangal"/>
          <w:szCs w:val="24"/>
          <w:vertAlign w:val="superscript"/>
          <w:lang w:bidi="hi-IN"/>
        </w:rPr>
        <w:t>60–62</w:t>
      </w:r>
      <w:r>
        <w:fldChar w:fldCharType="end"/>
      </w:r>
      <w:r>
        <w:t xml:space="preserve"> including HIV,</w:t>
      </w:r>
      <w:r>
        <w:fldChar w:fldCharType="begin"/>
      </w:r>
      <w:r w:rsidR="00580E0E">
        <w:instrText xml:space="preserve"> ADDIN ZOTERO_ITEM CSL_CITATION {"citationID":"FwFMZHUY","properties":{"unsorted":true,"formattedCitation":"\\super 26,63\\uc0\\u8211{}67\\nosupersub{}","plainCitation":"26,63</w:instrText>
      </w:r>
      <w:r w:rsidR="00580E0E">
        <w:rPr>
          <w:rFonts w:hint="eastAsia"/>
        </w:rPr>
        <w:instrText>–</w:instrText>
      </w:r>
      <w:r w:rsidR="00580E0E">
        <w:instrText>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580E0E">
        <w:rPr>
          <w:rFonts w:hint="eastAsia"/>
        </w:rPr>
        <w:instrText>ć</w:instrText>
      </w:r>
      <w:r w:rsidR="00580E0E">
        <w:instrText xml:space="preserve">","given":"Marina"},{"family":"Tirado-Rives","given":"Julian"},{"family":"Jorgensen","given":"William L."}],"issued":{"date-parts":[["2004",3,20]]}}},{"id":267,"uris":["http://zotero.org/users/19404620/items/FLDCEDH2"],"itemData":{"id":267,"type":"article-journal","abstract":"Darunavir (DRV) is a high affinity (4.5 </w:instrText>
      </w:r>
      <w:r w:rsidR="00580E0E">
        <w:rPr>
          <w:rFonts w:hint="eastAsia"/>
        </w:rPr>
        <w:instrText>×</w:instrText>
      </w:r>
      <w:r w:rsidR="00580E0E">
        <w:instrText xml:space="preserve"> 10−12 M, </w:instrText>
      </w:r>
      <w:r w:rsidR="00580E0E">
        <w:rPr>
          <w:rFonts w:hint="eastAsia"/>
        </w:rPr>
        <w:instrText>Δ</w:instrText>
      </w:r>
      <w:r w:rsidR="00580E0E">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580E0E">
        <w:rPr>
          <w:rFonts w:hint="eastAsia"/>
        </w:rPr>
        <w:instrText>Δ</w:instrText>
      </w:r>
      <w:r w:rsidR="00580E0E">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580E0E">
        <w:rPr>
          <w:rFonts w:hint="eastAsia"/>
        </w:rPr>
        <w:instrText>’</w:instrText>
      </w:r>
      <w:r w:rsidR="00580E0E">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580E0E">
        <w:rPr>
          <w:rFonts w:hint="eastAsia"/>
        </w:rPr>
        <w:instrText>Å</w:instrText>
      </w:r>
      <w:r w:rsidR="00580E0E">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580E0E" w:rsidRPr="00580E0E">
        <w:rPr>
          <w:rFonts w:cs="Mangal"/>
          <w:szCs w:val="24"/>
          <w:vertAlign w:val="superscript"/>
          <w:lang w:bidi="hi-IN"/>
        </w:rPr>
        <w:t>26,63–67</w:t>
      </w:r>
      <w:r>
        <w:fldChar w:fldCharType="end"/>
      </w:r>
      <w:r>
        <w:t xml:space="preserve"> and cancer.</w:t>
      </w:r>
      <w:r>
        <w:fldChar w:fldCharType="begin"/>
      </w:r>
      <w:r w:rsidR="00580E0E">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580E0E" w:rsidRPr="00580E0E">
        <w:rPr>
          <w:rFonts w:cs="Mangal"/>
          <w:szCs w:val="24"/>
          <w:vertAlign w:val="superscript"/>
          <w:lang w:bidi="hi-IN"/>
        </w:rPr>
        <w:t>68,69</w:t>
      </w:r>
      <w:r>
        <w:fldChar w:fldCharType="end"/>
      </w:r>
      <w:r>
        <w:t xml:space="preserve"> For transparency and reproducibility, we used open source alternatives to the more widely-used, commercial FEP workflows.</w:t>
      </w:r>
      <w:r>
        <w:fldChar w:fldCharType="begin"/>
      </w:r>
      <w:r w:rsidR="00580E0E">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580E0E">
        <w:rPr>
          <w:rFonts w:ascii="Cambria Math" w:hAnsi="Cambria Math" w:cs="Cambria Math"/>
        </w:rPr>
        <w:instrText>∼</w:instrText>
      </w:r>
      <w:r w:rsidR="00580E0E">
        <w:instrText>5</w:instrText>
      </w:r>
      <w:r w:rsidR="00580E0E">
        <w:rPr>
          <w:rFonts w:hint="eastAsia"/>
        </w:rPr>
        <w:instrText>×</w:instrText>
      </w:r>
      <w:r w:rsidR="00580E0E">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580E0E">
        <w:rPr>
          <w:rFonts w:hint="eastAsia"/>
        </w:rPr>
        <w:instrText>ö</w:instrText>
      </w:r>
      <w:r w:rsidR="00580E0E">
        <w:instrText>se","given":"Dietrich"},{"family":"Buchstaller","given":"Hans-Peter"},{"family":"Burgdorf","given":"Lars"},{"family":"Cappel","given":"Daniel"},{"family":"Chekler","given":"Eugene"},{"family":"Czodrowski","given":"Paul"},{"family":"Dorsch","given":"Dieter"},{"family":"Eguida","given":"Merveille K. I."},{"family":"Follows","given":"Bruce"},{"family":"Fuch</w:instrText>
      </w:r>
      <w:r w:rsidR="00580E0E">
        <w:rPr>
          <w:rFonts w:hint="eastAsia"/>
        </w:rPr>
        <w:instrText>ß</w:instrText>
      </w:r>
      <w:r w:rsidR="00580E0E">
        <w:instrText>","given":"Thomas"},{"family":"Gr</w:instrText>
      </w:r>
      <w:r w:rsidR="00580E0E">
        <w:rPr>
          <w:rFonts w:hint="eastAsia"/>
        </w:rPr>
        <w:instrText>ä</w:instrText>
      </w:r>
      <w:r w:rsidR="00580E0E">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580E0E" w:rsidRPr="00580E0E">
        <w:rPr>
          <w:rFonts w:cs="Mangal"/>
          <w:szCs w:val="24"/>
          <w:vertAlign w:val="superscript"/>
          <w:lang w:bidi="hi-IN"/>
        </w:rPr>
        <w:t>70,71</w:t>
      </w:r>
      <w:r>
        <w:fldChar w:fldCharType="end"/>
      </w:r>
    </w:p>
    <w:p w14:paraId="47EB1EE3"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220CD551"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616038A6" w14:textId="3ACD613E"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580E0E">
        <w:instrText xml:space="preserve"> ADDIN ZOTERO_ITEM CSL_CITATION {"citationID":"gFu9MXsT","properties":{"unsorted":false,"formattedCitation":"\\super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580E0E">
        <w:rPr>
          <w:rFonts w:hint="eastAsia"/>
        </w:rPr>
        <w:instrText>π–π</w:instrText>
      </w:r>
      <w:r w:rsidR="00580E0E">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580E0E">
        <w:rPr>
          <w:rFonts w:hint="eastAsia"/>
        </w:rPr>
        <w:instrText>Å</w:instrText>
      </w:r>
      <w:r w:rsidR="00580E0E">
        <w:instrText xml:space="preserve">, Tyr181Cys RT (efavirenz) to 2.6 </w:instrText>
      </w:r>
      <w:r w:rsidR="00580E0E">
        <w:rPr>
          <w:rFonts w:hint="eastAsia"/>
        </w:rPr>
        <w:instrText>Å</w:instrText>
      </w:r>
      <w:r w:rsidR="00580E0E">
        <w:instrText xml:space="preserve">, Tyr181Cys RT (nevirapine) to 3.0 </w:instrText>
      </w:r>
      <w:r w:rsidR="00580E0E">
        <w:rPr>
          <w:rFonts w:hint="eastAsia"/>
        </w:rPr>
        <w:instrText>Å</w:instrText>
      </w:r>
      <w:r w:rsidR="00580E0E">
        <w:instrText xml:space="preserve">, Tyr181Cys RT (PETT-2) to 3.0 </w:instrText>
      </w:r>
      <w:r w:rsidR="00580E0E">
        <w:rPr>
          <w:rFonts w:hint="eastAsia"/>
        </w:rPr>
        <w:instrText>Å</w:instrText>
      </w:r>
      <w:r w:rsidR="00580E0E">
        <w:instrText xml:space="preserve">, Tyr188Cys RT (nevirapine) to 2.6 </w:instrText>
      </w:r>
      <w:r w:rsidR="00580E0E">
        <w:rPr>
          <w:rFonts w:hint="eastAsia"/>
        </w:rPr>
        <w:instrText>Å</w:instrText>
      </w:r>
      <w:r w:rsidR="00580E0E">
        <w:instrText xml:space="preserve">, Tyr188Cys RT (UC-781) to 2.6 </w:instrText>
      </w:r>
      <w:r w:rsidR="00580E0E">
        <w:rPr>
          <w:rFonts w:hint="eastAsia"/>
        </w:rPr>
        <w:instrText>Å</w:instrText>
      </w:r>
      <w:r w:rsidR="00580E0E">
        <w:instrText xml:space="preserve"> and Tyr188Cys RT (unliganded) to 2.8 </w:instrText>
      </w:r>
      <w:r w:rsidR="00580E0E">
        <w:rPr>
          <w:rFonts w:hint="eastAsia"/>
        </w:rPr>
        <w:instrText>Å</w:instrText>
      </w:r>
      <w:r w:rsidR="00580E0E">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580E0E" w:rsidRPr="00580E0E">
        <w:rPr>
          <w:rFonts w:cs="Mangal"/>
          <w:szCs w:val="24"/>
          <w:vertAlign w:val="superscript"/>
          <w:lang w:bidi="hi-IN"/>
        </w:rPr>
        <w:t>10,11,72</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rsidR="008A2546">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8A2546">
        <w:rPr>
          <w:rFonts w:hint="eastAsia"/>
        </w:rPr>
        <w:instrText>ô</w:instrText>
      </w:r>
      <w:r w:rsidR="008A2546">
        <w:instrText>t</w:instrText>
      </w:r>
      <w:r w:rsidR="008A2546">
        <w:rPr>
          <w:rFonts w:hint="eastAsia"/>
        </w:rPr>
        <w:instrText>é</w:instrText>
      </w:r>
      <w:r w:rsidR="008A2546">
        <w:instrText>","given":"Bernard"},{"family":"Burch","given":"Jason D."},{"family":"Asante-Appiah","given":"Ernest"},{"family":"Bayly","given":"Chris"},{"family":"B</w:instrText>
      </w:r>
      <w:r w:rsidR="008A2546">
        <w:rPr>
          <w:rFonts w:hint="eastAsia"/>
        </w:rPr>
        <w:instrText>é</w:instrText>
      </w:r>
      <w:r w:rsidR="008A2546">
        <w:instrText>dard","given":"Leanne"},{"family":"Blouin","given":"Marc"},{"family":"Campeau","given":"Louis-Charles"},{"family":"Cauchon","given":"Elizabeth"},{"family":"Chan","given":"Manuel"},{"family":"Chefson","given":"Amandine"},{"family":"Coulombe","given":"Nathalie"},{"family":"Cromlish","given":"Wanda"},{"family":"Debnath","given":"Smita"},{"family":"Desch</w:instrText>
      </w:r>
      <w:r w:rsidR="008A2546">
        <w:rPr>
          <w:rFonts w:hint="eastAsia"/>
        </w:rPr>
        <w:instrText>ê</w:instrText>
      </w:r>
      <w:r w:rsidR="008A2546">
        <w:instrText>nes","given":"Denis"},{"family":"Dupont-Gaudet","given":"Kristina"},{"family":"Falgueyret","given":"Jean-Pierre"},{"family":"Forget","given":"Robert"},{"family":"Gagn</w:instrText>
      </w:r>
      <w:r w:rsidR="008A2546">
        <w:rPr>
          <w:rFonts w:hint="eastAsia"/>
        </w:rPr>
        <w:instrText>é</w:instrText>
      </w:r>
      <w:r w:rsidR="008A2546">
        <w:instrText>","given":"S</w:instrText>
      </w:r>
      <w:r w:rsidR="008A2546">
        <w:rPr>
          <w:rFonts w:hint="eastAsia"/>
        </w:rPr>
        <w:instrText>é</w:instrText>
      </w:r>
      <w:r w:rsidR="008A2546">
        <w:instrText>bastien"},{"family":"Gauvreau","given":"Danny"},{"family":"Girardin","given":"Melina"},{"family":"Guiral","given":"S</w:instrText>
      </w:r>
      <w:r w:rsidR="008A2546">
        <w:rPr>
          <w:rFonts w:hint="eastAsia"/>
        </w:rPr>
        <w:instrText>é</w:instrText>
      </w:r>
      <w:r w:rsidR="008A2546">
        <w:instrText>bastien"},{"family":"Langlois","given":"Eric"},{"family":"Li","given":"Chun Sing"},{"family":"Nguyen","given":"Natalie"},{"family":"Papp","given":"Rob"},{"family":"Plamondon","given":"Serge"},{"family":"Roy","given":"Am</w:instrText>
      </w:r>
      <w:r w:rsidR="008A2546">
        <w:rPr>
          <w:rFonts w:hint="eastAsia"/>
        </w:rPr>
        <w:instrText>é</w:instrText>
      </w:r>
      <w:r w:rsidR="008A2546">
        <w:instrText>lie"},{"family":"Roy","given":"St</w:instrText>
      </w:r>
      <w:r w:rsidR="008A2546">
        <w:rPr>
          <w:rFonts w:hint="eastAsia"/>
        </w:rPr>
        <w:instrText>é</w:instrText>
      </w:r>
      <w:r w:rsidR="008A2546">
        <w:instrText>phanie"},{"family":"Seliniotakis","given":"Ria"},{"family":"St-Onge","given":"Miguel"},{"family":"Ouellet","given":"St</w:instrText>
      </w:r>
      <w:r w:rsidR="008A2546">
        <w:rPr>
          <w:rFonts w:hint="eastAsia"/>
        </w:rPr>
        <w:instrText>é</w:instrText>
      </w:r>
      <w:r w:rsidR="008A2546">
        <w:instrText>phane"},{"family":"Tawa","given":"Paul"},{"family":"Truchon","given":"Jean-Fran</w:instrText>
      </w:r>
      <w:r w:rsidR="008A2546">
        <w:rPr>
          <w:rFonts w:hint="eastAsia"/>
        </w:rPr>
        <w:instrText>ç</w:instrText>
      </w:r>
      <w:r w:rsidR="008A2546">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436A294C" w14:textId="563A9F99"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580E0E">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580E0E" w:rsidRPr="00580E0E">
        <w:rPr>
          <w:rFonts w:cs="Mangal"/>
          <w:szCs w:val="24"/>
          <w:vertAlign w:val="superscript"/>
          <w:lang w:bidi="hi-IN"/>
        </w:rPr>
        <w:t>73</w:t>
      </w:r>
      <w:r>
        <w:fldChar w:fldCharType="end"/>
      </w:r>
      <w:r>
        <w:t xml:space="preserve"> so it is possible that the mechanism of DOR resistance associated with G190E may not be a binding effect.</w:t>
      </w:r>
    </w:p>
    <w:p w14:paraId="5ABF1F26" w14:textId="0F6CCAF5"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580E0E">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580E0E">
        <w:rPr>
          <w:rFonts w:hint="eastAsia"/>
        </w:rPr>
        <w:instrText>–</w:instrText>
      </w:r>
      <w:r w:rsidR="00580E0E">
        <w:instrText>inhibitor complexes. Val108 does not have direct contact with nevirapine in wild-type RT and in the RT(Val108Ile) complex the biggest change observed is at the distally positioned Tyr181 which is &gt;8</w:instrText>
      </w:r>
      <w:r w:rsidR="00580E0E">
        <w:rPr>
          <w:rFonts w:hint="eastAsia"/>
        </w:rPr>
        <w:instrText>Å</w:instrText>
      </w:r>
      <w:r w:rsidR="00580E0E">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580E0E" w:rsidRPr="00580E0E">
        <w:rPr>
          <w:rFonts w:cs="Mangal"/>
          <w:szCs w:val="24"/>
          <w:vertAlign w:val="superscript"/>
          <w:lang w:bidi="hi-IN"/>
        </w:rPr>
        <w:t>74</w:t>
      </w:r>
      <w:r>
        <w:fldChar w:fldCharType="end"/>
      </w:r>
      <w:r>
        <w:t xml:space="preserve"> consistent with V106A being the primary </w:t>
      </w:r>
      <w:r>
        <w:rPr>
          <w:i/>
          <w:iCs/>
        </w:rPr>
        <w:t xml:space="preserve">in vitro </w:t>
      </w:r>
      <w:r>
        <w:t>DOR resistance pathway, from which F227L and L234I subsequently emerge</w:t>
      </w:r>
      <w:r>
        <w:fldChar w:fldCharType="begin"/>
      </w:r>
      <w:r w:rsidR="008A2546">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580E0E">
        <w:instrText xml:space="preserve"> ADDIN ZOTERO_ITEM CSL_CITATION {"citationID":"r7BEPXe7","properties":{"unsorted":false,"formattedCitation":"\\super 75\\nosupersub{}","plainCitation":"75","noteIndex":0},"citationItems":[{"id":76,"uris":["http://zotero.org/users/19404620/items/X6CIWY98"],"itemData":{"id":76,"type":"article-journal","abstract":"Doravirine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580E0E" w:rsidRPr="00580E0E">
        <w:rPr>
          <w:rFonts w:cs="Mangal"/>
          <w:szCs w:val="24"/>
          <w:vertAlign w:val="superscript"/>
          <w:lang w:bidi="hi-IN"/>
        </w:rPr>
        <w:t>75</w:t>
      </w:r>
      <w:r>
        <w:fldChar w:fldCharType="end"/>
      </w:r>
      <w:r>
        <w:t xml:space="preserve"> and V106A/V106M is the primary resistance pathway in subtypes A and C as well as B.</w:t>
      </w:r>
      <w:r>
        <w:fldChar w:fldCharType="begin"/>
      </w:r>
      <w:r w:rsidR="008A2546">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sidR="008A2546">
        <w:rPr>
          <w:rFonts w:hint="eastAsia"/>
        </w:rPr>
        <w:instrText>×</w:instrText>
      </w:r>
      <w:r w:rsidR="008A2546">
        <w:instrText xml:space="preserve"> EC95) to 1,000</w:instrText>
      </w:r>
      <w:r w:rsidR="008A2546">
        <w:rPr>
          <w:rFonts w:hint="eastAsia"/>
        </w:rPr>
        <w:instrText>×</w:instrText>
      </w:r>
      <w:r w:rsidR="008A2546">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711AED23" w14:textId="26BE86C0"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580E0E">
        <w:instrText xml:space="preserve"> ADDIN ZOTERO_ITEM CSL_CITATION {"citationID":"hcub9j4R","properties":{"unsorted":false,"formattedCitation":"\\super 76\\nosupersub{}","plainCitation":"76","noteIndex":0},"citationItems":[{"id":373,"uris":["http://zotero.org/users/19404620/items/WXBT89IW"],"itemData":{"id":373,"type":"article-journal","abstract":"Alanine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580E0E">
        <w:rPr>
          <w:rFonts w:hint="eastAsia"/>
        </w:rPr>
        <w:instrText>“</w:instrText>
      </w:r>
      <w:r w:rsidR="00580E0E">
        <w:instrText>primer grip</w:instrText>
      </w:r>
      <w:r w:rsidR="00580E0E">
        <w:rPr>
          <w:rFonts w:hint="eastAsia"/>
        </w:rPr>
        <w:instrText>”</w:instrText>
      </w:r>
      <w:r w:rsidR="00580E0E">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580E0E">
        <w:rPr>
          <w:rFonts w:hint="eastAsia"/>
        </w:rPr>
        <w:instrText>“</w:instrText>
      </w:r>
      <w:r w:rsidR="00580E0E">
        <w:instrText>precleaved</w:instrText>
      </w:r>
      <w:r w:rsidR="00580E0E">
        <w:rPr>
          <w:rFonts w:hint="eastAsia"/>
        </w:rPr>
        <w:instrText>”</w:instrText>
      </w:r>
      <w:r w:rsidR="00580E0E">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580E0E" w:rsidRPr="00580E0E">
        <w:rPr>
          <w:rFonts w:cs="Mangal"/>
          <w:szCs w:val="24"/>
          <w:vertAlign w:val="superscript"/>
          <w:lang w:bidi="hi-IN"/>
        </w:rPr>
        <w:t>76</w:t>
      </w:r>
      <w:r>
        <w:fldChar w:fldCharType="end"/>
      </w:r>
      <w:r>
        <w:t xml:space="preserve"> and M230L impairs RT enzymatic function and viral replicative capacity in addition to reducing NNRTI susceptibility.</w:t>
      </w:r>
      <w:r>
        <w:fldChar w:fldCharType="begin"/>
      </w:r>
      <w:r w:rsidR="00580E0E">
        <w:instrText xml:space="preserve"> ADDIN ZOTERO_ITEM CSL_CITATION {"citationID":"EQOSkDjk","properties":{"unsorted":false,"formattedCitation":"\\super 77\\nosupersub{}","plainCitation":"77","noteIndex":0},"citationItems":[{"id":376,"uris":["http://zotero.org/users/19404620/items/UE4GCS4D"],"itemData":{"id":376,"type":"article-journal","abstract":"The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580E0E" w:rsidRPr="00580E0E">
        <w:rPr>
          <w:rFonts w:cs="Mangal"/>
          <w:szCs w:val="24"/>
          <w:vertAlign w:val="superscript"/>
          <w:lang w:bidi="hi-IN"/>
        </w:rPr>
        <w:t>77</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580E0E">
        <w:instrText xml:space="preserve"> ADDIN ZOTERO_ITEM CSL_CITATION {"citationID":"sLjTkXhC","properties":{"unsorted":true,"formattedCitation":"\\super 78,79\\nosupersub{}","plainCitation":"78,79","noteIndex":0},"citationItems":[{"id":338,"uris":["http://zotero.org/users/19404620/items/GTRLFGP9"],"itemData":{"id":338,"type":"article-journal","abstract":"Computational\nenzymology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580E0E" w:rsidRPr="00580E0E">
        <w:rPr>
          <w:rFonts w:cs="Mangal"/>
          <w:szCs w:val="24"/>
          <w:vertAlign w:val="superscript"/>
          <w:lang w:bidi="hi-IN"/>
        </w:rPr>
        <w:t>78,79</w:t>
      </w:r>
      <w:r>
        <w:fldChar w:fldCharType="end"/>
      </w:r>
      <w:r>
        <w:t xml:space="preserve"> enhanced sampling techniques,</w:t>
      </w:r>
      <w:r>
        <w:fldChar w:fldCharType="begin"/>
      </w:r>
      <w:r w:rsidR="00580E0E">
        <w:instrText xml:space="preserve"> ADDIN ZOTERO_ITEM CSL_CITATION {"citationID":"rSbnknBS","properties":{"unsorted":true,"formattedCitation":"\\super 80\\uc0\\u8211{}82\\nosupersub{}","plainCitation":"80</w:instrText>
      </w:r>
      <w:r w:rsidR="00580E0E">
        <w:rPr>
          <w:rFonts w:hint="eastAsia"/>
        </w:rPr>
        <w:instrText>–</w:instrText>
      </w:r>
      <w:r w:rsidR="00580E0E">
        <w:instrText>82","noteIndex":0},"citationItems":[{"id":344,"uris":["http://zotero.org/users/19404620/items/LYV9Y28D"],"itemData":{"id":344,"type":"article-journal","abstract":"Understanding the structural mechanisms of protein</w:instrText>
      </w:r>
      <w:r w:rsidR="00580E0E">
        <w:rPr>
          <w:rFonts w:hint="eastAsia"/>
        </w:rPr>
        <w:instrText>–</w:instrText>
      </w:r>
      <w:r w:rsidR="00580E0E">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580E0E">
        <w:rPr>
          <w:rFonts w:hint="eastAsia"/>
        </w:rPr>
        <w:instrText>μ</w:instrText>
      </w:r>
      <w:r w:rsidR="00580E0E">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580E0E">
        <w:rPr>
          <w:rFonts w:hint="eastAsia"/>
        </w:rPr>
        <w:instrText>é</w:instrText>
      </w:r>
      <w:r w:rsidR="00580E0E">
        <w:instrText>","given":"Frank"}],"issued":{"date-parts":[["2015",7,2]]}}},{"id":342,"uris":["http://zotero.org/users/19404620/items/QEBNVLBI"],"itemData":{"id":342,"type":"article-journal","abstract":"The ability to predict the mechanisms and the associated rate constants of protein</w:instrText>
      </w:r>
      <w:r w:rsidR="00580E0E">
        <w:rPr>
          <w:rFonts w:hint="eastAsia"/>
        </w:rPr>
        <w:instrText>–</w:instrText>
      </w:r>
      <w:r w:rsidR="00580E0E">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580E0E">
        <w:rPr>
          <w:rFonts w:hint="eastAsia"/>
        </w:rPr>
        <w:instrText>–</w:instrText>
      </w:r>
      <w:r w:rsidR="00580E0E">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580E0E">
        <w:rPr>
          <w:rFonts w:hint="eastAsia"/>
        </w:rPr>
        <w:instrText>–</w:instrText>
      </w:r>
      <w:r w:rsidR="00580E0E">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580E0E">
        <w:rPr>
          <w:rFonts w:hint="eastAsia"/>
        </w:rPr>
        <w:instrText>–</w:instrText>
      </w:r>
      <w:r w:rsidR="00580E0E">
        <w:instrText>ligand unbinding: Predicting pathways, rates, and rate-limiting steps","title-short":"Kinetics of protein</w:instrText>
      </w:r>
      <w:r w:rsidR="00580E0E">
        <w:rPr>
          <w:rFonts w:hint="eastAsia"/>
        </w:rPr>
        <w:instrText>–</w:instrText>
      </w:r>
      <w:r w:rsidR="00580E0E">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580E0E">
        <w:rPr>
          <w:rFonts w:hint="eastAsia"/>
        </w:rPr>
        <w:instrText>–</w:instrText>
      </w:r>
      <w:r w:rsidR="00580E0E">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580E0E">
        <w:rPr>
          <w:rFonts w:hint="eastAsia"/>
        </w:rPr>
        <w:instrText>–</w:instrText>
      </w:r>
      <w:r w:rsidR="00580E0E">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580E0E" w:rsidRPr="00580E0E">
        <w:rPr>
          <w:rFonts w:cs="Mangal"/>
          <w:szCs w:val="24"/>
          <w:vertAlign w:val="superscript"/>
          <w:lang w:bidi="hi-IN"/>
        </w:rPr>
        <w:t>80–82</w:t>
      </w:r>
      <w:r>
        <w:fldChar w:fldCharType="end"/>
      </w:r>
      <w:r>
        <w:t xml:space="preserve"> and machine learning.</w:t>
      </w:r>
      <w:r>
        <w:fldChar w:fldCharType="begin"/>
      </w:r>
      <w:r w:rsidR="00580E0E">
        <w:instrText xml:space="preserve"> ADDIN ZOTERO_ITEM CSL_CITATION {"citationID":"QwpykdhK","properties":{"unsorted":false,"formattedCitation":"\\super 83\\uc0\\u8211{}85\\nosupersub{}","plainCitation":"83</w:instrText>
      </w:r>
      <w:r w:rsidR="00580E0E">
        <w:rPr>
          <w:rFonts w:hint="eastAsia"/>
        </w:rPr>
        <w:instrText>–</w:instrText>
      </w:r>
      <w:r w:rsidR="00580E0E">
        <w:instrText>85","noteIndex":0},"citationItems":[{"id":352,"uris":["http://zotero.org/users/19404620/items/ZQMDXA4E"],"itemData":{"id":352,"type":"article","abstract":"Predicting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580E0E">
        <w:rPr>
          <w:rFonts w:hint="eastAsia"/>
        </w:rPr>
        <w:instrText>ä</w:instrText>
      </w:r>
      <w:r w:rsidR="00580E0E">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580E0E">
        <w:rPr>
          <w:rFonts w:hint="eastAsia"/>
        </w:rPr>
        <w:instrText>©</w:instrText>
      </w:r>
      <w:r w:rsidR="00580E0E">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580E0E">
        <w:rPr>
          <w:rFonts w:hint="eastAsia"/>
        </w:rPr>
        <w:instrText>–</w:instrText>
      </w:r>
      <w:r w:rsidR="00580E0E">
        <w:instrText>protein binding affinity. Crucially, it achieves strong correlation with experimental readouts on many benchmarks, while being at least 1000</w:instrText>
      </w:r>
      <w:r w:rsidR="00580E0E">
        <w:rPr>
          <w:rFonts w:hint="eastAsia"/>
        </w:rPr>
        <w:instrText>×</w:instrText>
      </w:r>
      <w:r w:rsidR="00580E0E">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580E0E">
        <w:rPr>
          <w:rFonts w:hint="eastAsia"/>
        </w:rPr>
        <w:instrText>©</w:instrText>
      </w:r>
      <w:r w:rsidR="00580E0E">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580E0E" w:rsidRPr="00580E0E">
        <w:rPr>
          <w:rFonts w:cs="Mangal"/>
          <w:szCs w:val="24"/>
          <w:vertAlign w:val="superscript"/>
          <w:lang w:bidi="hi-IN"/>
        </w:rPr>
        <w:t>83–85</w:t>
      </w:r>
      <w:r>
        <w:fldChar w:fldCharType="end"/>
      </w:r>
    </w:p>
    <w:p w14:paraId="24FA0CBE" w14:textId="77777777" w:rsidR="00237C5E" w:rsidRPr="00E536AD" w:rsidRDefault="00237C5E" w:rsidP="00B813C0">
      <w:pPr>
        <w:pStyle w:val="TAMainText"/>
        <w:spacing w:after="240"/>
        <w:rPr>
          <w:rFonts w:ascii="Times New Roman" w:hAnsi="Times New Roman"/>
        </w:rPr>
      </w:pPr>
    </w:p>
    <w:p w14:paraId="31084CFB" w14:textId="77777777" w:rsidR="00776188" w:rsidRDefault="00000000">
      <w:pPr>
        <w:pStyle w:val="TAMainText"/>
        <w:spacing w:before="240" w:after="120"/>
        <w:rPr>
          <w:rFonts w:ascii="Times New Roman" w:hAnsi="Times New Roman"/>
          <w:b/>
          <w:bCs/>
          <w:sz w:val="28"/>
          <w:szCs w:val="22"/>
        </w:rPr>
      </w:pPr>
      <w:r>
        <w:rPr>
          <w:b/>
          <w:bCs/>
        </w:rPr>
        <w:t>ASSOCIATED CONTENT</w:t>
      </w:r>
    </w:p>
    <w:p w14:paraId="267DF700" w14:textId="77777777" w:rsidR="00776188" w:rsidRDefault="00000000">
      <w:pPr>
        <w:pStyle w:val="TAMainText"/>
        <w:spacing w:before="120" w:after="60"/>
        <w:rPr>
          <w:rFonts w:ascii="Times New Roman" w:hAnsi="Times New Roman"/>
          <w:i/>
          <w:iCs/>
        </w:rPr>
      </w:pPr>
      <w:r>
        <w:rPr>
          <w:i/>
          <w:iCs/>
        </w:rPr>
        <w:t>Supporting Information</w:t>
      </w:r>
    </w:p>
    <w:p w14:paraId="49798F38"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778377A" w14:textId="771B293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39F51EE2" w14:textId="0F8D3F5B"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0BAE9C98" w14:textId="77777777" w:rsidR="00776188" w:rsidRDefault="00000000">
      <w:pPr>
        <w:pStyle w:val="TAMainText"/>
        <w:spacing w:after="120"/>
        <w:ind w:left="360"/>
        <w:rPr>
          <w:rFonts w:ascii="Times New Roman" w:hAnsi="Times New Roman"/>
        </w:rPr>
      </w:pPr>
      <w:r>
        <w:lastRenderedPageBreak/>
        <w:t>Supplementary Table 2: RT p66 subunit sequences for the wild type and all 18 simulated genotypes (XLSX)</w:t>
      </w:r>
    </w:p>
    <w:p w14:paraId="44BA3A8D" w14:textId="40B75DE9"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37650A11" w14:textId="229A9D98"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3A3FF5A8"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2C012CF" w14:textId="44CC5EB2"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D9E74CD" w14:textId="77777777" w:rsidR="00776188" w:rsidRDefault="00000000">
      <w:pPr>
        <w:pStyle w:val="TAMainText"/>
        <w:spacing w:before="240" w:after="120"/>
        <w:rPr>
          <w:rFonts w:ascii="Times New Roman" w:hAnsi="Times New Roman"/>
          <w:b/>
          <w:bCs/>
          <w:sz w:val="28"/>
          <w:szCs w:val="22"/>
        </w:rPr>
      </w:pPr>
      <w:r>
        <w:rPr>
          <w:b/>
          <w:bCs/>
        </w:rPr>
        <w:t>AUTHOR INFORMATION</w:t>
      </w:r>
    </w:p>
    <w:p w14:paraId="22F3C201" w14:textId="77777777" w:rsidR="00776188" w:rsidRDefault="00000000">
      <w:pPr>
        <w:pStyle w:val="TAMainText"/>
        <w:spacing w:before="120" w:after="60"/>
        <w:rPr>
          <w:rFonts w:ascii="Times New Roman" w:hAnsi="Times New Roman"/>
          <w:i/>
          <w:iCs/>
        </w:rPr>
      </w:pPr>
      <w:r>
        <w:rPr>
          <w:i/>
          <w:iCs/>
        </w:rPr>
        <w:t>Corresponding Author</w:t>
      </w:r>
    </w:p>
    <w:p w14:paraId="7C66588E" w14:textId="071DD61F"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7D6048A0" w14:textId="77777777" w:rsidR="00776188" w:rsidRDefault="00000000">
      <w:pPr>
        <w:pStyle w:val="TAMainText"/>
        <w:spacing w:before="120" w:after="60"/>
        <w:rPr>
          <w:rFonts w:ascii="Times New Roman" w:hAnsi="Times New Roman"/>
          <w:i/>
          <w:iCs/>
        </w:rPr>
      </w:pPr>
      <w:r>
        <w:rPr>
          <w:i/>
          <w:iCs/>
        </w:rPr>
        <w:t>Authors</w:t>
      </w:r>
    </w:p>
    <w:p w14:paraId="71CF2ADE" w14:textId="592EF9B4" w:rsidR="00776188" w:rsidRDefault="00000000">
      <w:pPr>
        <w:pStyle w:val="TAMainText"/>
        <w:spacing w:after="240"/>
        <w:rPr>
          <w:rFonts w:ascii="Times New Roman" w:hAnsi="Times New Roman"/>
        </w:rPr>
      </w:pPr>
      <w:r>
        <w:t xml:space="preserve">Kaiming Tao — Division of Infectious Diseases, School of Medicine, Stanford University, Stanford, California 94305, United States; </w:t>
      </w:r>
      <w:r w:rsidRPr="007E675C">
        <w:t>orcid.org/</w:t>
      </w:r>
      <w:r w:rsidR="007E675C" w:rsidRPr="007E675C">
        <w:t>0000-0001-8731-1271</w:t>
      </w:r>
    </w:p>
    <w:p w14:paraId="33AC7385" w14:textId="6529ACEB" w:rsidR="00776188" w:rsidRDefault="00000000">
      <w:pPr>
        <w:pStyle w:val="TAMainText"/>
        <w:spacing w:after="240"/>
        <w:rPr>
          <w:rFonts w:ascii="Times New Roman" w:hAnsi="Times New Roman"/>
        </w:rPr>
      </w:pPr>
      <w:r>
        <w:lastRenderedPageBreak/>
        <w:t xml:space="preserve">Robert W. Shafer — Division of Infectious Diseases, School of Medicine, Stanford University, Stanford, California 94305, United States; </w:t>
      </w:r>
      <w:r w:rsidRPr="009C0320">
        <w:t>orcid.org/</w:t>
      </w:r>
      <w:r w:rsidR="009C0320" w:rsidRPr="009C0320">
        <w:t>0000-0003-2513-2643</w:t>
      </w:r>
    </w:p>
    <w:p w14:paraId="79D88C4E" w14:textId="77777777" w:rsidR="00776188" w:rsidRDefault="00000000">
      <w:pPr>
        <w:pStyle w:val="TAMainText"/>
        <w:spacing w:before="120" w:after="60"/>
        <w:rPr>
          <w:rFonts w:ascii="Times New Roman" w:hAnsi="Times New Roman"/>
          <w:i/>
          <w:iCs/>
        </w:rPr>
      </w:pPr>
      <w:r>
        <w:rPr>
          <w:i/>
          <w:iCs/>
        </w:rPr>
        <w:t>Author Contributions</w:t>
      </w:r>
    </w:p>
    <w:p w14:paraId="038B881F" w14:textId="2BE56464"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AF1C370" w14:textId="77777777" w:rsidR="00776188" w:rsidRDefault="00000000">
      <w:pPr>
        <w:pStyle w:val="TAMainText"/>
        <w:spacing w:before="120" w:after="60"/>
        <w:rPr>
          <w:rFonts w:ascii="Times New Roman" w:hAnsi="Times New Roman"/>
          <w:i/>
          <w:iCs/>
        </w:rPr>
      </w:pPr>
      <w:r>
        <w:rPr>
          <w:i/>
          <w:iCs/>
        </w:rPr>
        <w:t>Funding Sources</w:t>
      </w:r>
    </w:p>
    <w:p w14:paraId="47E35FAD" w14:textId="77777777" w:rsidR="00776188" w:rsidRDefault="00000000">
      <w:pPr>
        <w:pStyle w:val="TAMainText"/>
        <w:spacing w:after="240"/>
        <w:rPr>
          <w:rFonts w:ascii="Times New Roman" w:hAnsi="Times New Roman"/>
        </w:rPr>
      </w:pPr>
      <w:r>
        <w:t xml:space="preserve">This work was supported by the </w:t>
      </w:r>
      <w:r w:rsidRPr="00E91D48">
        <w:t>National Institute of Allergy and Infectious Diseases, National Institutes of Health (grant number R24AI136618 to R.W.S.).</w:t>
      </w:r>
      <w:r>
        <w:t xml:space="preserve"> The funders had no role in study design, data collection and analysis, decision to publish, or preparation of the manuscript.</w:t>
      </w:r>
    </w:p>
    <w:p w14:paraId="78DA4E54" w14:textId="77777777" w:rsidR="00776188" w:rsidRDefault="00000000">
      <w:pPr>
        <w:pStyle w:val="TAMainText"/>
        <w:spacing w:before="120" w:after="60"/>
        <w:rPr>
          <w:rFonts w:ascii="Times New Roman" w:hAnsi="Times New Roman"/>
          <w:i/>
          <w:iCs/>
        </w:rPr>
      </w:pPr>
      <w:r>
        <w:rPr>
          <w:i/>
          <w:iCs/>
        </w:rPr>
        <w:t>Notes</w:t>
      </w:r>
    </w:p>
    <w:p w14:paraId="69FBEE97" w14:textId="77777777" w:rsidR="00776188" w:rsidRDefault="00000000">
      <w:pPr>
        <w:pStyle w:val="TAMainText"/>
        <w:spacing w:after="240"/>
        <w:rPr>
          <w:rFonts w:ascii="Times New Roman" w:hAnsi="Times New Roman"/>
        </w:rPr>
      </w:pPr>
      <w:r>
        <w:t>The authors declare no competing financial interest.</w:t>
      </w:r>
    </w:p>
    <w:p w14:paraId="00FCFD49" w14:textId="77777777" w:rsidR="00776188" w:rsidRDefault="00000000">
      <w:pPr>
        <w:pStyle w:val="TAMainText"/>
        <w:spacing w:before="240" w:after="120"/>
        <w:rPr>
          <w:rFonts w:ascii="Times New Roman" w:hAnsi="Times New Roman"/>
          <w:b/>
          <w:bCs/>
          <w:sz w:val="28"/>
          <w:szCs w:val="22"/>
        </w:rPr>
      </w:pPr>
      <w:r>
        <w:rPr>
          <w:b/>
          <w:bCs/>
        </w:rPr>
        <w:t>ACKNOWLEDGMENTS</w:t>
      </w:r>
    </w:p>
    <w:p w14:paraId="048D989D"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47247044" w14:textId="77777777" w:rsidR="00776188" w:rsidRDefault="00000000">
      <w:pPr>
        <w:pStyle w:val="TAMainText"/>
        <w:spacing w:before="240" w:after="120"/>
        <w:rPr>
          <w:rFonts w:ascii="Times New Roman" w:hAnsi="Times New Roman"/>
          <w:b/>
          <w:bCs/>
          <w:sz w:val="28"/>
          <w:szCs w:val="22"/>
        </w:rPr>
      </w:pPr>
      <w:r>
        <w:rPr>
          <w:b/>
          <w:bCs/>
        </w:rPr>
        <w:t>ABBREVIATIONS</w:t>
      </w:r>
    </w:p>
    <w:p w14:paraId="5BF3ACA4" w14:textId="77777777" w:rsidR="00776188" w:rsidRDefault="00000000">
      <w:pPr>
        <w:pStyle w:val="TAMainText"/>
        <w:spacing w:after="240"/>
        <w:rPr>
          <w:rFonts w:ascii="Times New Roman" w:hAnsi="Times New Roman"/>
        </w:rPr>
      </w:pPr>
      <w:r>
        <w:t xml:space="preserve">ART, antiretroviral therapy; BAR, Bennett acceptance ratio; CGI, Crooks Gaussian intersection; COM, center of mass; DLV, delavirdine; DOR, doravirine; EFV, efavirenz; ETR, etravirine; FEP, free energy perturbation; MD, molecular dynamics; MM/GBSA, molecular mechanics with </w:t>
      </w:r>
      <w:r>
        <w:lastRenderedPageBreak/>
        <w:t>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2E330032"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395FAEF9" w14:textId="77777777" w:rsidR="008A2546" w:rsidRPr="008A2546" w:rsidRDefault="00574C6E" w:rsidP="008A2546">
      <w:pPr>
        <w:pStyle w:val="Bibliography"/>
        <w:rPr>
          <w:lang w:bidi="hi-IN"/>
        </w:rPr>
      </w:pPr>
      <w:r>
        <w:fldChar w:fldCharType="begin"/>
      </w:r>
      <w:r w:rsidR="008A2546">
        <w:instrText xml:space="preserve"> ADDIN ZOTERO_BIBL {"uncited":[],"omitted":[],"custom":[]} CSL_BIBLIOGRAPHY </w:instrText>
      </w:r>
      <w:r>
        <w:fldChar w:fldCharType="separate"/>
      </w:r>
      <w:r w:rsidR="008A2546" w:rsidRPr="008A2546">
        <w:rPr>
          <w:lang w:bidi="hi-IN"/>
        </w:rPr>
        <w:t>(1)</w:t>
      </w:r>
      <w:r w:rsidR="008A2546" w:rsidRPr="008A2546">
        <w:rPr>
          <w:lang w:bidi="hi-IN"/>
        </w:rPr>
        <w:tab/>
        <w:t xml:space="preserve">Kohlstaedt, L. A.; Wang, J.; Friedman, J. M.; Rice, P. A.; Steitz, T. A. Crystal Structure at 3.5 Å Resolution of HIV-1 Reverse Transcriptase Complexed with an Inhibitor. </w:t>
      </w:r>
      <w:r w:rsidR="008A2546" w:rsidRPr="008A2546">
        <w:rPr>
          <w:i/>
          <w:iCs/>
          <w:lang w:bidi="hi-IN"/>
        </w:rPr>
        <w:t>Science</w:t>
      </w:r>
      <w:r w:rsidR="008A2546" w:rsidRPr="008A2546">
        <w:rPr>
          <w:lang w:bidi="hi-IN"/>
        </w:rPr>
        <w:t xml:space="preserve"> </w:t>
      </w:r>
      <w:r w:rsidR="008A2546" w:rsidRPr="008A2546">
        <w:rPr>
          <w:b/>
          <w:bCs/>
          <w:lang w:bidi="hi-IN"/>
        </w:rPr>
        <w:t>1992</w:t>
      </w:r>
      <w:r w:rsidR="008A2546" w:rsidRPr="008A2546">
        <w:rPr>
          <w:lang w:bidi="hi-IN"/>
        </w:rPr>
        <w:t xml:space="preserve">, </w:t>
      </w:r>
      <w:r w:rsidR="008A2546" w:rsidRPr="008A2546">
        <w:rPr>
          <w:i/>
          <w:iCs/>
          <w:lang w:bidi="hi-IN"/>
        </w:rPr>
        <w:t>256</w:t>
      </w:r>
      <w:r w:rsidR="008A2546" w:rsidRPr="008A2546">
        <w:rPr>
          <w:lang w:bidi="hi-IN"/>
        </w:rPr>
        <w:t xml:space="preserve"> (5065), 1783–1790. https://doi.org/10.1126/science.1377403</w:t>
      </w:r>
    </w:p>
    <w:p w14:paraId="26C85030" w14:textId="77777777" w:rsidR="008A2546" w:rsidRPr="008A2546" w:rsidRDefault="008A2546" w:rsidP="008A2546">
      <w:pPr>
        <w:pStyle w:val="Bibliography"/>
        <w:rPr>
          <w:lang w:bidi="hi-IN"/>
        </w:rPr>
      </w:pPr>
      <w:r w:rsidRPr="008A2546">
        <w:rPr>
          <w:lang w:bidi="hi-IN"/>
        </w:rPr>
        <w:t>(2)</w:t>
      </w:r>
      <w:r w:rsidRPr="008A2546">
        <w:rPr>
          <w:lang w:bidi="hi-IN"/>
        </w:rPr>
        <w:tab/>
        <w:t xml:space="preserve">Spence, R. A.; Kati, W. M.; Anderson, K. S.; Johnson, K. A. Mechanism of Inhibition of HIV-1 Reverse Transcriptase by Nonnucleoside Inhibitors. </w:t>
      </w:r>
      <w:r w:rsidRPr="008A2546">
        <w:rPr>
          <w:i/>
          <w:iCs/>
          <w:lang w:bidi="hi-IN"/>
        </w:rPr>
        <w:t>Science</w:t>
      </w:r>
      <w:r w:rsidRPr="008A2546">
        <w:rPr>
          <w:lang w:bidi="hi-IN"/>
        </w:rPr>
        <w:t xml:space="preserve"> </w:t>
      </w:r>
      <w:r w:rsidRPr="008A2546">
        <w:rPr>
          <w:b/>
          <w:bCs/>
          <w:lang w:bidi="hi-IN"/>
        </w:rPr>
        <w:t>1995</w:t>
      </w:r>
      <w:r w:rsidRPr="008A2546">
        <w:rPr>
          <w:lang w:bidi="hi-IN"/>
        </w:rPr>
        <w:t xml:space="preserve">, </w:t>
      </w:r>
      <w:r w:rsidRPr="008A2546">
        <w:rPr>
          <w:i/>
          <w:iCs/>
          <w:lang w:bidi="hi-IN"/>
        </w:rPr>
        <w:t>267</w:t>
      </w:r>
      <w:r w:rsidRPr="008A2546">
        <w:rPr>
          <w:lang w:bidi="hi-IN"/>
        </w:rPr>
        <w:t xml:space="preserve"> (5200), 988–993. https://doi.org/10.1126/science.7532321</w:t>
      </w:r>
    </w:p>
    <w:p w14:paraId="6DB91115" w14:textId="77777777" w:rsidR="008A2546" w:rsidRPr="008A2546" w:rsidRDefault="008A2546" w:rsidP="008A2546">
      <w:pPr>
        <w:pStyle w:val="Bibliography"/>
        <w:rPr>
          <w:lang w:bidi="hi-IN"/>
        </w:rPr>
      </w:pPr>
      <w:r w:rsidRPr="008A2546">
        <w:rPr>
          <w:lang w:bidi="hi-IN"/>
        </w:rPr>
        <w:t>(3)</w:t>
      </w:r>
      <w:r w:rsidRPr="008A2546">
        <w:rPr>
          <w:lang w:bidi="hi-IN"/>
        </w:rPr>
        <w:tab/>
        <w:t xml:space="preserve">Rodgers, D. W.; Gamblin, S. J.; Harris, B. A.; Ray, S.; Culp, J. S.; Hellmig, B.; Woolf, D. J.; Debouck, C.; Harrison, S. C. The Structure of Unliganded Reverse Transcriptase from the Human Immunodeficiency Virus Type 1. </w:t>
      </w:r>
      <w:r w:rsidRPr="008A2546">
        <w:rPr>
          <w:i/>
          <w:iCs/>
          <w:lang w:bidi="hi-IN"/>
        </w:rPr>
        <w:t>Proceedings of the National Academy of Sciences</w:t>
      </w:r>
      <w:r w:rsidRPr="008A2546">
        <w:rPr>
          <w:lang w:bidi="hi-IN"/>
        </w:rPr>
        <w:t xml:space="preserve"> </w:t>
      </w:r>
      <w:r w:rsidRPr="008A2546">
        <w:rPr>
          <w:b/>
          <w:bCs/>
          <w:lang w:bidi="hi-IN"/>
        </w:rPr>
        <w:t>1995</w:t>
      </w:r>
      <w:r w:rsidRPr="008A2546">
        <w:rPr>
          <w:lang w:bidi="hi-IN"/>
        </w:rPr>
        <w:t xml:space="preserve">, </w:t>
      </w:r>
      <w:r w:rsidRPr="008A2546">
        <w:rPr>
          <w:i/>
          <w:iCs/>
          <w:lang w:bidi="hi-IN"/>
        </w:rPr>
        <w:t>92</w:t>
      </w:r>
      <w:r w:rsidRPr="008A2546">
        <w:rPr>
          <w:lang w:bidi="hi-IN"/>
        </w:rPr>
        <w:t xml:space="preserve"> (4), 1222–1226. https://doi.org/10.1073/pnas.92.4.1222</w:t>
      </w:r>
    </w:p>
    <w:p w14:paraId="6FD1560D" w14:textId="77777777" w:rsidR="008A2546" w:rsidRPr="008A2546" w:rsidRDefault="008A2546" w:rsidP="008A2546">
      <w:pPr>
        <w:pStyle w:val="Bibliography"/>
        <w:rPr>
          <w:lang w:bidi="hi-IN"/>
        </w:rPr>
      </w:pPr>
      <w:r w:rsidRPr="008A2546">
        <w:rPr>
          <w:lang w:bidi="hi-IN"/>
        </w:rPr>
        <w:t>(4)</w:t>
      </w:r>
      <w:r w:rsidRPr="008A2546">
        <w:rPr>
          <w:lang w:bidi="hi-IN"/>
        </w:rPr>
        <w:tab/>
        <w:t xml:space="preserve">Hsiou, Y.; Ding, J.; Das, K.; AD Clark, J.; Hughes, S. H.; Arnold, E. Structure of Unliganded HIV-1 Reverse Transcriptase at 2.7 å Resolution: Implications of Conformational Changes for Polymerization and Inhibition Mechanisms. </w:t>
      </w:r>
      <w:r w:rsidRPr="008A2546">
        <w:rPr>
          <w:i/>
          <w:iCs/>
          <w:lang w:bidi="hi-IN"/>
        </w:rPr>
        <w:t>Structure</w:t>
      </w:r>
      <w:r w:rsidRPr="008A2546">
        <w:rPr>
          <w:lang w:bidi="hi-IN"/>
        </w:rPr>
        <w:t xml:space="preserve"> </w:t>
      </w:r>
      <w:r w:rsidRPr="008A2546">
        <w:rPr>
          <w:b/>
          <w:bCs/>
          <w:lang w:bidi="hi-IN"/>
        </w:rPr>
        <w:t>1996</w:t>
      </w:r>
      <w:r w:rsidRPr="008A2546">
        <w:rPr>
          <w:lang w:bidi="hi-IN"/>
        </w:rPr>
        <w:t xml:space="preserve">, </w:t>
      </w:r>
      <w:r w:rsidRPr="008A2546">
        <w:rPr>
          <w:i/>
          <w:iCs/>
          <w:lang w:bidi="hi-IN"/>
        </w:rPr>
        <w:t>4</w:t>
      </w:r>
      <w:r w:rsidRPr="008A2546">
        <w:rPr>
          <w:lang w:bidi="hi-IN"/>
        </w:rPr>
        <w:t xml:space="preserve"> (7), 853–860. https://doi.org/10.1016/S0969-2126(96)00091-3</w:t>
      </w:r>
    </w:p>
    <w:p w14:paraId="4CDF217D" w14:textId="77777777" w:rsidR="008A2546" w:rsidRPr="008A2546" w:rsidRDefault="008A2546" w:rsidP="008A2546">
      <w:pPr>
        <w:pStyle w:val="Bibliography"/>
        <w:rPr>
          <w:lang w:bidi="hi-IN"/>
        </w:rPr>
      </w:pPr>
      <w:r w:rsidRPr="008A2546">
        <w:rPr>
          <w:lang w:bidi="hi-IN"/>
        </w:rPr>
        <w:t>(5)</w:t>
      </w:r>
      <w:r w:rsidRPr="008A2546">
        <w:rPr>
          <w:lang w:bidi="hi-IN"/>
        </w:rPr>
        <w:tab/>
        <w:t xml:space="preserve">Arts, E. J.; Hazuda, D. J. HIV-1 Antiretroviral Drug Therapy. </w:t>
      </w:r>
      <w:r w:rsidRPr="008A2546">
        <w:rPr>
          <w:i/>
          <w:iCs/>
          <w:lang w:bidi="hi-IN"/>
        </w:rPr>
        <w:t>Cold Spring Harb Perspect Med</w:t>
      </w:r>
      <w:r w:rsidRPr="008A2546">
        <w:rPr>
          <w:lang w:bidi="hi-IN"/>
        </w:rPr>
        <w:t xml:space="preserve"> </w:t>
      </w:r>
      <w:r w:rsidRPr="008A2546">
        <w:rPr>
          <w:b/>
          <w:bCs/>
          <w:lang w:bidi="hi-IN"/>
        </w:rPr>
        <w:t>2012</w:t>
      </w:r>
      <w:r w:rsidRPr="008A2546">
        <w:rPr>
          <w:lang w:bidi="hi-IN"/>
        </w:rPr>
        <w:t xml:space="preserve">, </w:t>
      </w:r>
      <w:r w:rsidRPr="008A2546">
        <w:rPr>
          <w:i/>
          <w:iCs/>
          <w:lang w:bidi="hi-IN"/>
        </w:rPr>
        <w:t>2</w:t>
      </w:r>
      <w:r w:rsidRPr="008A2546">
        <w:rPr>
          <w:lang w:bidi="hi-IN"/>
        </w:rPr>
        <w:t xml:space="preserve"> (4), a007161. https://doi.org/10.1101/cshperspect.a007161</w:t>
      </w:r>
    </w:p>
    <w:p w14:paraId="2714A07D" w14:textId="77777777" w:rsidR="008A2546" w:rsidRPr="008A2546" w:rsidRDefault="008A2546" w:rsidP="008A2546">
      <w:pPr>
        <w:pStyle w:val="Bibliography"/>
        <w:rPr>
          <w:lang w:bidi="hi-IN"/>
        </w:rPr>
      </w:pPr>
      <w:r w:rsidRPr="008A2546">
        <w:rPr>
          <w:lang w:bidi="hi-IN"/>
        </w:rPr>
        <w:t>(6)</w:t>
      </w:r>
      <w:r w:rsidRPr="008A2546">
        <w:rPr>
          <w:lang w:bidi="hi-IN"/>
        </w:rPr>
        <w:tab/>
        <w:t xml:space="preserve">Cilento, M. E.; Kirby, K. A.; Sarafianos, S. G. Avoiding Drug Resistance in HIV Reverse Transcriptase. </w:t>
      </w:r>
      <w:r w:rsidRPr="008A2546">
        <w:rPr>
          <w:i/>
          <w:iCs/>
          <w:lang w:bidi="hi-IN"/>
        </w:rPr>
        <w:t>Chem. Rev.</w:t>
      </w:r>
      <w:r w:rsidRPr="008A2546">
        <w:rPr>
          <w:lang w:bidi="hi-IN"/>
        </w:rPr>
        <w:t xml:space="preserve"> </w:t>
      </w:r>
      <w:r w:rsidRPr="008A2546">
        <w:rPr>
          <w:b/>
          <w:bCs/>
          <w:lang w:bidi="hi-IN"/>
        </w:rPr>
        <w:t>2021</w:t>
      </w:r>
      <w:r w:rsidRPr="008A2546">
        <w:rPr>
          <w:lang w:bidi="hi-IN"/>
        </w:rPr>
        <w:t xml:space="preserve">, </w:t>
      </w:r>
      <w:r w:rsidRPr="008A2546">
        <w:rPr>
          <w:i/>
          <w:iCs/>
          <w:lang w:bidi="hi-IN"/>
        </w:rPr>
        <w:t>121</w:t>
      </w:r>
      <w:r w:rsidRPr="008A2546">
        <w:rPr>
          <w:lang w:bidi="hi-IN"/>
        </w:rPr>
        <w:t xml:space="preserve"> (6), 3271–3296. https://doi.org/10.1021/acs.chemrev.0c00967</w:t>
      </w:r>
    </w:p>
    <w:p w14:paraId="5D5D9A59" w14:textId="77777777" w:rsidR="008A2546" w:rsidRPr="008A2546" w:rsidRDefault="008A2546" w:rsidP="008A2546">
      <w:pPr>
        <w:pStyle w:val="Bibliography"/>
        <w:rPr>
          <w:lang w:bidi="hi-IN"/>
        </w:rPr>
      </w:pPr>
      <w:r w:rsidRPr="008A2546">
        <w:rPr>
          <w:lang w:bidi="hi-IN"/>
        </w:rPr>
        <w:t>(7)</w:t>
      </w:r>
      <w:r w:rsidRPr="008A2546">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8A2546">
        <w:rPr>
          <w:i/>
          <w:iCs/>
          <w:lang w:bidi="hi-IN"/>
        </w:rPr>
        <w:t>Journal of Molecular Biology</w:t>
      </w:r>
      <w:r w:rsidRPr="008A2546">
        <w:rPr>
          <w:lang w:bidi="hi-IN"/>
        </w:rPr>
        <w:t xml:space="preserve"> </w:t>
      </w:r>
      <w:r w:rsidRPr="008A2546">
        <w:rPr>
          <w:b/>
          <w:bCs/>
          <w:lang w:bidi="hi-IN"/>
        </w:rPr>
        <w:t>1994</w:t>
      </w:r>
      <w:r w:rsidRPr="008A2546">
        <w:rPr>
          <w:lang w:bidi="hi-IN"/>
        </w:rPr>
        <w:t xml:space="preserve">, </w:t>
      </w:r>
      <w:r w:rsidRPr="008A2546">
        <w:rPr>
          <w:i/>
          <w:iCs/>
          <w:lang w:bidi="hi-IN"/>
        </w:rPr>
        <w:t>243</w:t>
      </w:r>
      <w:r w:rsidRPr="008A2546">
        <w:rPr>
          <w:lang w:bidi="hi-IN"/>
        </w:rPr>
        <w:t xml:space="preserve"> (3), 369–387. https://doi.org/10.1006/jmbi.1994.1665</w:t>
      </w:r>
    </w:p>
    <w:p w14:paraId="6AF73859" w14:textId="77777777" w:rsidR="008A2546" w:rsidRPr="008A2546" w:rsidRDefault="008A2546" w:rsidP="008A2546">
      <w:pPr>
        <w:pStyle w:val="Bibliography"/>
        <w:rPr>
          <w:lang w:bidi="hi-IN"/>
        </w:rPr>
      </w:pPr>
      <w:r w:rsidRPr="008A2546">
        <w:rPr>
          <w:lang w:bidi="hi-IN"/>
        </w:rPr>
        <w:t>(8)</w:t>
      </w:r>
      <w:r w:rsidRPr="008A2546">
        <w:rPr>
          <w:lang w:bidi="hi-IN"/>
        </w:rPr>
        <w:tab/>
        <w:t xml:space="preserve">Schauer, G. D.; Huber, K. D.; Leuba, S. H.; Sluis-Cremer, N. Mechanism of Allosteric Inhibition of HIV-1 Reverse Transcriptase Revealed by Single-Molecule and Ensemble Fluorescence. </w:t>
      </w:r>
      <w:r w:rsidRPr="008A2546">
        <w:rPr>
          <w:i/>
          <w:iCs/>
          <w:lang w:bidi="hi-IN"/>
        </w:rPr>
        <w:t>Nucleic Acids Res</w:t>
      </w:r>
      <w:r w:rsidRPr="008A2546">
        <w:rPr>
          <w:lang w:bidi="hi-IN"/>
        </w:rPr>
        <w:t xml:space="preserve"> </w:t>
      </w:r>
      <w:r w:rsidRPr="008A2546">
        <w:rPr>
          <w:b/>
          <w:bCs/>
          <w:lang w:bidi="hi-IN"/>
        </w:rPr>
        <w:t>2014</w:t>
      </w:r>
      <w:r w:rsidRPr="008A2546">
        <w:rPr>
          <w:lang w:bidi="hi-IN"/>
        </w:rPr>
        <w:t xml:space="preserve">, </w:t>
      </w:r>
      <w:r w:rsidRPr="008A2546">
        <w:rPr>
          <w:i/>
          <w:iCs/>
          <w:lang w:bidi="hi-IN"/>
        </w:rPr>
        <w:t>42</w:t>
      </w:r>
      <w:r w:rsidRPr="008A2546">
        <w:rPr>
          <w:lang w:bidi="hi-IN"/>
        </w:rPr>
        <w:t xml:space="preserve"> (18), 11687–11696. https://doi.org/10.1093/nar/gku819</w:t>
      </w:r>
    </w:p>
    <w:p w14:paraId="29399D61" w14:textId="77777777" w:rsidR="008A2546" w:rsidRPr="008A2546" w:rsidRDefault="008A2546" w:rsidP="008A2546">
      <w:pPr>
        <w:pStyle w:val="Bibliography"/>
        <w:rPr>
          <w:lang w:bidi="hi-IN"/>
        </w:rPr>
      </w:pPr>
      <w:r w:rsidRPr="008A2546">
        <w:rPr>
          <w:lang w:bidi="hi-IN"/>
        </w:rPr>
        <w:lastRenderedPageBreak/>
        <w:t>(9)</w:t>
      </w:r>
      <w:r w:rsidRPr="008A2546">
        <w:rPr>
          <w:lang w:bidi="hi-IN"/>
        </w:rPr>
        <w:tab/>
        <w:t xml:space="preserve">Hsiou, Y.; Ding, J.; Das, K.; Clark, A. D.; Boyer, P. L.; Lewi, P.; Janssen, P. A. J.; Kleim, J.-P.; Rösner, M.; Hughes, S. H.; Arnold, E. The Lys103Asn Mutation of HIV-1 RT: A Novel Mechanism of Drug Resistance. </w:t>
      </w:r>
      <w:r w:rsidRPr="008A2546">
        <w:rPr>
          <w:i/>
          <w:iCs/>
          <w:lang w:bidi="hi-IN"/>
        </w:rPr>
        <w:t>Journal of Molecular Biology</w:t>
      </w:r>
      <w:r w:rsidRPr="008A2546">
        <w:rPr>
          <w:lang w:bidi="hi-IN"/>
        </w:rPr>
        <w:t xml:space="preserve"> </w:t>
      </w:r>
      <w:r w:rsidRPr="008A2546">
        <w:rPr>
          <w:b/>
          <w:bCs/>
          <w:lang w:bidi="hi-IN"/>
        </w:rPr>
        <w:t>2001</w:t>
      </w:r>
      <w:r w:rsidRPr="008A2546">
        <w:rPr>
          <w:lang w:bidi="hi-IN"/>
        </w:rPr>
        <w:t xml:space="preserve">, </w:t>
      </w:r>
      <w:r w:rsidRPr="008A2546">
        <w:rPr>
          <w:i/>
          <w:iCs/>
          <w:lang w:bidi="hi-IN"/>
        </w:rPr>
        <w:t>309</w:t>
      </w:r>
      <w:r w:rsidRPr="008A2546">
        <w:rPr>
          <w:lang w:bidi="hi-IN"/>
        </w:rPr>
        <w:t xml:space="preserve"> (2), 437–445. https://doi.org/10.1006/jmbi.2001.4648</w:t>
      </w:r>
    </w:p>
    <w:p w14:paraId="22574D0F" w14:textId="77777777" w:rsidR="008A2546" w:rsidRPr="008A2546" w:rsidRDefault="008A2546" w:rsidP="008A2546">
      <w:pPr>
        <w:pStyle w:val="Bibliography"/>
        <w:rPr>
          <w:lang w:bidi="hi-IN"/>
        </w:rPr>
      </w:pPr>
      <w:r w:rsidRPr="008A2546">
        <w:rPr>
          <w:lang w:bidi="hi-IN"/>
        </w:rPr>
        <w:t>(10)</w:t>
      </w:r>
      <w:r w:rsidRPr="008A2546">
        <w:rPr>
          <w:lang w:bidi="hi-IN"/>
        </w:rPr>
        <w:tab/>
        <w:t xml:space="preserve">Lai, M.-T.; Munshi, V.; Lu, M.; Feng, M.; Hrin-Solt, R.; McKenna, P. M.; Hazuda, D. J.; Miller, M. D. Mechanistic Study of Common Non-Nucleoside Reverse Transcriptase Inhibitor-Resistant Mutations with K103N and Y181C Substitutions. </w:t>
      </w:r>
      <w:r w:rsidRPr="008A2546">
        <w:rPr>
          <w:i/>
          <w:iCs/>
          <w:lang w:bidi="hi-IN"/>
        </w:rPr>
        <w:t>Viruses</w:t>
      </w:r>
      <w:r w:rsidRPr="008A2546">
        <w:rPr>
          <w:lang w:bidi="hi-IN"/>
        </w:rPr>
        <w:t xml:space="preserve"> </w:t>
      </w:r>
      <w:r w:rsidRPr="008A2546">
        <w:rPr>
          <w:b/>
          <w:bCs/>
          <w:lang w:bidi="hi-IN"/>
        </w:rPr>
        <w:t>2016</w:t>
      </w:r>
      <w:r w:rsidRPr="008A2546">
        <w:rPr>
          <w:lang w:bidi="hi-IN"/>
        </w:rPr>
        <w:t xml:space="preserve">, </w:t>
      </w:r>
      <w:r w:rsidRPr="008A2546">
        <w:rPr>
          <w:i/>
          <w:iCs/>
          <w:lang w:bidi="hi-IN"/>
        </w:rPr>
        <w:t>8</w:t>
      </w:r>
      <w:r w:rsidRPr="008A2546">
        <w:rPr>
          <w:lang w:bidi="hi-IN"/>
        </w:rPr>
        <w:t xml:space="preserve"> (10), 263. https://doi.org/10.3390/v8100263</w:t>
      </w:r>
    </w:p>
    <w:p w14:paraId="0A34027B" w14:textId="77777777" w:rsidR="008A2546" w:rsidRPr="008A2546" w:rsidRDefault="008A2546" w:rsidP="008A2546">
      <w:pPr>
        <w:pStyle w:val="Bibliography"/>
        <w:rPr>
          <w:lang w:bidi="hi-IN"/>
        </w:rPr>
      </w:pPr>
      <w:r w:rsidRPr="008A2546">
        <w:rPr>
          <w:lang w:bidi="hi-IN"/>
        </w:rPr>
        <w:t>(11)</w:t>
      </w:r>
      <w:r w:rsidRPr="008A2546">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8A2546">
        <w:rPr>
          <w:i/>
          <w:iCs/>
          <w:lang w:bidi="hi-IN"/>
        </w:rPr>
        <w:t>Journal of Molecular Biology</w:t>
      </w:r>
      <w:r w:rsidRPr="008A2546">
        <w:rPr>
          <w:lang w:bidi="hi-IN"/>
        </w:rPr>
        <w:t xml:space="preserve"> </w:t>
      </w:r>
      <w:r w:rsidRPr="008A2546">
        <w:rPr>
          <w:b/>
          <w:bCs/>
          <w:lang w:bidi="hi-IN"/>
        </w:rPr>
        <w:t>2001</w:t>
      </w:r>
      <w:r w:rsidRPr="008A2546">
        <w:rPr>
          <w:lang w:bidi="hi-IN"/>
        </w:rPr>
        <w:t xml:space="preserve">, </w:t>
      </w:r>
      <w:r w:rsidRPr="008A2546">
        <w:rPr>
          <w:i/>
          <w:iCs/>
          <w:lang w:bidi="hi-IN"/>
        </w:rPr>
        <w:t>312</w:t>
      </w:r>
      <w:r w:rsidRPr="008A2546">
        <w:rPr>
          <w:lang w:bidi="hi-IN"/>
        </w:rPr>
        <w:t xml:space="preserve"> (4), 795–805. https://doi.org/10.1006/jmbi.2001.4988</w:t>
      </w:r>
    </w:p>
    <w:p w14:paraId="084FEDD9" w14:textId="77777777" w:rsidR="008A2546" w:rsidRPr="008A2546" w:rsidRDefault="008A2546" w:rsidP="008A2546">
      <w:pPr>
        <w:pStyle w:val="Bibliography"/>
        <w:rPr>
          <w:lang w:bidi="hi-IN"/>
        </w:rPr>
      </w:pPr>
      <w:r w:rsidRPr="008A2546">
        <w:rPr>
          <w:lang w:bidi="hi-IN"/>
        </w:rPr>
        <w:t>(12)</w:t>
      </w:r>
      <w:r w:rsidRPr="008A2546">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8A2546">
        <w:rPr>
          <w:i/>
          <w:iCs/>
          <w:lang w:bidi="hi-IN"/>
        </w:rPr>
        <w:t>J. Med. Chem.</w:t>
      </w:r>
      <w:r w:rsidRPr="008A2546">
        <w:rPr>
          <w:lang w:bidi="hi-IN"/>
        </w:rPr>
        <w:t xml:space="preserve"> </w:t>
      </w:r>
      <w:r w:rsidRPr="008A2546">
        <w:rPr>
          <w:b/>
          <w:bCs/>
          <w:lang w:bidi="hi-IN"/>
        </w:rPr>
        <w:t>2004</w:t>
      </w:r>
      <w:r w:rsidRPr="008A2546">
        <w:rPr>
          <w:lang w:bidi="hi-IN"/>
        </w:rPr>
        <w:t xml:space="preserve">, </w:t>
      </w:r>
      <w:r w:rsidRPr="008A2546">
        <w:rPr>
          <w:i/>
          <w:iCs/>
          <w:lang w:bidi="hi-IN"/>
        </w:rPr>
        <w:t>47</w:t>
      </w:r>
      <w:r w:rsidRPr="008A2546">
        <w:rPr>
          <w:lang w:bidi="hi-IN"/>
        </w:rPr>
        <w:t xml:space="preserve"> (10), 2550–2560. https://doi.org/10.1021/jm030558s</w:t>
      </w:r>
    </w:p>
    <w:p w14:paraId="7D64440B" w14:textId="77777777" w:rsidR="008A2546" w:rsidRPr="008A2546" w:rsidRDefault="008A2546" w:rsidP="008A2546">
      <w:pPr>
        <w:pStyle w:val="Bibliography"/>
        <w:rPr>
          <w:lang w:bidi="hi-IN"/>
        </w:rPr>
      </w:pPr>
      <w:r w:rsidRPr="008A2546">
        <w:rPr>
          <w:lang w:bidi="hi-IN"/>
        </w:rPr>
        <w:t>(13)</w:t>
      </w:r>
      <w:r w:rsidRPr="008A2546">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8A2546">
        <w:rPr>
          <w:i/>
          <w:iCs/>
          <w:lang w:bidi="hi-IN"/>
        </w:rPr>
        <w:t>Proceedings of the National Academy of Sciences</w:t>
      </w:r>
      <w:r w:rsidRPr="008A2546">
        <w:rPr>
          <w:lang w:bidi="hi-IN"/>
        </w:rPr>
        <w:t xml:space="preserve"> </w:t>
      </w:r>
      <w:r w:rsidRPr="008A2546">
        <w:rPr>
          <w:b/>
          <w:bCs/>
          <w:lang w:bidi="hi-IN"/>
        </w:rPr>
        <w:t>2008</w:t>
      </w:r>
      <w:r w:rsidRPr="008A2546">
        <w:rPr>
          <w:lang w:bidi="hi-IN"/>
        </w:rPr>
        <w:t xml:space="preserve">, </w:t>
      </w:r>
      <w:r w:rsidRPr="008A2546">
        <w:rPr>
          <w:i/>
          <w:iCs/>
          <w:lang w:bidi="hi-IN"/>
        </w:rPr>
        <w:t>105</w:t>
      </w:r>
      <w:r w:rsidRPr="008A2546">
        <w:rPr>
          <w:lang w:bidi="hi-IN"/>
        </w:rPr>
        <w:t xml:space="preserve"> (5), 1466–1471. https://doi.org/10.1073/pnas.0711209105</w:t>
      </w:r>
    </w:p>
    <w:p w14:paraId="0A934C44" w14:textId="77777777" w:rsidR="008A2546" w:rsidRPr="008A2546" w:rsidRDefault="008A2546" w:rsidP="008A2546">
      <w:pPr>
        <w:pStyle w:val="Bibliography"/>
        <w:rPr>
          <w:lang w:bidi="hi-IN"/>
        </w:rPr>
      </w:pPr>
      <w:r w:rsidRPr="008A2546">
        <w:rPr>
          <w:lang w:bidi="hi-IN"/>
        </w:rPr>
        <w:t>(14)</w:t>
      </w:r>
      <w:r w:rsidRPr="008A2546">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8A2546">
        <w:rPr>
          <w:i/>
          <w:iCs/>
          <w:lang w:bidi="hi-IN"/>
        </w:rPr>
        <w:t>Bioorganic &amp; Medicinal Chemistry Letters</w:t>
      </w:r>
      <w:r w:rsidRPr="008A2546">
        <w:rPr>
          <w:lang w:bidi="hi-IN"/>
        </w:rPr>
        <w:t xml:space="preserve"> </w:t>
      </w:r>
      <w:r w:rsidRPr="008A2546">
        <w:rPr>
          <w:b/>
          <w:bCs/>
          <w:lang w:bidi="hi-IN"/>
        </w:rPr>
        <w:t>2014</w:t>
      </w:r>
      <w:r w:rsidRPr="008A2546">
        <w:rPr>
          <w:lang w:bidi="hi-IN"/>
        </w:rPr>
        <w:t xml:space="preserve">, </w:t>
      </w:r>
      <w:r w:rsidRPr="008A2546">
        <w:rPr>
          <w:i/>
          <w:iCs/>
          <w:lang w:bidi="hi-IN"/>
        </w:rPr>
        <w:t>24</w:t>
      </w:r>
      <w:r w:rsidRPr="008A2546">
        <w:rPr>
          <w:lang w:bidi="hi-IN"/>
        </w:rPr>
        <w:t xml:space="preserve"> (3), 917–922. https://doi.org/10.1016/j.bmcl.2013.12.070</w:t>
      </w:r>
    </w:p>
    <w:p w14:paraId="4FE18054" w14:textId="77777777" w:rsidR="008A2546" w:rsidRPr="008A2546" w:rsidRDefault="008A2546" w:rsidP="008A2546">
      <w:pPr>
        <w:pStyle w:val="Bibliography"/>
        <w:rPr>
          <w:lang w:bidi="hi-IN"/>
        </w:rPr>
      </w:pPr>
      <w:r w:rsidRPr="008A2546">
        <w:rPr>
          <w:lang w:bidi="hi-IN"/>
        </w:rPr>
        <w:t>(15)</w:t>
      </w:r>
      <w:r w:rsidRPr="008A2546">
        <w:rPr>
          <w:lang w:bidi="hi-IN"/>
        </w:rPr>
        <w:tab/>
        <w:t xml:space="preserve">Hwang, C.; Lai, M.-T.; Hazuda, D. Rational Design of Doravirine: From Bench to Patients. </w:t>
      </w:r>
      <w:r w:rsidRPr="008A2546">
        <w:rPr>
          <w:i/>
          <w:iCs/>
          <w:lang w:bidi="hi-IN"/>
        </w:rPr>
        <w:t>ACS Infect. Dis.</w:t>
      </w:r>
      <w:r w:rsidRPr="008A2546">
        <w:rPr>
          <w:lang w:bidi="hi-IN"/>
        </w:rPr>
        <w:t xml:space="preserve"> </w:t>
      </w:r>
      <w:r w:rsidRPr="008A2546">
        <w:rPr>
          <w:b/>
          <w:bCs/>
          <w:lang w:bidi="hi-IN"/>
        </w:rPr>
        <w:t>2020</w:t>
      </w:r>
      <w:r w:rsidRPr="008A2546">
        <w:rPr>
          <w:lang w:bidi="hi-IN"/>
        </w:rPr>
        <w:t xml:space="preserve">, </w:t>
      </w:r>
      <w:r w:rsidRPr="008A2546">
        <w:rPr>
          <w:i/>
          <w:iCs/>
          <w:lang w:bidi="hi-IN"/>
        </w:rPr>
        <w:t>6</w:t>
      </w:r>
      <w:r w:rsidRPr="008A2546">
        <w:rPr>
          <w:lang w:bidi="hi-IN"/>
        </w:rPr>
        <w:t xml:space="preserve"> (1), 64–73. https://doi.org/10.1021/acsinfecdis.9b00178</w:t>
      </w:r>
    </w:p>
    <w:p w14:paraId="1904F620" w14:textId="77777777" w:rsidR="008A2546" w:rsidRPr="008A2546" w:rsidRDefault="008A2546" w:rsidP="008A2546">
      <w:pPr>
        <w:pStyle w:val="Bibliography"/>
        <w:rPr>
          <w:lang w:bidi="hi-IN"/>
        </w:rPr>
      </w:pPr>
      <w:r w:rsidRPr="008A2546">
        <w:rPr>
          <w:lang w:bidi="hi-IN"/>
        </w:rPr>
        <w:t>(16)</w:t>
      </w:r>
      <w:r w:rsidRPr="008A2546">
        <w:rPr>
          <w:lang w:bidi="hi-IN"/>
        </w:rPr>
        <w:tab/>
        <w:t xml:space="preserve">Feng, M.; Wang, D.; Grobler, J. A.; Hazuda, D. J.; Miller, M. D.; Lai, M.-T. In Vitro Resistance Selection with Doravirine (MK-1439), a Novel Nonnucleoside Reverse Transcriptase Inhibitor with Distinct Mutation Development Pathways. </w:t>
      </w:r>
      <w:r w:rsidRPr="008A2546">
        <w:rPr>
          <w:i/>
          <w:iCs/>
          <w:lang w:bidi="hi-IN"/>
        </w:rPr>
        <w:t>Antimicrobial Agents and Chemotherapy</w:t>
      </w:r>
      <w:r w:rsidRPr="008A2546">
        <w:rPr>
          <w:lang w:bidi="hi-IN"/>
        </w:rPr>
        <w:t xml:space="preserve"> </w:t>
      </w:r>
      <w:r w:rsidRPr="008A2546">
        <w:rPr>
          <w:b/>
          <w:bCs/>
          <w:lang w:bidi="hi-IN"/>
        </w:rPr>
        <w:t>2015</w:t>
      </w:r>
      <w:r w:rsidRPr="008A2546">
        <w:rPr>
          <w:lang w:bidi="hi-IN"/>
        </w:rPr>
        <w:t xml:space="preserve">, </w:t>
      </w:r>
      <w:r w:rsidRPr="008A2546">
        <w:rPr>
          <w:i/>
          <w:iCs/>
          <w:lang w:bidi="hi-IN"/>
        </w:rPr>
        <w:t>59</w:t>
      </w:r>
      <w:r w:rsidRPr="008A2546">
        <w:rPr>
          <w:lang w:bidi="hi-IN"/>
        </w:rPr>
        <w:t xml:space="preserve"> (1), 590–598. https://doi.org/10.1128/aac.04201-14</w:t>
      </w:r>
    </w:p>
    <w:p w14:paraId="6E62FAC5" w14:textId="77777777" w:rsidR="008A2546" w:rsidRPr="008A2546" w:rsidRDefault="008A2546" w:rsidP="008A2546">
      <w:pPr>
        <w:pStyle w:val="Bibliography"/>
        <w:rPr>
          <w:lang w:bidi="hi-IN"/>
        </w:rPr>
      </w:pPr>
      <w:r w:rsidRPr="008A2546">
        <w:rPr>
          <w:lang w:bidi="hi-IN"/>
        </w:rPr>
        <w:lastRenderedPageBreak/>
        <w:t>(17)</w:t>
      </w:r>
      <w:r w:rsidRPr="008A2546">
        <w:rPr>
          <w:lang w:bidi="hi-IN"/>
        </w:rPr>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sidRPr="008A2546">
        <w:rPr>
          <w:i/>
          <w:iCs/>
          <w:lang w:bidi="hi-IN"/>
        </w:rPr>
        <w:t>Antimicrobial Agents and Chemotherapy</w:t>
      </w:r>
      <w:r w:rsidRPr="008A2546">
        <w:rPr>
          <w:lang w:bidi="hi-IN"/>
        </w:rPr>
        <w:t xml:space="preserve"> </w:t>
      </w:r>
      <w:r w:rsidRPr="008A2546">
        <w:rPr>
          <w:b/>
          <w:bCs/>
          <w:lang w:bidi="hi-IN"/>
        </w:rPr>
        <w:t>2014</w:t>
      </w:r>
      <w:r w:rsidRPr="008A2546">
        <w:rPr>
          <w:lang w:bidi="hi-IN"/>
        </w:rPr>
        <w:t xml:space="preserve">, </w:t>
      </w:r>
      <w:r w:rsidRPr="008A2546">
        <w:rPr>
          <w:i/>
          <w:iCs/>
          <w:lang w:bidi="hi-IN"/>
        </w:rPr>
        <w:t>58</w:t>
      </w:r>
      <w:r w:rsidRPr="008A2546">
        <w:rPr>
          <w:lang w:bidi="hi-IN"/>
        </w:rPr>
        <w:t xml:space="preserve"> (3), 1652–1663. https://doi.org/10.1128/aac.02403-13</w:t>
      </w:r>
    </w:p>
    <w:p w14:paraId="663B4CE7" w14:textId="77777777" w:rsidR="008A2546" w:rsidRPr="008A2546" w:rsidRDefault="008A2546" w:rsidP="008A2546">
      <w:pPr>
        <w:pStyle w:val="Bibliography"/>
        <w:rPr>
          <w:lang w:bidi="hi-IN"/>
        </w:rPr>
      </w:pPr>
      <w:r w:rsidRPr="008A2546">
        <w:rPr>
          <w:lang w:bidi="hi-IN"/>
        </w:rPr>
        <w:t>(18)</w:t>
      </w:r>
      <w:r w:rsidRPr="008A2546">
        <w:rPr>
          <w:lang w:bidi="hi-IN"/>
        </w:rPr>
        <w:tab/>
        <w:t xml:space="preserve">Rhee, S.-Y.; Schapiro, J. M.; Saladini, F.; Zazzi, M.; Khoo, S.; Shafer, R. W. Potential Role of Doravirine for the Treatment of HIV-1-Infected Persons with Transmitted Drug Resistance. </w:t>
      </w:r>
      <w:r w:rsidRPr="008A2546">
        <w:rPr>
          <w:i/>
          <w:iCs/>
          <w:lang w:bidi="hi-IN"/>
        </w:rPr>
        <w:t>AIDS Res Ther</w:t>
      </w:r>
      <w:r w:rsidRPr="008A2546">
        <w:rPr>
          <w:lang w:bidi="hi-IN"/>
        </w:rPr>
        <w:t xml:space="preserve"> </w:t>
      </w:r>
      <w:r w:rsidRPr="008A2546">
        <w:rPr>
          <w:b/>
          <w:bCs/>
          <w:lang w:bidi="hi-IN"/>
        </w:rPr>
        <w:t>2023</w:t>
      </w:r>
      <w:r w:rsidRPr="008A2546">
        <w:rPr>
          <w:lang w:bidi="hi-IN"/>
        </w:rPr>
        <w:t xml:space="preserve">, </w:t>
      </w:r>
      <w:r w:rsidRPr="008A2546">
        <w:rPr>
          <w:i/>
          <w:iCs/>
          <w:lang w:bidi="hi-IN"/>
        </w:rPr>
        <w:t>20</w:t>
      </w:r>
      <w:r w:rsidRPr="008A2546">
        <w:rPr>
          <w:lang w:bidi="hi-IN"/>
        </w:rPr>
        <w:t xml:space="preserve"> (1), 8. https://doi.org/10.1186/s12981-023-00503-5</w:t>
      </w:r>
    </w:p>
    <w:p w14:paraId="0C0224FE" w14:textId="77777777" w:rsidR="008A2546" w:rsidRPr="008A2546" w:rsidRDefault="008A2546" w:rsidP="008A2546">
      <w:pPr>
        <w:pStyle w:val="Bibliography"/>
        <w:rPr>
          <w:lang w:bidi="hi-IN"/>
        </w:rPr>
      </w:pPr>
      <w:r w:rsidRPr="008A2546">
        <w:rPr>
          <w:lang w:bidi="hi-IN"/>
        </w:rPr>
        <w:t>(19)</w:t>
      </w:r>
      <w:r w:rsidRPr="008A2546">
        <w:rPr>
          <w:lang w:bidi="hi-IN"/>
        </w:rPr>
        <w:tab/>
        <w:t xml:space="preserve">Calza, L.; Colangeli, V.; Pensalfine, G.; Appolloni, L.; Vitale, S.; Bon, I.; Viale, P. Doravirine/Lamivudine/Tenofovir Disoproxil Fumarate in Virologically Suppressed People Living with HIV: A Real-Life Experience. </w:t>
      </w:r>
      <w:r w:rsidRPr="008A2546">
        <w:rPr>
          <w:i/>
          <w:iCs/>
          <w:lang w:bidi="hi-IN"/>
        </w:rPr>
        <w:t>Int J STD AIDS</w:t>
      </w:r>
      <w:r w:rsidRPr="008A2546">
        <w:rPr>
          <w:lang w:bidi="hi-IN"/>
        </w:rPr>
        <w:t xml:space="preserve"> </w:t>
      </w:r>
      <w:r w:rsidRPr="008A2546">
        <w:rPr>
          <w:b/>
          <w:bCs/>
          <w:lang w:bidi="hi-IN"/>
        </w:rPr>
        <w:t>2023</w:t>
      </w:r>
      <w:r w:rsidRPr="008A2546">
        <w:rPr>
          <w:lang w:bidi="hi-IN"/>
        </w:rPr>
        <w:t xml:space="preserve">, </w:t>
      </w:r>
      <w:r w:rsidRPr="008A2546">
        <w:rPr>
          <w:i/>
          <w:iCs/>
          <w:lang w:bidi="hi-IN"/>
        </w:rPr>
        <w:t>34</w:t>
      </w:r>
      <w:r w:rsidRPr="008A2546">
        <w:rPr>
          <w:lang w:bidi="hi-IN"/>
        </w:rPr>
        <w:t xml:space="preserve"> (14), 1018–1023. https://doi.org/10.1177/09564624231195084</w:t>
      </w:r>
    </w:p>
    <w:p w14:paraId="4951ED67" w14:textId="77777777" w:rsidR="008A2546" w:rsidRPr="008A2546" w:rsidRDefault="008A2546" w:rsidP="008A2546">
      <w:pPr>
        <w:pStyle w:val="Bibliography"/>
        <w:rPr>
          <w:lang w:bidi="hi-IN"/>
        </w:rPr>
      </w:pPr>
      <w:r w:rsidRPr="008A2546">
        <w:rPr>
          <w:lang w:bidi="hi-IN"/>
        </w:rPr>
        <w:t>(20)</w:t>
      </w:r>
      <w:r w:rsidRPr="008A2546">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8A2546">
        <w:rPr>
          <w:i/>
          <w:iCs/>
          <w:lang w:bidi="hi-IN"/>
        </w:rPr>
        <w:t>Microbiology Spectrum</w:t>
      </w:r>
      <w:r w:rsidRPr="008A2546">
        <w:rPr>
          <w:lang w:bidi="hi-IN"/>
        </w:rPr>
        <w:t xml:space="preserve"> </w:t>
      </w:r>
      <w:r w:rsidRPr="008A2546">
        <w:rPr>
          <w:b/>
          <w:bCs/>
          <w:lang w:bidi="hi-IN"/>
        </w:rPr>
        <w:t>2024</w:t>
      </w:r>
      <w:r w:rsidRPr="008A2546">
        <w:rPr>
          <w:lang w:bidi="hi-IN"/>
        </w:rPr>
        <w:t xml:space="preserve">, </w:t>
      </w:r>
      <w:r w:rsidRPr="008A2546">
        <w:rPr>
          <w:i/>
          <w:iCs/>
          <w:lang w:bidi="hi-IN"/>
        </w:rPr>
        <w:t>12</w:t>
      </w:r>
      <w:r w:rsidRPr="008A2546">
        <w:rPr>
          <w:lang w:bidi="hi-IN"/>
        </w:rPr>
        <w:t xml:space="preserve"> (8), e00654-24. https://doi.org/10.1128/spectrum.00654-24</w:t>
      </w:r>
    </w:p>
    <w:p w14:paraId="670D6D0B" w14:textId="77777777" w:rsidR="008A2546" w:rsidRPr="008A2546" w:rsidRDefault="008A2546" w:rsidP="008A2546">
      <w:pPr>
        <w:pStyle w:val="Bibliography"/>
        <w:rPr>
          <w:lang w:bidi="hi-IN"/>
        </w:rPr>
      </w:pPr>
      <w:r w:rsidRPr="008A2546">
        <w:rPr>
          <w:lang w:bidi="hi-IN"/>
        </w:rPr>
        <w:t>(21)</w:t>
      </w:r>
      <w:r w:rsidRPr="008A2546">
        <w:rPr>
          <w:lang w:bidi="hi-IN"/>
        </w:rPr>
        <w:tab/>
        <w:t xml:space="preserve">Yang, H.; Li, M.; Liu, Q.; Zeng, Q.; Yuan, J. The Efficacy and Safety of Doravirine/Lamivudine/Tenofovir Disoproxil Fumarate in Treatment-Naïve and Treatment-Experienced Patients with HIV. </w:t>
      </w:r>
      <w:r w:rsidRPr="008A2546">
        <w:rPr>
          <w:i/>
          <w:iCs/>
          <w:lang w:bidi="hi-IN"/>
        </w:rPr>
        <w:t>Annals of Medicine</w:t>
      </w:r>
      <w:r w:rsidRPr="008A2546">
        <w:rPr>
          <w:lang w:bidi="hi-IN"/>
        </w:rPr>
        <w:t xml:space="preserve"> </w:t>
      </w:r>
      <w:r w:rsidRPr="008A2546">
        <w:rPr>
          <w:b/>
          <w:bCs/>
          <w:lang w:bidi="hi-IN"/>
        </w:rPr>
        <w:t>2025</w:t>
      </w:r>
      <w:r w:rsidRPr="008A2546">
        <w:rPr>
          <w:lang w:bidi="hi-IN"/>
        </w:rPr>
        <w:t xml:space="preserve">, </w:t>
      </w:r>
      <w:r w:rsidRPr="008A2546">
        <w:rPr>
          <w:i/>
          <w:iCs/>
          <w:lang w:bidi="hi-IN"/>
        </w:rPr>
        <w:t>57</w:t>
      </w:r>
      <w:r w:rsidRPr="008A2546">
        <w:rPr>
          <w:lang w:bidi="hi-IN"/>
        </w:rPr>
        <w:t xml:space="preserve"> (1), 2564286. https://doi.org/10.1080/07853890.2025.2564286</w:t>
      </w:r>
    </w:p>
    <w:p w14:paraId="091D3D07" w14:textId="77777777" w:rsidR="008A2546" w:rsidRPr="008A2546" w:rsidRDefault="008A2546" w:rsidP="008A2546">
      <w:pPr>
        <w:pStyle w:val="Bibliography"/>
        <w:rPr>
          <w:lang w:bidi="hi-IN"/>
        </w:rPr>
      </w:pPr>
      <w:r w:rsidRPr="008A2546">
        <w:rPr>
          <w:lang w:bidi="hi-IN"/>
        </w:rPr>
        <w:t>(22)</w:t>
      </w:r>
      <w:r w:rsidRPr="008A2546">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sidRPr="008A2546">
        <w:rPr>
          <w:i/>
          <w:iCs/>
          <w:lang w:bidi="hi-IN"/>
        </w:rPr>
        <w:t>The Lancet</w:t>
      </w:r>
      <w:r w:rsidRPr="008A2546">
        <w:rPr>
          <w:lang w:bidi="hi-IN"/>
        </w:rPr>
        <w:t xml:space="preserve"> </w:t>
      </w:r>
      <w:r w:rsidRPr="008A2546">
        <w:rPr>
          <w:b/>
          <w:bCs/>
          <w:lang w:bidi="hi-IN"/>
        </w:rPr>
        <w:t>2026</w:t>
      </w:r>
      <w:r w:rsidRPr="008A2546">
        <w:rPr>
          <w:lang w:bidi="hi-IN"/>
        </w:rPr>
        <w:t xml:space="preserve">, </w:t>
      </w:r>
      <w:r w:rsidRPr="008A2546">
        <w:rPr>
          <w:i/>
          <w:iCs/>
          <w:lang w:bidi="hi-IN"/>
        </w:rPr>
        <w:t>407</w:t>
      </w:r>
      <w:r w:rsidRPr="008A2546">
        <w:rPr>
          <w:lang w:bidi="hi-IN"/>
        </w:rPr>
        <w:t xml:space="preserve"> (10528), 599–610. https://doi.org/10.1016/S0140-6736(25)01945-2</w:t>
      </w:r>
    </w:p>
    <w:p w14:paraId="41BAFCF3" w14:textId="77777777" w:rsidR="008A2546" w:rsidRPr="008A2546" w:rsidRDefault="008A2546" w:rsidP="008A2546">
      <w:pPr>
        <w:pStyle w:val="Bibliography"/>
        <w:rPr>
          <w:lang w:bidi="hi-IN"/>
        </w:rPr>
      </w:pPr>
      <w:r w:rsidRPr="008A2546">
        <w:rPr>
          <w:lang w:bidi="hi-IN"/>
        </w:rPr>
        <w:t>(23)</w:t>
      </w:r>
      <w:r w:rsidRPr="008A2546">
        <w:rPr>
          <w:lang w:bidi="hi-IN"/>
        </w:rPr>
        <w:tab/>
        <w:t xml:space="preserve">Rizzo, R. C.; Wang, D.-P.; Tirado-Rives, J.; Jorgensen, W. L. Validation of a Model for the Complex of HIV-1 Reverse Transcriptase with Sustiva through Computation of Resistance Profiles. </w:t>
      </w:r>
      <w:r w:rsidRPr="008A2546">
        <w:rPr>
          <w:i/>
          <w:iCs/>
          <w:lang w:bidi="hi-IN"/>
        </w:rPr>
        <w:t>Journal American Chemical Society</w:t>
      </w:r>
      <w:r w:rsidRPr="008A2546">
        <w:rPr>
          <w:lang w:bidi="hi-IN"/>
        </w:rPr>
        <w:t xml:space="preserve"> </w:t>
      </w:r>
      <w:r w:rsidRPr="008A2546">
        <w:rPr>
          <w:b/>
          <w:bCs/>
          <w:lang w:bidi="hi-IN"/>
        </w:rPr>
        <w:t>2000</w:t>
      </w:r>
      <w:r w:rsidRPr="008A2546">
        <w:rPr>
          <w:lang w:bidi="hi-IN"/>
        </w:rPr>
        <w:t xml:space="preserve">, </w:t>
      </w:r>
      <w:r w:rsidRPr="008A2546">
        <w:rPr>
          <w:i/>
          <w:iCs/>
          <w:lang w:bidi="hi-IN"/>
        </w:rPr>
        <w:t>122</w:t>
      </w:r>
      <w:r w:rsidRPr="008A2546">
        <w:rPr>
          <w:lang w:bidi="hi-IN"/>
        </w:rPr>
        <w:t xml:space="preserve"> (51), 12898–12900. https://doi.org/10.1021/ja003113r</w:t>
      </w:r>
    </w:p>
    <w:p w14:paraId="3D86D417" w14:textId="77777777" w:rsidR="008A2546" w:rsidRPr="008A2546" w:rsidRDefault="008A2546" w:rsidP="008A2546">
      <w:pPr>
        <w:pStyle w:val="Bibliography"/>
        <w:rPr>
          <w:lang w:bidi="hi-IN"/>
        </w:rPr>
      </w:pPr>
      <w:r w:rsidRPr="008A2546">
        <w:rPr>
          <w:lang w:bidi="hi-IN"/>
        </w:rPr>
        <w:t>(24)</w:t>
      </w:r>
      <w:r w:rsidRPr="008A2546">
        <w:rPr>
          <w:lang w:bidi="hi-IN"/>
        </w:rPr>
        <w:tab/>
        <w:t xml:space="preserve">Wang, D.-P.; Rizzo, R. C.; Tirado-Rives, J.; Jorgensen, W. L. Antiviral Drug Design: Computational Analyses of the Effects of the L100I Mutation for HIV-RT on the Binding of NNRTIs. </w:t>
      </w:r>
      <w:r w:rsidRPr="008A2546">
        <w:rPr>
          <w:i/>
          <w:iCs/>
          <w:lang w:bidi="hi-IN"/>
        </w:rPr>
        <w:t>Bioorganic &amp; Medicinal Chemistry Letters</w:t>
      </w:r>
      <w:r w:rsidRPr="008A2546">
        <w:rPr>
          <w:lang w:bidi="hi-IN"/>
        </w:rPr>
        <w:t xml:space="preserve"> </w:t>
      </w:r>
      <w:r w:rsidRPr="008A2546">
        <w:rPr>
          <w:b/>
          <w:bCs/>
          <w:lang w:bidi="hi-IN"/>
        </w:rPr>
        <w:t>2001</w:t>
      </w:r>
      <w:r w:rsidRPr="008A2546">
        <w:rPr>
          <w:lang w:bidi="hi-IN"/>
        </w:rPr>
        <w:t xml:space="preserve">, </w:t>
      </w:r>
      <w:r w:rsidRPr="008A2546">
        <w:rPr>
          <w:i/>
          <w:iCs/>
          <w:lang w:bidi="hi-IN"/>
        </w:rPr>
        <w:t>11</w:t>
      </w:r>
      <w:r w:rsidRPr="008A2546">
        <w:rPr>
          <w:lang w:bidi="hi-IN"/>
        </w:rPr>
        <w:t xml:space="preserve"> (21), 2799–2802. https://doi.org/10.1016/S0960-894X(01)00510-8</w:t>
      </w:r>
    </w:p>
    <w:p w14:paraId="788339B6" w14:textId="77777777" w:rsidR="008A2546" w:rsidRPr="008A2546" w:rsidRDefault="008A2546" w:rsidP="008A2546">
      <w:pPr>
        <w:pStyle w:val="Bibliography"/>
        <w:rPr>
          <w:lang w:bidi="hi-IN"/>
        </w:rPr>
      </w:pPr>
      <w:r w:rsidRPr="008A2546">
        <w:rPr>
          <w:lang w:bidi="hi-IN"/>
        </w:rPr>
        <w:t>(25)</w:t>
      </w:r>
      <w:r w:rsidRPr="008A2546">
        <w:rPr>
          <w:lang w:bidi="hi-IN"/>
        </w:rPr>
        <w:tab/>
        <w:t xml:space="preserve">Udier-Blagović, M.; Tirado-Rives, J.; Jorgensen, W. L. Validation of a Model for the Complex of HIV-1 Reverse Transcriptase with Nonnucleoside Inhibitor TMC125. </w:t>
      </w:r>
      <w:r w:rsidRPr="008A2546">
        <w:rPr>
          <w:i/>
          <w:iCs/>
          <w:lang w:bidi="hi-IN"/>
        </w:rPr>
        <w:t>Journal American Chemical Society</w:t>
      </w:r>
      <w:r w:rsidRPr="008A2546">
        <w:rPr>
          <w:lang w:bidi="hi-IN"/>
        </w:rPr>
        <w:t xml:space="preserve"> </w:t>
      </w:r>
      <w:r w:rsidRPr="008A2546">
        <w:rPr>
          <w:b/>
          <w:bCs/>
          <w:lang w:bidi="hi-IN"/>
        </w:rPr>
        <w:t>2003</w:t>
      </w:r>
      <w:r w:rsidRPr="008A2546">
        <w:rPr>
          <w:lang w:bidi="hi-IN"/>
        </w:rPr>
        <w:t xml:space="preserve">, </w:t>
      </w:r>
      <w:r w:rsidRPr="008A2546">
        <w:rPr>
          <w:i/>
          <w:iCs/>
          <w:lang w:bidi="hi-IN"/>
        </w:rPr>
        <w:t>125</w:t>
      </w:r>
      <w:r w:rsidRPr="008A2546">
        <w:rPr>
          <w:lang w:bidi="hi-IN"/>
        </w:rPr>
        <w:t xml:space="preserve"> (20), 6016–6017. https://doi.org/10.1021/ja034308c</w:t>
      </w:r>
    </w:p>
    <w:p w14:paraId="5D4A06A2" w14:textId="77777777" w:rsidR="008A2546" w:rsidRPr="008A2546" w:rsidRDefault="008A2546" w:rsidP="008A2546">
      <w:pPr>
        <w:pStyle w:val="Bibliography"/>
        <w:rPr>
          <w:lang w:bidi="hi-IN"/>
        </w:rPr>
      </w:pPr>
      <w:r w:rsidRPr="008A2546">
        <w:rPr>
          <w:lang w:bidi="hi-IN"/>
        </w:rPr>
        <w:lastRenderedPageBreak/>
        <w:t>(26)</w:t>
      </w:r>
      <w:r w:rsidRPr="008A2546">
        <w:rPr>
          <w:lang w:bidi="hi-IN"/>
        </w:rPr>
        <w:tab/>
        <w:t xml:space="preserve">Udier-Blagović, M.; Tirado-Rives, J.; Jorgensen, W. L. Structural and Energetic Analyses of the Effects of the K103N Mutation of HIV-1 Reverse Transcriptase on Efavirenz Analogues. </w:t>
      </w:r>
      <w:r w:rsidRPr="008A2546">
        <w:rPr>
          <w:i/>
          <w:iCs/>
          <w:lang w:bidi="hi-IN"/>
        </w:rPr>
        <w:t>J. Med. Chem.</w:t>
      </w:r>
      <w:r w:rsidRPr="008A2546">
        <w:rPr>
          <w:lang w:bidi="hi-IN"/>
        </w:rPr>
        <w:t xml:space="preserve"> </w:t>
      </w:r>
      <w:r w:rsidRPr="008A2546">
        <w:rPr>
          <w:b/>
          <w:bCs/>
          <w:lang w:bidi="hi-IN"/>
        </w:rPr>
        <w:t>2004</w:t>
      </w:r>
      <w:r w:rsidRPr="008A2546">
        <w:rPr>
          <w:lang w:bidi="hi-IN"/>
        </w:rPr>
        <w:t xml:space="preserve">, </w:t>
      </w:r>
      <w:r w:rsidRPr="008A2546">
        <w:rPr>
          <w:i/>
          <w:iCs/>
          <w:lang w:bidi="hi-IN"/>
        </w:rPr>
        <w:t>47</w:t>
      </w:r>
      <w:r w:rsidRPr="008A2546">
        <w:rPr>
          <w:lang w:bidi="hi-IN"/>
        </w:rPr>
        <w:t xml:space="preserve"> (9), 2389–2392. https://doi.org/10.1021/jm0303507</w:t>
      </w:r>
    </w:p>
    <w:p w14:paraId="7BED56EE" w14:textId="77777777" w:rsidR="008A2546" w:rsidRPr="008A2546" w:rsidRDefault="008A2546" w:rsidP="008A2546">
      <w:pPr>
        <w:pStyle w:val="Bibliography"/>
        <w:rPr>
          <w:lang w:bidi="hi-IN"/>
        </w:rPr>
      </w:pPr>
      <w:r w:rsidRPr="008A2546">
        <w:rPr>
          <w:lang w:bidi="hi-IN"/>
        </w:rPr>
        <w:t>(27)</w:t>
      </w:r>
      <w:r w:rsidRPr="008A2546">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8A2546">
        <w:rPr>
          <w:i/>
          <w:iCs/>
          <w:lang w:bidi="hi-IN"/>
        </w:rPr>
        <w:t>Journal American Chemical Society</w:t>
      </w:r>
      <w:r w:rsidRPr="008A2546">
        <w:rPr>
          <w:lang w:bidi="hi-IN"/>
        </w:rPr>
        <w:t xml:space="preserve"> </w:t>
      </w:r>
      <w:r w:rsidRPr="008A2546">
        <w:rPr>
          <w:b/>
          <w:bCs/>
          <w:lang w:bidi="hi-IN"/>
        </w:rPr>
        <w:t>2005</w:t>
      </w:r>
      <w:r w:rsidRPr="008A2546">
        <w:rPr>
          <w:lang w:bidi="hi-IN"/>
        </w:rPr>
        <w:t xml:space="preserve">, </w:t>
      </w:r>
      <w:r w:rsidRPr="008A2546">
        <w:rPr>
          <w:i/>
          <w:iCs/>
          <w:lang w:bidi="hi-IN"/>
        </w:rPr>
        <w:t>127</w:t>
      </w:r>
      <w:r w:rsidRPr="008A2546">
        <w:rPr>
          <w:lang w:bidi="hi-IN"/>
        </w:rPr>
        <w:t xml:space="preserve"> (20), 7570–7578. https://doi.org/10.1021/ja042289g</w:t>
      </w:r>
    </w:p>
    <w:p w14:paraId="5B2CDFBF" w14:textId="77777777" w:rsidR="008A2546" w:rsidRPr="008A2546" w:rsidRDefault="008A2546" w:rsidP="008A2546">
      <w:pPr>
        <w:pStyle w:val="Bibliography"/>
        <w:rPr>
          <w:lang w:bidi="hi-IN"/>
        </w:rPr>
      </w:pPr>
      <w:r w:rsidRPr="008A2546">
        <w:rPr>
          <w:lang w:bidi="hi-IN"/>
        </w:rPr>
        <w:t>(28)</w:t>
      </w:r>
      <w:r w:rsidRPr="008A2546">
        <w:rPr>
          <w:lang w:bidi="hi-IN"/>
        </w:rPr>
        <w:tab/>
        <w:t xml:space="preserve">Zhou, Z.; Madrid, M.; Evanseck, J. D.; Madura, J. D. Effect of a Bound Non-Nucleoside RT Inhibitor on the Dynamics of Wild-Type and Mutant HIV-1 Reverse Transcriptase. </w:t>
      </w:r>
      <w:r w:rsidRPr="008A2546">
        <w:rPr>
          <w:i/>
          <w:iCs/>
          <w:lang w:bidi="hi-IN"/>
        </w:rPr>
        <w:t>J. Am. Chem. Soc.</w:t>
      </w:r>
      <w:r w:rsidRPr="008A2546">
        <w:rPr>
          <w:lang w:bidi="hi-IN"/>
        </w:rPr>
        <w:t xml:space="preserve"> </w:t>
      </w:r>
      <w:r w:rsidRPr="008A2546">
        <w:rPr>
          <w:b/>
          <w:bCs/>
          <w:lang w:bidi="hi-IN"/>
        </w:rPr>
        <w:t>2005</w:t>
      </w:r>
      <w:r w:rsidRPr="008A2546">
        <w:rPr>
          <w:lang w:bidi="hi-IN"/>
        </w:rPr>
        <w:t xml:space="preserve">, </w:t>
      </w:r>
      <w:r w:rsidRPr="008A2546">
        <w:rPr>
          <w:i/>
          <w:iCs/>
          <w:lang w:bidi="hi-IN"/>
        </w:rPr>
        <w:t>127</w:t>
      </w:r>
      <w:r w:rsidRPr="008A2546">
        <w:rPr>
          <w:lang w:bidi="hi-IN"/>
        </w:rPr>
        <w:t xml:space="preserve"> (49), 17253–17260. https://doi.org/10.1021/ja053973d</w:t>
      </w:r>
    </w:p>
    <w:p w14:paraId="639082D1" w14:textId="77777777" w:rsidR="008A2546" w:rsidRPr="008A2546" w:rsidRDefault="008A2546" w:rsidP="008A2546">
      <w:pPr>
        <w:pStyle w:val="Bibliography"/>
        <w:rPr>
          <w:lang w:bidi="hi-IN"/>
        </w:rPr>
      </w:pPr>
      <w:r w:rsidRPr="008A2546">
        <w:rPr>
          <w:lang w:bidi="hi-IN"/>
        </w:rPr>
        <w:t>(29)</w:t>
      </w:r>
      <w:r w:rsidRPr="008A2546">
        <w:rPr>
          <w:lang w:bidi="hi-IN"/>
        </w:rPr>
        <w:tab/>
        <w:t xml:space="preserve">Vijayan, R. S. K.; Arnold, E.; Das, K. Molecular Dynamics Study of HIV-1 RT-DNA-Nevirapine Complexes Explains NNRTI Inhibition and Resistance by Connection Mutations. </w:t>
      </w:r>
      <w:r w:rsidRPr="008A2546">
        <w:rPr>
          <w:i/>
          <w:iCs/>
          <w:lang w:bidi="hi-IN"/>
        </w:rPr>
        <w:t>Proteins: Structure, Function, and Bioinformatics</w:t>
      </w:r>
      <w:r w:rsidRPr="008A2546">
        <w:rPr>
          <w:lang w:bidi="hi-IN"/>
        </w:rPr>
        <w:t xml:space="preserve"> </w:t>
      </w:r>
      <w:r w:rsidRPr="008A2546">
        <w:rPr>
          <w:b/>
          <w:bCs/>
          <w:lang w:bidi="hi-IN"/>
        </w:rPr>
        <w:t>2014</w:t>
      </w:r>
      <w:r w:rsidRPr="008A2546">
        <w:rPr>
          <w:lang w:bidi="hi-IN"/>
        </w:rPr>
        <w:t xml:space="preserve">, </w:t>
      </w:r>
      <w:r w:rsidRPr="008A2546">
        <w:rPr>
          <w:i/>
          <w:iCs/>
          <w:lang w:bidi="hi-IN"/>
        </w:rPr>
        <w:t>82</w:t>
      </w:r>
      <w:r w:rsidRPr="008A2546">
        <w:rPr>
          <w:lang w:bidi="hi-IN"/>
        </w:rPr>
        <w:t xml:space="preserve"> (5), 815–829. https://doi.org/10.1002/prot.24460</w:t>
      </w:r>
    </w:p>
    <w:p w14:paraId="39F7835D" w14:textId="77777777" w:rsidR="008A2546" w:rsidRPr="008A2546" w:rsidRDefault="008A2546" w:rsidP="008A2546">
      <w:pPr>
        <w:pStyle w:val="Bibliography"/>
        <w:rPr>
          <w:lang w:bidi="hi-IN"/>
        </w:rPr>
      </w:pPr>
      <w:r w:rsidRPr="008A2546">
        <w:rPr>
          <w:lang w:bidi="hi-IN"/>
        </w:rPr>
        <w:t>(30)</w:t>
      </w:r>
      <w:r w:rsidRPr="008A2546">
        <w:rPr>
          <w:lang w:bidi="hi-IN"/>
        </w:rPr>
        <w:tab/>
        <w:t xml:space="preserve">Geitmann, M.; Unge, T.; Danielson, U. H. Interaction Kinetic Characterization of HIV-1 Reverse Transcriptase Non-Nucleoside Inhibitor Resistance. </w:t>
      </w:r>
      <w:r w:rsidRPr="008A2546">
        <w:rPr>
          <w:i/>
          <w:iCs/>
          <w:lang w:bidi="hi-IN"/>
        </w:rPr>
        <w:t>J. Med. Chem.</w:t>
      </w:r>
      <w:r w:rsidRPr="008A2546">
        <w:rPr>
          <w:lang w:bidi="hi-IN"/>
        </w:rPr>
        <w:t xml:space="preserve"> </w:t>
      </w:r>
      <w:r w:rsidRPr="008A2546">
        <w:rPr>
          <w:b/>
          <w:bCs/>
          <w:lang w:bidi="hi-IN"/>
        </w:rPr>
        <w:t>2006</w:t>
      </w:r>
      <w:r w:rsidRPr="008A2546">
        <w:rPr>
          <w:lang w:bidi="hi-IN"/>
        </w:rPr>
        <w:t xml:space="preserve">, </w:t>
      </w:r>
      <w:r w:rsidRPr="008A2546">
        <w:rPr>
          <w:i/>
          <w:iCs/>
          <w:lang w:bidi="hi-IN"/>
        </w:rPr>
        <w:t>49</w:t>
      </w:r>
      <w:r w:rsidRPr="008A2546">
        <w:rPr>
          <w:lang w:bidi="hi-IN"/>
        </w:rPr>
        <w:t xml:space="preserve"> (8), 2375–2387. https://doi.org/10.1021/jm0504050</w:t>
      </w:r>
    </w:p>
    <w:p w14:paraId="67774ECA" w14:textId="77777777" w:rsidR="008A2546" w:rsidRPr="008A2546" w:rsidRDefault="008A2546" w:rsidP="008A2546">
      <w:pPr>
        <w:pStyle w:val="Bibliography"/>
        <w:rPr>
          <w:lang w:bidi="hi-IN"/>
        </w:rPr>
      </w:pPr>
      <w:r w:rsidRPr="008A2546">
        <w:rPr>
          <w:lang w:bidi="hi-IN"/>
        </w:rPr>
        <w:t>(31)</w:t>
      </w:r>
      <w:r w:rsidRPr="008A2546">
        <w:rPr>
          <w:lang w:bidi="hi-IN"/>
        </w:rPr>
        <w:tab/>
        <w:t xml:space="preserve">Ghidini, A.; Serra, E.; Cavalli, A. On Free Energy Calculations in Drug Discovery. </w:t>
      </w:r>
      <w:r w:rsidRPr="008A2546">
        <w:rPr>
          <w:i/>
          <w:iCs/>
          <w:lang w:bidi="hi-IN"/>
        </w:rPr>
        <w:t>Acc. Chem. Res.</w:t>
      </w:r>
      <w:r w:rsidRPr="008A2546">
        <w:rPr>
          <w:lang w:bidi="hi-IN"/>
        </w:rPr>
        <w:t xml:space="preserve"> </w:t>
      </w:r>
      <w:r w:rsidRPr="008A2546">
        <w:rPr>
          <w:b/>
          <w:bCs/>
          <w:lang w:bidi="hi-IN"/>
        </w:rPr>
        <w:t>2025</w:t>
      </w:r>
      <w:r w:rsidRPr="008A2546">
        <w:rPr>
          <w:lang w:bidi="hi-IN"/>
        </w:rPr>
        <w:t xml:space="preserve">, </w:t>
      </w:r>
      <w:r w:rsidRPr="008A2546">
        <w:rPr>
          <w:i/>
          <w:iCs/>
          <w:lang w:bidi="hi-IN"/>
        </w:rPr>
        <w:t>58</w:t>
      </w:r>
      <w:r w:rsidRPr="008A2546">
        <w:rPr>
          <w:lang w:bidi="hi-IN"/>
        </w:rPr>
        <w:t xml:space="preserve"> (20), 3137–3145. https://doi.org/10.1021/acs.accounts.5c00465</w:t>
      </w:r>
    </w:p>
    <w:p w14:paraId="67168A93" w14:textId="77777777" w:rsidR="008A2546" w:rsidRPr="008A2546" w:rsidRDefault="008A2546" w:rsidP="008A2546">
      <w:pPr>
        <w:pStyle w:val="Bibliography"/>
        <w:rPr>
          <w:lang w:bidi="hi-IN"/>
        </w:rPr>
      </w:pPr>
      <w:r w:rsidRPr="008A2546">
        <w:rPr>
          <w:lang w:bidi="hi-IN"/>
        </w:rPr>
        <w:t>(32)</w:t>
      </w:r>
      <w:r w:rsidRPr="008A2546">
        <w:rPr>
          <w:lang w:bidi="hi-IN"/>
        </w:rPr>
        <w:tab/>
        <w:t xml:space="preserve">Gapsys, V.; Pérez-Benito, L.; Aldeghi, M.; Seeliger, D.; van Vlijmen, H.; Tresadern, G.; de Groot, B. L. Large Scale Relative Protein Ligand Binding Affinities Using Non-Equilibrium Alchemy. </w:t>
      </w:r>
      <w:r w:rsidRPr="008A2546">
        <w:rPr>
          <w:i/>
          <w:iCs/>
          <w:lang w:bidi="hi-IN"/>
        </w:rPr>
        <w:t>Chem. Sci.</w:t>
      </w:r>
      <w:r w:rsidRPr="008A2546">
        <w:rPr>
          <w:lang w:bidi="hi-IN"/>
        </w:rPr>
        <w:t xml:space="preserve"> </w:t>
      </w:r>
      <w:r w:rsidRPr="008A2546">
        <w:rPr>
          <w:b/>
          <w:bCs/>
          <w:lang w:bidi="hi-IN"/>
        </w:rPr>
        <w:t>2020</w:t>
      </w:r>
      <w:r w:rsidRPr="008A2546">
        <w:rPr>
          <w:lang w:bidi="hi-IN"/>
        </w:rPr>
        <w:t xml:space="preserve">, </w:t>
      </w:r>
      <w:r w:rsidRPr="008A2546">
        <w:rPr>
          <w:i/>
          <w:iCs/>
          <w:lang w:bidi="hi-IN"/>
        </w:rPr>
        <w:t>11</w:t>
      </w:r>
      <w:r w:rsidRPr="008A2546">
        <w:rPr>
          <w:lang w:bidi="hi-IN"/>
        </w:rPr>
        <w:t xml:space="preserve"> (4), 1140–1152. https://doi.org/10.1039/c9sc03754c</w:t>
      </w:r>
    </w:p>
    <w:p w14:paraId="66CF1885" w14:textId="77777777" w:rsidR="008A2546" w:rsidRPr="008A2546" w:rsidRDefault="008A2546" w:rsidP="008A2546">
      <w:pPr>
        <w:pStyle w:val="Bibliography"/>
        <w:rPr>
          <w:lang w:bidi="hi-IN"/>
        </w:rPr>
      </w:pPr>
      <w:r w:rsidRPr="008A2546">
        <w:rPr>
          <w:lang w:bidi="hi-IN"/>
        </w:rPr>
        <w:t>(33)</w:t>
      </w:r>
      <w:r w:rsidRPr="008A2546">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sidRPr="008A2546">
        <w:rPr>
          <w:i/>
          <w:iCs/>
          <w:lang w:bidi="hi-IN"/>
        </w:rPr>
        <w:t>Acc. Chem. Res.</w:t>
      </w:r>
      <w:r w:rsidRPr="008A2546">
        <w:rPr>
          <w:lang w:bidi="hi-IN"/>
        </w:rPr>
        <w:t xml:space="preserve"> </w:t>
      </w:r>
      <w:r w:rsidRPr="008A2546">
        <w:rPr>
          <w:b/>
          <w:bCs/>
          <w:lang w:bidi="hi-IN"/>
        </w:rPr>
        <w:t>2000</w:t>
      </w:r>
      <w:r w:rsidRPr="008A2546">
        <w:rPr>
          <w:lang w:bidi="hi-IN"/>
        </w:rPr>
        <w:t xml:space="preserve">, </w:t>
      </w:r>
      <w:r w:rsidRPr="008A2546">
        <w:rPr>
          <w:i/>
          <w:iCs/>
          <w:lang w:bidi="hi-IN"/>
        </w:rPr>
        <w:t>33</w:t>
      </w:r>
      <w:r w:rsidRPr="008A2546">
        <w:rPr>
          <w:lang w:bidi="hi-IN"/>
        </w:rPr>
        <w:t xml:space="preserve"> (12), 889–897. https://doi.org/10.1021/ar000033j</w:t>
      </w:r>
    </w:p>
    <w:p w14:paraId="31EC8E78" w14:textId="77777777" w:rsidR="008A2546" w:rsidRPr="008A2546" w:rsidRDefault="008A2546" w:rsidP="008A2546">
      <w:pPr>
        <w:pStyle w:val="Bibliography"/>
        <w:rPr>
          <w:lang w:bidi="hi-IN"/>
        </w:rPr>
      </w:pPr>
      <w:r w:rsidRPr="008A2546">
        <w:rPr>
          <w:lang w:bidi="hi-IN"/>
        </w:rPr>
        <w:t>(34)</w:t>
      </w:r>
      <w:r w:rsidRPr="008A2546">
        <w:rPr>
          <w:lang w:bidi="hi-IN"/>
        </w:rPr>
        <w:tab/>
        <w:t xml:space="preserve">Genheden, S.; Ryde, U. The MM/PBSA and MM/GBSA Methods to Estimate Ligand-Binding Affinities. </w:t>
      </w:r>
      <w:r w:rsidRPr="008A2546">
        <w:rPr>
          <w:i/>
          <w:iCs/>
          <w:lang w:bidi="hi-IN"/>
        </w:rPr>
        <w:t>Expert Opinion on Drug Discovery</w:t>
      </w:r>
      <w:r w:rsidRPr="008A2546">
        <w:rPr>
          <w:lang w:bidi="hi-IN"/>
        </w:rPr>
        <w:t xml:space="preserve"> </w:t>
      </w:r>
      <w:r w:rsidRPr="008A2546">
        <w:rPr>
          <w:b/>
          <w:bCs/>
          <w:lang w:bidi="hi-IN"/>
        </w:rPr>
        <w:t>2015</w:t>
      </w:r>
      <w:r w:rsidRPr="008A2546">
        <w:rPr>
          <w:lang w:bidi="hi-IN"/>
        </w:rPr>
        <w:t xml:space="preserve">, </w:t>
      </w:r>
      <w:r w:rsidRPr="008A2546">
        <w:rPr>
          <w:i/>
          <w:iCs/>
          <w:lang w:bidi="hi-IN"/>
        </w:rPr>
        <w:t>10</w:t>
      </w:r>
      <w:r w:rsidRPr="008A2546">
        <w:rPr>
          <w:lang w:bidi="hi-IN"/>
        </w:rPr>
        <w:t xml:space="preserve"> (5), 449–461. https://doi.org/10.1517/17460441.2015.1032936</w:t>
      </w:r>
    </w:p>
    <w:p w14:paraId="5B225780" w14:textId="77777777" w:rsidR="008A2546" w:rsidRPr="008A2546" w:rsidRDefault="008A2546" w:rsidP="008A2546">
      <w:pPr>
        <w:pStyle w:val="Bibliography"/>
        <w:rPr>
          <w:lang w:bidi="hi-IN"/>
        </w:rPr>
      </w:pPr>
      <w:r w:rsidRPr="008A2546">
        <w:rPr>
          <w:lang w:bidi="hi-IN"/>
        </w:rPr>
        <w:t>(35)</w:t>
      </w:r>
      <w:r w:rsidRPr="008A2546">
        <w:rPr>
          <w:lang w:bidi="hi-IN"/>
        </w:rPr>
        <w:tab/>
        <w:t xml:space="preserve">Kabsch, W. A Solution for the Best Rotation to Relate Two Sets of Vectors. </w:t>
      </w:r>
      <w:r w:rsidRPr="008A2546">
        <w:rPr>
          <w:i/>
          <w:iCs/>
          <w:lang w:bidi="hi-IN"/>
        </w:rPr>
        <w:t>Acta Crystallographica Section A</w:t>
      </w:r>
      <w:r w:rsidRPr="008A2546">
        <w:rPr>
          <w:lang w:bidi="hi-IN"/>
        </w:rPr>
        <w:t xml:space="preserve"> </w:t>
      </w:r>
      <w:r w:rsidRPr="008A2546">
        <w:rPr>
          <w:b/>
          <w:bCs/>
          <w:lang w:bidi="hi-IN"/>
        </w:rPr>
        <w:t>1976</w:t>
      </w:r>
      <w:r w:rsidRPr="008A2546">
        <w:rPr>
          <w:lang w:bidi="hi-IN"/>
        </w:rPr>
        <w:t xml:space="preserve">, </w:t>
      </w:r>
      <w:r w:rsidRPr="008A2546">
        <w:rPr>
          <w:i/>
          <w:iCs/>
          <w:lang w:bidi="hi-IN"/>
        </w:rPr>
        <w:t>32</w:t>
      </w:r>
      <w:r w:rsidRPr="008A2546">
        <w:rPr>
          <w:lang w:bidi="hi-IN"/>
        </w:rPr>
        <w:t xml:space="preserve"> (5), 922–923. https://doi.org/10.1107/S0567739476001873</w:t>
      </w:r>
    </w:p>
    <w:p w14:paraId="4F83B565" w14:textId="77777777" w:rsidR="008A2546" w:rsidRPr="008A2546" w:rsidRDefault="008A2546" w:rsidP="008A2546">
      <w:pPr>
        <w:pStyle w:val="Bibliography"/>
        <w:rPr>
          <w:lang w:bidi="hi-IN"/>
        </w:rPr>
      </w:pPr>
      <w:r w:rsidRPr="008A2546">
        <w:rPr>
          <w:lang w:bidi="hi-IN"/>
        </w:rPr>
        <w:t>(36)</w:t>
      </w:r>
      <w:r w:rsidRPr="008A2546">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8A2546">
        <w:rPr>
          <w:i/>
          <w:iCs/>
          <w:lang w:bidi="hi-IN"/>
        </w:rPr>
        <w:t>PLOS Computational Biology</w:t>
      </w:r>
      <w:r w:rsidRPr="008A2546">
        <w:rPr>
          <w:lang w:bidi="hi-IN"/>
        </w:rPr>
        <w:t xml:space="preserve"> </w:t>
      </w:r>
      <w:r w:rsidRPr="008A2546">
        <w:rPr>
          <w:b/>
          <w:bCs/>
          <w:lang w:bidi="hi-IN"/>
        </w:rPr>
        <w:t>2017</w:t>
      </w:r>
      <w:r w:rsidRPr="008A2546">
        <w:rPr>
          <w:lang w:bidi="hi-IN"/>
        </w:rPr>
        <w:t xml:space="preserve">, </w:t>
      </w:r>
      <w:r w:rsidRPr="008A2546">
        <w:rPr>
          <w:i/>
          <w:iCs/>
          <w:lang w:bidi="hi-IN"/>
        </w:rPr>
        <w:t>13</w:t>
      </w:r>
      <w:r w:rsidRPr="008A2546">
        <w:rPr>
          <w:lang w:bidi="hi-IN"/>
        </w:rPr>
        <w:t xml:space="preserve"> (7), e1005659. https://doi.org/10.1371/journal.pcbi.1005659</w:t>
      </w:r>
    </w:p>
    <w:p w14:paraId="0AD2D31D" w14:textId="77777777" w:rsidR="008A2546" w:rsidRPr="008A2546" w:rsidRDefault="008A2546" w:rsidP="008A2546">
      <w:pPr>
        <w:pStyle w:val="Bibliography"/>
        <w:rPr>
          <w:lang w:bidi="hi-IN"/>
        </w:rPr>
      </w:pPr>
      <w:r w:rsidRPr="008A2546">
        <w:rPr>
          <w:lang w:bidi="hi-IN"/>
        </w:rPr>
        <w:lastRenderedPageBreak/>
        <w:t>(37)</w:t>
      </w:r>
      <w:r w:rsidRPr="008A2546">
        <w:rPr>
          <w:lang w:bidi="hi-IN"/>
        </w:rPr>
        <w:tab/>
        <w:t xml:space="preserve">Maier, J. A.; Martinez, C.; Kasavajhala, K.; Wickstrom, L.; Hauser, K. E.; Simmerling, C. ff14SB: Improving the Accuracy of Protein Side Chain and Backbone Parameters from ff99SB. </w:t>
      </w:r>
      <w:r w:rsidRPr="008A2546">
        <w:rPr>
          <w:i/>
          <w:iCs/>
          <w:lang w:bidi="hi-IN"/>
        </w:rPr>
        <w:t>J. Chem. Theory Comput.</w:t>
      </w:r>
      <w:r w:rsidRPr="008A2546">
        <w:rPr>
          <w:lang w:bidi="hi-IN"/>
        </w:rPr>
        <w:t xml:space="preserve"> </w:t>
      </w:r>
      <w:r w:rsidRPr="008A2546">
        <w:rPr>
          <w:b/>
          <w:bCs/>
          <w:lang w:bidi="hi-IN"/>
        </w:rPr>
        <w:t>2015</w:t>
      </w:r>
      <w:r w:rsidRPr="008A2546">
        <w:rPr>
          <w:lang w:bidi="hi-IN"/>
        </w:rPr>
        <w:t xml:space="preserve">, </w:t>
      </w:r>
      <w:r w:rsidRPr="008A2546">
        <w:rPr>
          <w:i/>
          <w:iCs/>
          <w:lang w:bidi="hi-IN"/>
        </w:rPr>
        <w:t>11</w:t>
      </w:r>
      <w:r w:rsidRPr="008A2546">
        <w:rPr>
          <w:lang w:bidi="hi-IN"/>
        </w:rPr>
        <w:t xml:space="preserve"> (8), 3696–3713. https://doi.org/10.1021/acs.jctc.5b00255</w:t>
      </w:r>
    </w:p>
    <w:p w14:paraId="54F9B6D5" w14:textId="77777777" w:rsidR="008A2546" w:rsidRPr="008A2546" w:rsidRDefault="008A2546" w:rsidP="008A2546">
      <w:pPr>
        <w:pStyle w:val="Bibliography"/>
        <w:rPr>
          <w:lang w:bidi="hi-IN"/>
        </w:rPr>
      </w:pPr>
      <w:r w:rsidRPr="008A2546">
        <w:rPr>
          <w:lang w:bidi="hi-IN"/>
        </w:rPr>
        <w:t>(38)</w:t>
      </w:r>
      <w:r w:rsidRPr="008A2546">
        <w:rPr>
          <w:lang w:bidi="hi-IN"/>
        </w:rPr>
        <w:tab/>
        <w:t xml:space="preserve">Jorgensen, W. L.; Chandrasekhar, J.; Madura, J. D.; Impey, R. W.; Klein, M. L. Comparison of Simple Potential Functions for Simulating Liquid Water. </w:t>
      </w:r>
      <w:r w:rsidRPr="008A2546">
        <w:rPr>
          <w:i/>
          <w:iCs/>
          <w:lang w:bidi="hi-IN"/>
        </w:rPr>
        <w:t>J. Chem. Phys.</w:t>
      </w:r>
      <w:r w:rsidRPr="008A2546">
        <w:rPr>
          <w:lang w:bidi="hi-IN"/>
        </w:rPr>
        <w:t xml:space="preserve"> </w:t>
      </w:r>
      <w:r w:rsidRPr="008A2546">
        <w:rPr>
          <w:b/>
          <w:bCs/>
          <w:lang w:bidi="hi-IN"/>
        </w:rPr>
        <w:t>1983</w:t>
      </w:r>
      <w:r w:rsidRPr="008A2546">
        <w:rPr>
          <w:lang w:bidi="hi-IN"/>
        </w:rPr>
        <w:t xml:space="preserve">, </w:t>
      </w:r>
      <w:r w:rsidRPr="008A2546">
        <w:rPr>
          <w:i/>
          <w:iCs/>
          <w:lang w:bidi="hi-IN"/>
        </w:rPr>
        <w:t>79</w:t>
      </w:r>
      <w:r w:rsidRPr="008A2546">
        <w:rPr>
          <w:lang w:bidi="hi-IN"/>
        </w:rPr>
        <w:t xml:space="preserve"> (2), 926–935. https://doi.org/10.1063/1.445869</w:t>
      </w:r>
    </w:p>
    <w:p w14:paraId="0AE7E52B" w14:textId="77777777" w:rsidR="008A2546" w:rsidRPr="008A2546" w:rsidRDefault="008A2546" w:rsidP="008A2546">
      <w:pPr>
        <w:pStyle w:val="Bibliography"/>
        <w:rPr>
          <w:lang w:bidi="hi-IN"/>
        </w:rPr>
      </w:pPr>
      <w:r w:rsidRPr="008A2546">
        <w:rPr>
          <w:lang w:bidi="hi-IN"/>
        </w:rPr>
        <w:t>(39)</w:t>
      </w:r>
      <w:r w:rsidRPr="008A2546">
        <w:rPr>
          <w:lang w:bidi="hi-IN"/>
        </w:rPr>
        <w:tab/>
        <w:t xml:space="preserve">Mobley, D. L.; Bannan, C. C.; Rizzi, A.; Bayly, C. I.; Chodera, J. D.; Lim, V. T.; Lim, N. M.; Beauchamp, K. A.; Slochower, D. R.; Shirts, M. R.; Gilson, M. K.; Eastman, P. K. Escaping Atom Types in Force Fields Using Direct Chemical Perception. </w:t>
      </w:r>
      <w:r w:rsidRPr="008A2546">
        <w:rPr>
          <w:i/>
          <w:iCs/>
          <w:lang w:bidi="hi-IN"/>
        </w:rPr>
        <w:t>J. Chem. Theory Comput.</w:t>
      </w:r>
      <w:r w:rsidRPr="008A2546">
        <w:rPr>
          <w:lang w:bidi="hi-IN"/>
        </w:rPr>
        <w:t xml:space="preserve"> </w:t>
      </w:r>
      <w:r w:rsidRPr="008A2546">
        <w:rPr>
          <w:b/>
          <w:bCs/>
          <w:lang w:bidi="hi-IN"/>
        </w:rPr>
        <w:t>2018</w:t>
      </w:r>
      <w:r w:rsidRPr="008A2546">
        <w:rPr>
          <w:lang w:bidi="hi-IN"/>
        </w:rPr>
        <w:t xml:space="preserve">, </w:t>
      </w:r>
      <w:r w:rsidRPr="008A2546">
        <w:rPr>
          <w:i/>
          <w:iCs/>
          <w:lang w:bidi="hi-IN"/>
        </w:rPr>
        <w:t>14</w:t>
      </w:r>
      <w:r w:rsidRPr="008A2546">
        <w:rPr>
          <w:lang w:bidi="hi-IN"/>
        </w:rPr>
        <w:t xml:space="preserve"> (11), 6076–6092. https://doi.org/10.1021/acs.jctc.8b00640</w:t>
      </w:r>
    </w:p>
    <w:p w14:paraId="7D4F69A6" w14:textId="77777777" w:rsidR="008A2546" w:rsidRPr="008A2546" w:rsidRDefault="008A2546" w:rsidP="008A2546">
      <w:pPr>
        <w:pStyle w:val="Bibliography"/>
        <w:rPr>
          <w:lang w:bidi="hi-IN"/>
        </w:rPr>
      </w:pPr>
      <w:r w:rsidRPr="008A2546">
        <w:rPr>
          <w:lang w:bidi="hi-IN"/>
        </w:rPr>
        <w:t>(40)</w:t>
      </w:r>
      <w:r w:rsidRPr="008A2546">
        <w:rPr>
          <w:lang w:bidi="hi-IN"/>
        </w:rPr>
        <w:tab/>
        <w:t xml:space="preserve">Gasteiger, J.; Marsili, M. Iterative Partial Equalization of Orbital Electronegativity—a Rapid Access to Atomic Charges. </w:t>
      </w:r>
      <w:r w:rsidRPr="008A2546">
        <w:rPr>
          <w:i/>
          <w:iCs/>
          <w:lang w:bidi="hi-IN"/>
        </w:rPr>
        <w:t>Tetrahedron</w:t>
      </w:r>
      <w:r w:rsidRPr="008A2546">
        <w:rPr>
          <w:lang w:bidi="hi-IN"/>
        </w:rPr>
        <w:t xml:space="preserve"> </w:t>
      </w:r>
      <w:r w:rsidRPr="008A2546">
        <w:rPr>
          <w:b/>
          <w:bCs/>
          <w:lang w:bidi="hi-IN"/>
        </w:rPr>
        <w:t>1980</w:t>
      </w:r>
      <w:r w:rsidRPr="008A2546">
        <w:rPr>
          <w:lang w:bidi="hi-IN"/>
        </w:rPr>
        <w:t xml:space="preserve">, </w:t>
      </w:r>
      <w:r w:rsidRPr="008A2546">
        <w:rPr>
          <w:i/>
          <w:iCs/>
          <w:lang w:bidi="hi-IN"/>
        </w:rPr>
        <w:t>36</w:t>
      </w:r>
      <w:r w:rsidRPr="008A2546">
        <w:rPr>
          <w:lang w:bidi="hi-IN"/>
        </w:rPr>
        <w:t xml:space="preserve"> (22), 3219–3228. https://doi.org/10.1016/0040-4020(80)80168-2</w:t>
      </w:r>
    </w:p>
    <w:p w14:paraId="6A950CFF" w14:textId="77777777" w:rsidR="008A2546" w:rsidRPr="008A2546" w:rsidRDefault="008A2546" w:rsidP="008A2546">
      <w:pPr>
        <w:pStyle w:val="Bibliography"/>
        <w:rPr>
          <w:lang w:bidi="hi-IN"/>
        </w:rPr>
      </w:pPr>
      <w:r w:rsidRPr="008A2546">
        <w:rPr>
          <w:lang w:bidi="hi-IN"/>
        </w:rPr>
        <w:t>(41)</w:t>
      </w:r>
      <w:r w:rsidRPr="008A2546">
        <w:rPr>
          <w:lang w:bidi="hi-IN"/>
        </w:rPr>
        <w:tab/>
        <w:t>Darden, T.; York, D.; Pedersen, L. Particle Mesh Ewald: An N</w:t>
      </w:r>
      <w:r w:rsidRPr="008A2546">
        <w:rPr>
          <w:rFonts w:ascii="Cambria Math" w:hAnsi="Cambria Math" w:cs="Cambria Math"/>
          <w:lang w:bidi="hi-IN"/>
        </w:rPr>
        <w:t>⋅</w:t>
      </w:r>
      <w:r w:rsidRPr="008A2546">
        <w:rPr>
          <w:lang w:bidi="hi-IN"/>
        </w:rPr>
        <w:t xml:space="preserve">log(N) Method for Ewald Sums in Large Systems. </w:t>
      </w:r>
      <w:r w:rsidRPr="008A2546">
        <w:rPr>
          <w:i/>
          <w:iCs/>
          <w:lang w:bidi="hi-IN"/>
        </w:rPr>
        <w:t>J. Chem. Phys.</w:t>
      </w:r>
      <w:r w:rsidRPr="008A2546">
        <w:rPr>
          <w:lang w:bidi="hi-IN"/>
        </w:rPr>
        <w:t xml:space="preserve"> </w:t>
      </w:r>
      <w:r w:rsidRPr="008A2546">
        <w:rPr>
          <w:b/>
          <w:bCs/>
          <w:lang w:bidi="hi-IN"/>
        </w:rPr>
        <w:t>1993</w:t>
      </w:r>
      <w:r w:rsidRPr="008A2546">
        <w:rPr>
          <w:lang w:bidi="hi-IN"/>
        </w:rPr>
        <w:t xml:space="preserve">, </w:t>
      </w:r>
      <w:r w:rsidRPr="008A2546">
        <w:rPr>
          <w:i/>
          <w:iCs/>
          <w:lang w:bidi="hi-IN"/>
        </w:rPr>
        <w:t>98</w:t>
      </w:r>
      <w:r w:rsidRPr="008A2546">
        <w:rPr>
          <w:lang w:bidi="hi-IN"/>
        </w:rPr>
        <w:t xml:space="preserve"> (12), 10089–10092. https://doi.org/10.1063/1.464397</w:t>
      </w:r>
    </w:p>
    <w:p w14:paraId="7320910A" w14:textId="77777777" w:rsidR="008A2546" w:rsidRPr="008A2546" w:rsidRDefault="008A2546" w:rsidP="008A2546">
      <w:pPr>
        <w:pStyle w:val="Bibliography"/>
        <w:rPr>
          <w:lang w:bidi="hi-IN"/>
        </w:rPr>
      </w:pPr>
      <w:r w:rsidRPr="008A2546">
        <w:rPr>
          <w:lang w:bidi="hi-IN"/>
        </w:rPr>
        <w:t>(42)</w:t>
      </w:r>
      <w:r w:rsidRPr="008A2546">
        <w:rPr>
          <w:lang w:bidi="hi-IN"/>
        </w:rPr>
        <w:tab/>
        <w:t xml:space="preserve">Michaud-Agrawal, N.; Denning, E. J.; Woolf, T. B.; Beckstein, O. MDAnalysis: A Toolkit for the Analysis of Molecular Dynamics Simulations. </w:t>
      </w:r>
      <w:r w:rsidRPr="008A2546">
        <w:rPr>
          <w:i/>
          <w:iCs/>
          <w:lang w:bidi="hi-IN"/>
        </w:rPr>
        <w:t>Journal of Computational Chemistry</w:t>
      </w:r>
      <w:r w:rsidRPr="008A2546">
        <w:rPr>
          <w:lang w:bidi="hi-IN"/>
        </w:rPr>
        <w:t xml:space="preserve"> </w:t>
      </w:r>
      <w:r w:rsidRPr="008A2546">
        <w:rPr>
          <w:b/>
          <w:bCs/>
          <w:lang w:bidi="hi-IN"/>
        </w:rPr>
        <w:t>2011</w:t>
      </w:r>
      <w:r w:rsidRPr="008A2546">
        <w:rPr>
          <w:lang w:bidi="hi-IN"/>
        </w:rPr>
        <w:t xml:space="preserve">, </w:t>
      </w:r>
      <w:r w:rsidRPr="008A2546">
        <w:rPr>
          <w:i/>
          <w:iCs/>
          <w:lang w:bidi="hi-IN"/>
        </w:rPr>
        <w:t>32</w:t>
      </w:r>
      <w:r w:rsidRPr="008A2546">
        <w:rPr>
          <w:lang w:bidi="hi-IN"/>
        </w:rPr>
        <w:t xml:space="preserve"> (10), 2319–2327. https://doi.org/10.1002/jcc.21787</w:t>
      </w:r>
    </w:p>
    <w:p w14:paraId="436916E2" w14:textId="77777777" w:rsidR="008A2546" w:rsidRPr="008A2546" w:rsidRDefault="008A2546" w:rsidP="008A2546">
      <w:pPr>
        <w:pStyle w:val="Bibliography"/>
        <w:rPr>
          <w:lang w:bidi="hi-IN"/>
        </w:rPr>
      </w:pPr>
      <w:r w:rsidRPr="008A2546">
        <w:rPr>
          <w:lang w:bidi="hi-IN"/>
        </w:rPr>
        <w:t>(43)</w:t>
      </w:r>
      <w:r w:rsidRPr="008A2546">
        <w:rPr>
          <w:lang w:bidi="hi-IN"/>
        </w:rPr>
        <w:tab/>
        <w:t xml:space="preserve">McGibbon, R. T.; Beauchamp, K. A.; Harrigan, M. P.; Klein, C.; Swails, J. M.; Hernández, C. X.; Schwantes, C. R.; Wang, L.-P.; Lane, T. J.; Pande, V. S. MDTraj: A Modern Open Library for the Analysis of Molecular Dynamics Trajectories. </w:t>
      </w:r>
      <w:r w:rsidRPr="008A2546">
        <w:rPr>
          <w:i/>
          <w:iCs/>
          <w:lang w:bidi="hi-IN"/>
        </w:rPr>
        <w:t>Biophysical Journal</w:t>
      </w:r>
      <w:r w:rsidRPr="008A2546">
        <w:rPr>
          <w:lang w:bidi="hi-IN"/>
        </w:rPr>
        <w:t xml:space="preserve"> </w:t>
      </w:r>
      <w:r w:rsidRPr="008A2546">
        <w:rPr>
          <w:b/>
          <w:bCs/>
          <w:lang w:bidi="hi-IN"/>
        </w:rPr>
        <w:t>2015</w:t>
      </w:r>
      <w:r w:rsidRPr="008A2546">
        <w:rPr>
          <w:lang w:bidi="hi-IN"/>
        </w:rPr>
        <w:t xml:space="preserve">, </w:t>
      </w:r>
      <w:r w:rsidRPr="008A2546">
        <w:rPr>
          <w:i/>
          <w:iCs/>
          <w:lang w:bidi="hi-IN"/>
        </w:rPr>
        <w:t>109</w:t>
      </w:r>
      <w:r w:rsidRPr="008A2546">
        <w:rPr>
          <w:lang w:bidi="hi-IN"/>
        </w:rPr>
        <w:t xml:space="preserve"> (8), 1528–1532. https://doi.org/10.1016/j.bpj.2015.08.015</w:t>
      </w:r>
    </w:p>
    <w:p w14:paraId="319FA54F" w14:textId="77777777" w:rsidR="008A2546" w:rsidRPr="008A2546" w:rsidRDefault="008A2546" w:rsidP="008A2546">
      <w:pPr>
        <w:pStyle w:val="Bibliography"/>
        <w:rPr>
          <w:lang w:bidi="hi-IN"/>
        </w:rPr>
      </w:pPr>
      <w:r w:rsidRPr="008A2546">
        <w:rPr>
          <w:lang w:bidi="hi-IN"/>
        </w:rPr>
        <w:t>(44)</w:t>
      </w:r>
      <w:r w:rsidRPr="008A2546">
        <w:rPr>
          <w:lang w:bidi="hi-IN"/>
        </w:rPr>
        <w:tab/>
        <w:t xml:space="preserve">Massova, I.; Kollman, P. A. Combined Molecular Mechanical and Continuum Solvent Approach (MM-PBSA/GBSA) to Predict Ligand Binding. </w:t>
      </w:r>
      <w:r w:rsidRPr="008A2546">
        <w:rPr>
          <w:i/>
          <w:iCs/>
          <w:lang w:bidi="hi-IN"/>
        </w:rPr>
        <w:t>Perspectives in Drug Discovery and Design</w:t>
      </w:r>
      <w:r w:rsidRPr="008A2546">
        <w:rPr>
          <w:lang w:bidi="hi-IN"/>
        </w:rPr>
        <w:t xml:space="preserve"> </w:t>
      </w:r>
      <w:r w:rsidRPr="008A2546">
        <w:rPr>
          <w:b/>
          <w:bCs/>
          <w:lang w:bidi="hi-IN"/>
        </w:rPr>
        <w:t>2000</w:t>
      </w:r>
      <w:r w:rsidRPr="008A2546">
        <w:rPr>
          <w:lang w:bidi="hi-IN"/>
        </w:rPr>
        <w:t xml:space="preserve">, </w:t>
      </w:r>
      <w:r w:rsidRPr="008A2546">
        <w:rPr>
          <w:i/>
          <w:iCs/>
          <w:lang w:bidi="hi-IN"/>
        </w:rPr>
        <w:t>18</w:t>
      </w:r>
      <w:r w:rsidRPr="008A2546">
        <w:rPr>
          <w:lang w:bidi="hi-IN"/>
        </w:rPr>
        <w:t xml:space="preserve"> (1), 113–135. https://doi.org/10.1023/A:1008763014207</w:t>
      </w:r>
    </w:p>
    <w:p w14:paraId="54958CEF" w14:textId="77777777" w:rsidR="008A2546" w:rsidRPr="008A2546" w:rsidRDefault="008A2546" w:rsidP="008A2546">
      <w:pPr>
        <w:pStyle w:val="Bibliography"/>
        <w:rPr>
          <w:lang w:bidi="hi-IN"/>
        </w:rPr>
      </w:pPr>
      <w:r w:rsidRPr="008A2546">
        <w:rPr>
          <w:lang w:bidi="hi-IN"/>
        </w:rPr>
        <w:t>(45)</w:t>
      </w:r>
      <w:r w:rsidRPr="008A2546">
        <w:rPr>
          <w:lang w:bidi="hi-IN"/>
        </w:rPr>
        <w:tab/>
        <w:t xml:space="preserve">Onufriev, A.; Bashford, D.; Case, D. A. Exploring Protein Native States and Large-Scale Conformational Changes with a Modified Generalized Born Model. </w:t>
      </w:r>
      <w:r w:rsidRPr="008A2546">
        <w:rPr>
          <w:i/>
          <w:iCs/>
          <w:lang w:bidi="hi-IN"/>
        </w:rPr>
        <w:t>Proteins: Structure, Function, and Bioinformatics</w:t>
      </w:r>
      <w:r w:rsidRPr="008A2546">
        <w:rPr>
          <w:lang w:bidi="hi-IN"/>
        </w:rPr>
        <w:t xml:space="preserve"> </w:t>
      </w:r>
      <w:r w:rsidRPr="008A2546">
        <w:rPr>
          <w:b/>
          <w:bCs/>
          <w:lang w:bidi="hi-IN"/>
        </w:rPr>
        <w:t>2004</w:t>
      </w:r>
      <w:r w:rsidRPr="008A2546">
        <w:rPr>
          <w:lang w:bidi="hi-IN"/>
        </w:rPr>
        <w:t xml:space="preserve">, </w:t>
      </w:r>
      <w:r w:rsidRPr="008A2546">
        <w:rPr>
          <w:i/>
          <w:iCs/>
          <w:lang w:bidi="hi-IN"/>
        </w:rPr>
        <w:t>55</w:t>
      </w:r>
      <w:r w:rsidRPr="008A2546">
        <w:rPr>
          <w:lang w:bidi="hi-IN"/>
        </w:rPr>
        <w:t xml:space="preserve"> (2), 383–394. https://doi.org/10.1002/prot.20033</w:t>
      </w:r>
    </w:p>
    <w:p w14:paraId="084C805F" w14:textId="77777777" w:rsidR="008A2546" w:rsidRPr="008A2546" w:rsidRDefault="008A2546" w:rsidP="008A2546">
      <w:pPr>
        <w:pStyle w:val="Bibliography"/>
        <w:rPr>
          <w:lang w:bidi="hi-IN"/>
        </w:rPr>
      </w:pPr>
      <w:r w:rsidRPr="008A2546">
        <w:rPr>
          <w:lang w:bidi="hi-IN"/>
        </w:rPr>
        <w:t>(46)</w:t>
      </w:r>
      <w:r w:rsidRPr="008A2546">
        <w:rPr>
          <w:lang w:bidi="hi-IN"/>
        </w:rPr>
        <w:tab/>
        <w:t xml:space="preserve">Gapsys, V.; Michielssens, S.; Seeliger, D.; de Groot, B. L. Pmx: Automated Protein Structure and Topology Generation for Alchemical Perturbations. </w:t>
      </w:r>
      <w:r w:rsidRPr="008A2546">
        <w:rPr>
          <w:i/>
          <w:iCs/>
          <w:lang w:bidi="hi-IN"/>
        </w:rPr>
        <w:t>Journal of Computational Chemistry</w:t>
      </w:r>
      <w:r w:rsidRPr="008A2546">
        <w:rPr>
          <w:lang w:bidi="hi-IN"/>
        </w:rPr>
        <w:t xml:space="preserve"> </w:t>
      </w:r>
      <w:r w:rsidRPr="008A2546">
        <w:rPr>
          <w:b/>
          <w:bCs/>
          <w:lang w:bidi="hi-IN"/>
        </w:rPr>
        <w:t>2015</w:t>
      </w:r>
      <w:r w:rsidRPr="008A2546">
        <w:rPr>
          <w:lang w:bidi="hi-IN"/>
        </w:rPr>
        <w:t xml:space="preserve">, </w:t>
      </w:r>
      <w:r w:rsidRPr="008A2546">
        <w:rPr>
          <w:i/>
          <w:iCs/>
          <w:lang w:bidi="hi-IN"/>
        </w:rPr>
        <w:t>36</w:t>
      </w:r>
      <w:r w:rsidRPr="008A2546">
        <w:rPr>
          <w:lang w:bidi="hi-IN"/>
        </w:rPr>
        <w:t xml:space="preserve"> (5), 348–354. https://doi.org/10.1002/jcc.23804</w:t>
      </w:r>
    </w:p>
    <w:p w14:paraId="79E5844A" w14:textId="77777777" w:rsidR="008A2546" w:rsidRPr="008A2546" w:rsidRDefault="008A2546" w:rsidP="008A2546">
      <w:pPr>
        <w:pStyle w:val="Bibliography"/>
        <w:rPr>
          <w:lang w:bidi="hi-IN"/>
        </w:rPr>
      </w:pPr>
      <w:r w:rsidRPr="008A2546">
        <w:rPr>
          <w:lang w:bidi="hi-IN"/>
        </w:rPr>
        <w:t>(47)</w:t>
      </w:r>
      <w:r w:rsidRPr="008A2546">
        <w:rPr>
          <w:lang w:bidi="hi-IN"/>
        </w:rPr>
        <w:tab/>
        <w:t xml:space="preserve">Abraham, M. J.; Murtola, T.; Schulz, R.; Páll, S.; Smith, J. C.; Hess, B.; Lindahl, E. GROMACS: High Performance Molecular Simulations through Multi-Level Parallelism from Laptops to Supercomputers. </w:t>
      </w:r>
      <w:r w:rsidRPr="008A2546">
        <w:rPr>
          <w:i/>
          <w:iCs/>
          <w:lang w:bidi="hi-IN"/>
        </w:rPr>
        <w:t>SoftwareX</w:t>
      </w:r>
      <w:r w:rsidRPr="008A2546">
        <w:rPr>
          <w:lang w:bidi="hi-IN"/>
        </w:rPr>
        <w:t xml:space="preserve"> </w:t>
      </w:r>
      <w:r w:rsidRPr="008A2546">
        <w:rPr>
          <w:b/>
          <w:bCs/>
          <w:lang w:bidi="hi-IN"/>
        </w:rPr>
        <w:t>2015</w:t>
      </w:r>
      <w:r w:rsidRPr="008A2546">
        <w:rPr>
          <w:lang w:bidi="hi-IN"/>
        </w:rPr>
        <w:t xml:space="preserve">, </w:t>
      </w:r>
      <w:r w:rsidRPr="008A2546">
        <w:rPr>
          <w:i/>
          <w:iCs/>
          <w:lang w:bidi="hi-IN"/>
        </w:rPr>
        <w:t>1–2</w:t>
      </w:r>
      <w:r w:rsidRPr="008A2546">
        <w:rPr>
          <w:lang w:bidi="hi-IN"/>
        </w:rPr>
        <w:t>, 19–25. https://doi.org/10.1016/j.softx.2015.06.001</w:t>
      </w:r>
    </w:p>
    <w:p w14:paraId="75110B88" w14:textId="77777777" w:rsidR="008A2546" w:rsidRPr="008A2546" w:rsidRDefault="008A2546" w:rsidP="008A2546">
      <w:pPr>
        <w:pStyle w:val="Bibliography"/>
        <w:rPr>
          <w:lang w:bidi="hi-IN"/>
        </w:rPr>
      </w:pPr>
      <w:r w:rsidRPr="008A2546">
        <w:rPr>
          <w:lang w:bidi="hi-IN"/>
        </w:rPr>
        <w:lastRenderedPageBreak/>
        <w:t>(48)</w:t>
      </w:r>
      <w:r w:rsidRPr="008A2546">
        <w:rPr>
          <w:lang w:bidi="hi-IN"/>
        </w:rPr>
        <w:tab/>
        <w:t xml:space="preserve">Gapsys, V.; Seeliger, D.; de Groot, B. L. New Soft-Core Potential Function for Molecular Dynamics Based Alchemical Free Energy Calculations. </w:t>
      </w:r>
      <w:r w:rsidRPr="008A2546">
        <w:rPr>
          <w:i/>
          <w:iCs/>
          <w:lang w:bidi="hi-IN"/>
        </w:rPr>
        <w:t>J. Chem. Theory Comput.</w:t>
      </w:r>
      <w:r w:rsidRPr="008A2546">
        <w:rPr>
          <w:lang w:bidi="hi-IN"/>
        </w:rPr>
        <w:t xml:space="preserve"> </w:t>
      </w:r>
      <w:r w:rsidRPr="008A2546">
        <w:rPr>
          <w:b/>
          <w:bCs/>
          <w:lang w:bidi="hi-IN"/>
        </w:rPr>
        <w:t>2012</w:t>
      </w:r>
      <w:r w:rsidRPr="008A2546">
        <w:rPr>
          <w:lang w:bidi="hi-IN"/>
        </w:rPr>
        <w:t xml:space="preserve">, </w:t>
      </w:r>
      <w:r w:rsidRPr="008A2546">
        <w:rPr>
          <w:i/>
          <w:iCs/>
          <w:lang w:bidi="hi-IN"/>
        </w:rPr>
        <w:t>8</w:t>
      </w:r>
      <w:r w:rsidRPr="008A2546">
        <w:rPr>
          <w:lang w:bidi="hi-IN"/>
        </w:rPr>
        <w:t xml:space="preserve"> (7), 2373–2382. https://doi.org/10.1021/ct300220p</w:t>
      </w:r>
    </w:p>
    <w:p w14:paraId="29F45BF7" w14:textId="77777777" w:rsidR="008A2546" w:rsidRPr="008A2546" w:rsidRDefault="008A2546" w:rsidP="008A2546">
      <w:pPr>
        <w:pStyle w:val="Bibliography"/>
        <w:rPr>
          <w:lang w:bidi="hi-IN"/>
        </w:rPr>
      </w:pPr>
      <w:r w:rsidRPr="008A2546">
        <w:rPr>
          <w:lang w:bidi="hi-IN"/>
        </w:rPr>
        <w:t>(49)</w:t>
      </w:r>
      <w:r w:rsidRPr="008A2546">
        <w:rPr>
          <w:lang w:bidi="hi-IN"/>
        </w:rPr>
        <w:tab/>
        <w:t xml:space="preserve">Jarzynski, C. Nonequilibrium Equality for Free Energy Differences. </w:t>
      </w:r>
      <w:r w:rsidRPr="008A2546">
        <w:rPr>
          <w:i/>
          <w:iCs/>
          <w:lang w:bidi="hi-IN"/>
        </w:rPr>
        <w:t>Phys. Rev. Lett.</w:t>
      </w:r>
      <w:r w:rsidRPr="008A2546">
        <w:rPr>
          <w:lang w:bidi="hi-IN"/>
        </w:rPr>
        <w:t xml:space="preserve"> </w:t>
      </w:r>
      <w:r w:rsidRPr="008A2546">
        <w:rPr>
          <w:b/>
          <w:bCs/>
          <w:lang w:bidi="hi-IN"/>
        </w:rPr>
        <w:t>1997</w:t>
      </w:r>
      <w:r w:rsidRPr="008A2546">
        <w:rPr>
          <w:lang w:bidi="hi-IN"/>
        </w:rPr>
        <w:t xml:space="preserve">, </w:t>
      </w:r>
      <w:r w:rsidRPr="008A2546">
        <w:rPr>
          <w:i/>
          <w:iCs/>
          <w:lang w:bidi="hi-IN"/>
        </w:rPr>
        <w:t>78</w:t>
      </w:r>
      <w:r w:rsidRPr="008A2546">
        <w:rPr>
          <w:lang w:bidi="hi-IN"/>
        </w:rPr>
        <w:t xml:space="preserve"> (14), 2690–2693. https://doi.org/10.1103/PhysRevLett.78.2690</w:t>
      </w:r>
    </w:p>
    <w:p w14:paraId="1E78DA70" w14:textId="77777777" w:rsidR="008A2546" w:rsidRPr="008A2546" w:rsidRDefault="008A2546" w:rsidP="008A2546">
      <w:pPr>
        <w:pStyle w:val="Bibliography"/>
        <w:rPr>
          <w:lang w:bidi="hi-IN"/>
        </w:rPr>
      </w:pPr>
      <w:r w:rsidRPr="008A2546">
        <w:rPr>
          <w:lang w:bidi="hi-IN"/>
        </w:rPr>
        <w:t>(50)</w:t>
      </w:r>
      <w:r w:rsidRPr="008A2546">
        <w:rPr>
          <w:lang w:bidi="hi-IN"/>
        </w:rPr>
        <w:tab/>
        <w:t xml:space="preserve">Crooks, G. E. Entropy Production Fluctuation Theorem and the Nonequilibrium Work Relation for Free Energy Differences. </w:t>
      </w:r>
      <w:r w:rsidRPr="008A2546">
        <w:rPr>
          <w:i/>
          <w:iCs/>
          <w:lang w:bidi="hi-IN"/>
        </w:rPr>
        <w:t>Phys. Rev. E</w:t>
      </w:r>
      <w:r w:rsidRPr="008A2546">
        <w:rPr>
          <w:lang w:bidi="hi-IN"/>
        </w:rPr>
        <w:t xml:space="preserve"> </w:t>
      </w:r>
      <w:r w:rsidRPr="008A2546">
        <w:rPr>
          <w:b/>
          <w:bCs/>
          <w:lang w:bidi="hi-IN"/>
        </w:rPr>
        <w:t>1999</w:t>
      </w:r>
      <w:r w:rsidRPr="008A2546">
        <w:rPr>
          <w:lang w:bidi="hi-IN"/>
        </w:rPr>
        <w:t xml:space="preserve">, </w:t>
      </w:r>
      <w:r w:rsidRPr="008A2546">
        <w:rPr>
          <w:i/>
          <w:iCs/>
          <w:lang w:bidi="hi-IN"/>
        </w:rPr>
        <w:t>60</w:t>
      </w:r>
      <w:r w:rsidRPr="008A2546">
        <w:rPr>
          <w:lang w:bidi="hi-IN"/>
        </w:rPr>
        <w:t xml:space="preserve"> (3), 2721–2726. https://doi.org/10.1103/PhysRevE.60.2721</w:t>
      </w:r>
    </w:p>
    <w:p w14:paraId="1D60CE03" w14:textId="77777777" w:rsidR="008A2546" w:rsidRPr="008A2546" w:rsidRDefault="008A2546" w:rsidP="008A2546">
      <w:pPr>
        <w:pStyle w:val="Bibliography"/>
        <w:rPr>
          <w:lang w:bidi="hi-IN"/>
        </w:rPr>
      </w:pPr>
      <w:r w:rsidRPr="008A2546">
        <w:rPr>
          <w:lang w:bidi="hi-IN"/>
        </w:rPr>
        <w:t>(51)</w:t>
      </w:r>
      <w:r w:rsidRPr="008A2546">
        <w:rPr>
          <w:lang w:bidi="hi-IN"/>
        </w:rPr>
        <w:tab/>
        <w:t xml:space="preserve">Bernetti, M.; Bussi, G. Pressure Control Using Stochastic Cell Rescaling. </w:t>
      </w:r>
      <w:r w:rsidRPr="008A2546">
        <w:rPr>
          <w:i/>
          <w:iCs/>
          <w:lang w:bidi="hi-IN"/>
        </w:rPr>
        <w:t>J. Chem. Phys.</w:t>
      </w:r>
      <w:r w:rsidRPr="008A2546">
        <w:rPr>
          <w:lang w:bidi="hi-IN"/>
        </w:rPr>
        <w:t xml:space="preserve"> </w:t>
      </w:r>
      <w:r w:rsidRPr="008A2546">
        <w:rPr>
          <w:b/>
          <w:bCs/>
          <w:lang w:bidi="hi-IN"/>
        </w:rPr>
        <w:t>2020</w:t>
      </w:r>
      <w:r w:rsidRPr="008A2546">
        <w:rPr>
          <w:lang w:bidi="hi-IN"/>
        </w:rPr>
        <w:t xml:space="preserve">, </w:t>
      </w:r>
      <w:r w:rsidRPr="008A2546">
        <w:rPr>
          <w:i/>
          <w:iCs/>
          <w:lang w:bidi="hi-IN"/>
        </w:rPr>
        <w:t>153</w:t>
      </w:r>
      <w:r w:rsidRPr="008A2546">
        <w:rPr>
          <w:lang w:bidi="hi-IN"/>
        </w:rPr>
        <w:t xml:space="preserve"> (11), 114107. https://doi.org/10.1063/5.0020514</w:t>
      </w:r>
    </w:p>
    <w:p w14:paraId="25CBFBF8" w14:textId="77777777" w:rsidR="008A2546" w:rsidRPr="008A2546" w:rsidRDefault="008A2546" w:rsidP="008A2546">
      <w:pPr>
        <w:pStyle w:val="Bibliography"/>
        <w:rPr>
          <w:lang w:bidi="hi-IN"/>
        </w:rPr>
      </w:pPr>
      <w:r w:rsidRPr="008A2546">
        <w:rPr>
          <w:lang w:bidi="hi-IN"/>
        </w:rPr>
        <w:t>(52)</w:t>
      </w:r>
      <w:r w:rsidRPr="008A2546">
        <w:rPr>
          <w:lang w:bidi="hi-IN"/>
        </w:rPr>
        <w:tab/>
        <w:t xml:space="preserve">Bennett, C. H. Efficient Estimation of Free Energy Differences from Monte Carlo Data. </w:t>
      </w:r>
      <w:r w:rsidRPr="008A2546">
        <w:rPr>
          <w:i/>
          <w:iCs/>
          <w:lang w:bidi="hi-IN"/>
        </w:rPr>
        <w:t>Journal of Computational Physics</w:t>
      </w:r>
      <w:r w:rsidRPr="008A2546">
        <w:rPr>
          <w:lang w:bidi="hi-IN"/>
        </w:rPr>
        <w:t xml:space="preserve"> </w:t>
      </w:r>
      <w:r w:rsidRPr="008A2546">
        <w:rPr>
          <w:b/>
          <w:bCs/>
          <w:lang w:bidi="hi-IN"/>
        </w:rPr>
        <w:t>1976</w:t>
      </w:r>
      <w:r w:rsidRPr="008A2546">
        <w:rPr>
          <w:lang w:bidi="hi-IN"/>
        </w:rPr>
        <w:t xml:space="preserve">, </w:t>
      </w:r>
      <w:r w:rsidRPr="008A2546">
        <w:rPr>
          <w:i/>
          <w:iCs/>
          <w:lang w:bidi="hi-IN"/>
        </w:rPr>
        <w:t>22</w:t>
      </w:r>
      <w:r w:rsidRPr="008A2546">
        <w:rPr>
          <w:lang w:bidi="hi-IN"/>
        </w:rPr>
        <w:t xml:space="preserve"> (2), 245–268. https://doi.org/10.1016/0021-9991(76)90078-4</w:t>
      </w:r>
    </w:p>
    <w:p w14:paraId="1D8E1962" w14:textId="77777777" w:rsidR="008A2546" w:rsidRPr="008A2546" w:rsidRDefault="008A2546" w:rsidP="008A2546">
      <w:pPr>
        <w:pStyle w:val="Bibliography"/>
        <w:rPr>
          <w:lang w:bidi="hi-IN"/>
        </w:rPr>
      </w:pPr>
      <w:r w:rsidRPr="008A2546">
        <w:rPr>
          <w:lang w:bidi="hi-IN"/>
        </w:rPr>
        <w:t>(53)</w:t>
      </w:r>
      <w:r w:rsidRPr="008A2546">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8A2546">
        <w:rPr>
          <w:i/>
          <w:iCs/>
          <w:lang w:bidi="hi-IN"/>
        </w:rPr>
        <w:t>J. Chem. Phys.</w:t>
      </w:r>
      <w:r w:rsidRPr="008A2546">
        <w:rPr>
          <w:lang w:bidi="hi-IN"/>
        </w:rPr>
        <w:t xml:space="preserve"> </w:t>
      </w:r>
      <w:r w:rsidRPr="008A2546">
        <w:rPr>
          <w:b/>
          <w:bCs/>
          <w:lang w:bidi="hi-IN"/>
        </w:rPr>
        <w:t>2013</w:t>
      </w:r>
      <w:r w:rsidRPr="008A2546">
        <w:rPr>
          <w:lang w:bidi="hi-IN"/>
        </w:rPr>
        <w:t xml:space="preserve">, </w:t>
      </w:r>
      <w:r w:rsidRPr="008A2546">
        <w:rPr>
          <w:i/>
          <w:iCs/>
          <w:lang w:bidi="hi-IN"/>
        </w:rPr>
        <w:t>139</w:t>
      </w:r>
      <w:r w:rsidRPr="008A2546">
        <w:rPr>
          <w:lang w:bidi="hi-IN"/>
        </w:rPr>
        <w:t xml:space="preserve"> (18), 184103. https://doi.org/10.1063/1.4826261</w:t>
      </w:r>
    </w:p>
    <w:p w14:paraId="6F709898" w14:textId="77777777" w:rsidR="008A2546" w:rsidRPr="008A2546" w:rsidRDefault="008A2546" w:rsidP="008A2546">
      <w:pPr>
        <w:pStyle w:val="Bibliography"/>
        <w:rPr>
          <w:lang w:bidi="hi-IN"/>
        </w:rPr>
      </w:pPr>
      <w:r w:rsidRPr="008A2546">
        <w:rPr>
          <w:lang w:bidi="hi-IN"/>
        </w:rPr>
        <w:t>(54)</w:t>
      </w:r>
      <w:r w:rsidRPr="008A2546">
        <w:rPr>
          <w:lang w:bidi="hi-IN"/>
        </w:rPr>
        <w:tab/>
        <w:t xml:space="preserve">Orkin, C.; Kuritzkes, D. R.; Katlama, C.; Su, F.-H.; Plank, R. M.; Lahoulou, R.; Asante-Appiah, E. Doravirine Resistance Patterns Identified Through Week 192 in the DRIVE-FORWARD and DRIVE-AHEAD Phase 3 Clinical Trials. </w:t>
      </w:r>
      <w:r w:rsidRPr="008A2546">
        <w:rPr>
          <w:i/>
          <w:iCs/>
          <w:lang w:bidi="hi-IN"/>
        </w:rPr>
        <w:t>J Acquir Immune Defic Syndr</w:t>
      </w:r>
      <w:r w:rsidRPr="008A2546">
        <w:rPr>
          <w:lang w:bidi="hi-IN"/>
        </w:rPr>
        <w:t xml:space="preserve"> </w:t>
      </w:r>
      <w:r w:rsidRPr="008A2546">
        <w:rPr>
          <w:b/>
          <w:bCs/>
          <w:lang w:bidi="hi-IN"/>
        </w:rPr>
        <w:t>2026</w:t>
      </w:r>
      <w:r w:rsidRPr="008A2546">
        <w:rPr>
          <w:lang w:bidi="hi-IN"/>
        </w:rPr>
        <w:t xml:space="preserve">, </w:t>
      </w:r>
      <w:r w:rsidRPr="008A2546">
        <w:rPr>
          <w:i/>
          <w:iCs/>
          <w:lang w:bidi="hi-IN"/>
        </w:rPr>
        <w:t>101</w:t>
      </w:r>
      <w:r w:rsidRPr="008A2546">
        <w:rPr>
          <w:lang w:bidi="hi-IN"/>
        </w:rPr>
        <w:t xml:space="preserve"> (3), 308–315. https://doi.org/10.1097/QAI.0000000000003787</w:t>
      </w:r>
    </w:p>
    <w:p w14:paraId="4D9AF0CF" w14:textId="77777777" w:rsidR="008A2546" w:rsidRPr="008A2546" w:rsidRDefault="008A2546" w:rsidP="008A2546">
      <w:pPr>
        <w:pStyle w:val="Bibliography"/>
        <w:rPr>
          <w:lang w:bidi="hi-IN"/>
        </w:rPr>
      </w:pPr>
      <w:r w:rsidRPr="008A2546">
        <w:rPr>
          <w:lang w:bidi="hi-IN"/>
        </w:rPr>
        <w:t>(55)</w:t>
      </w:r>
      <w:r w:rsidRPr="008A2546">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8A2546">
        <w:rPr>
          <w:i/>
          <w:iCs/>
          <w:lang w:bidi="hi-IN"/>
        </w:rPr>
        <w:t>Antimicrobial Agents and Chemotherapy</w:t>
      </w:r>
      <w:r w:rsidRPr="008A2546">
        <w:rPr>
          <w:lang w:bidi="hi-IN"/>
        </w:rPr>
        <w:t xml:space="preserve"> </w:t>
      </w:r>
      <w:r w:rsidRPr="008A2546">
        <w:rPr>
          <w:b/>
          <w:bCs/>
          <w:lang w:bidi="hi-IN"/>
        </w:rPr>
        <w:t>2021</w:t>
      </w:r>
      <w:r w:rsidRPr="008A2546">
        <w:rPr>
          <w:lang w:bidi="hi-IN"/>
        </w:rPr>
        <w:t xml:space="preserve">, </w:t>
      </w:r>
      <w:r w:rsidRPr="008A2546">
        <w:rPr>
          <w:i/>
          <w:iCs/>
          <w:lang w:bidi="hi-IN"/>
        </w:rPr>
        <w:t>65</w:t>
      </w:r>
      <w:r w:rsidRPr="008A2546">
        <w:rPr>
          <w:lang w:bidi="hi-IN"/>
        </w:rPr>
        <w:t xml:space="preserve"> (12), 10.1128/aac.01216-21. https://doi.org/10.1128/aac.01216-21</w:t>
      </w:r>
    </w:p>
    <w:p w14:paraId="4C151D20" w14:textId="77777777" w:rsidR="008A2546" w:rsidRPr="008A2546" w:rsidRDefault="008A2546" w:rsidP="008A2546">
      <w:pPr>
        <w:pStyle w:val="Bibliography"/>
        <w:rPr>
          <w:lang w:bidi="hi-IN"/>
        </w:rPr>
      </w:pPr>
      <w:r w:rsidRPr="008A2546">
        <w:rPr>
          <w:lang w:bidi="hi-IN"/>
        </w:rPr>
        <w:t>(56)</w:t>
      </w:r>
      <w:r w:rsidRPr="008A2546">
        <w:rPr>
          <w:lang w:bidi="hi-IN"/>
        </w:rPr>
        <w:tab/>
        <w:t xml:space="preserve">Lai, M.-T.; Xu, M.; Ngo, W.; Feng, M.; Graham, D.; Wang, J.; Hazuda, D. J.; Hanna, G. J.; Kumar, S.; Xu, X.; Martin, E.; Hwang, C. </w:t>
      </w:r>
      <w:r w:rsidRPr="008A2546">
        <w:rPr>
          <w:i/>
          <w:iCs/>
          <w:lang w:bidi="hi-IN"/>
        </w:rPr>
        <w:t>Characterization of Doravirine-Selected Resistance Patterns From Participants in Treatment-Naïve Phase 3 Clinical Trials</w:t>
      </w:r>
      <w:r w:rsidRPr="008A2546">
        <w:rPr>
          <w:lang w:bidi="hi-IN"/>
        </w:rPr>
        <w:t>. https://www.natap.org/2018/IAC/IAC_54.htm (accessed 2026-05-24)</w:t>
      </w:r>
    </w:p>
    <w:p w14:paraId="610B2BFD" w14:textId="77777777" w:rsidR="008A2546" w:rsidRPr="008A2546" w:rsidRDefault="008A2546" w:rsidP="008A2546">
      <w:pPr>
        <w:pStyle w:val="Bibliography"/>
        <w:rPr>
          <w:lang w:bidi="hi-IN"/>
        </w:rPr>
      </w:pPr>
      <w:r w:rsidRPr="008A2546">
        <w:rPr>
          <w:lang w:bidi="hi-IN"/>
        </w:rPr>
        <w:t>(57)</w:t>
      </w:r>
      <w:r w:rsidRPr="008A2546">
        <w:rPr>
          <w:lang w:bidi="hi-IN"/>
        </w:rPr>
        <w:tab/>
        <w:t xml:space="preserve">Hazuda, D. J.; Xu, M.; Ngo, W.; Feng, M.; Hwang, C.; Grobler, J. A.; Lai, M.-T. </w:t>
      </w:r>
      <w:r w:rsidRPr="008A2546">
        <w:rPr>
          <w:i/>
          <w:iCs/>
          <w:lang w:bidi="hi-IN"/>
        </w:rPr>
        <w:t>Understanding the Resistance Profile of the HIV-1 NNRTI Doravirine in Combination With the Novel NRTTI MK-8591</w:t>
      </w:r>
      <w:r w:rsidRPr="008A2546">
        <w:rPr>
          <w:lang w:bidi="hi-IN"/>
        </w:rPr>
        <w:t>. https://www.natap.org/2018/IAC/IAC_48.htm (accessed 2026-05-24)</w:t>
      </w:r>
    </w:p>
    <w:p w14:paraId="04A3812D" w14:textId="77777777" w:rsidR="008A2546" w:rsidRPr="008A2546" w:rsidRDefault="008A2546" w:rsidP="008A2546">
      <w:pPr>
        <w:pStyle w:val="Bibliography"/>
        <w:rPr>
          <w:lang w:bidi="hi-IN"/>
        </w:rPr>
      </w:pPr>
      <w:r w:rsidRPr="008A2546">
        <w:rPr>
          <w:lang w:bidi="hi-IN"/>
        </w:rPr>
        <w:t>(58)</w:t>
      </w:r>
      <w:r w:rsidRPr="008A2546">
        <w:rPr>
          <w:lang w:bidi="hi-IN"/>
        </w:rPr>
        <w:tab/>
        <w:t xml:space="preserve">Smith, S. J.; Pauly, G. T.; Akram, A.; Melody, K.; Ambrose, Z.; Schneider, J. P.; Hughes, S. H. Rilpivirine and Doravirine Have Complementary Efficacies Against NNRTI-Resistant HIV-1 Mutants. </w:t>
      </w:r>
      <w:r w:rsidRPr="008A2546">
        <w:rPr>
          <w:i/>
          <w:iCs/>
          <w:lang w:bidi="hi-IN"/>
        </w:rPr>
        <w:t>JAIDS Journal of Acquired Immune Deficiency Syndromes</w:t>
      </w:r>
      <w:r w:rsidRPr="008A2546">
        <w:rPr>
          <w:lang w:bidi="hi-IN"/>
        </w:rPr>
        <w:t xml:space="preserve"> </w:t>
      </w:r>
      <w:r w:rsidRPr="008A2546">
        <w:rPr>
          <w:b/>
          <w:bCs/>
          <w:lang w:bidi="hi-IN"/>
        </w:rPr>
        <w:t>2016</w:t>
      </w:r>
      <w:r w:rsidRPr="008A2546">
        <w:rPr>
          <w:lang w:bidi="hi-IN"/>
        </w:rPr>
        <w:t xml:space="preserve">, </w:t>
      </w:r>
      <w:r w:rsidRPr="008A2546">
        <w:rPr>
          <w:i/>
          <w:iCs/>
          <w:lang w:bidi="hi-IN"/>
        </w:rPr>
        <w:t>72</w:t>
      </w:r>
      <w:r w:rsidRPr="008A2546">
        <w:rPr>
          <w:lang w:bidi="hi-IN"/>
        </w:rPr>
        <w:t xml:space="preserve"> (5), 485. https://doi.org/10.1097/QAI.0000000000001031</w:t>
      </w:r>
    </w:p>
    <w:p w14:paraId="0F9F3CEB" w14:textId="77777777" w:rsidR="008A2546" w:rsidRPr="008A2546" w:rsidRDefault="008A2546" w:rsidP="008A2546">
      <w:pPr>
        <w:pStyle w:val="Bibliography"/>
        <w:rPr>
          <w:lang w:bidi="hi-IN"/>
        </w:rPr>
      </w:pPr>
      <w:r w:rsidRPr="008A2546">
        <w:rPr>
          <w:lang w:bidi="hi-IN"/>
        </w:rPr>
        <w:lastRenderedPageBreak/>
        <w:t>(59)</w:t>
      </w:r>
      <w:r w:rsidRPr="008A2546">
        <w:rPr>
          <w:lang w:bidi="hi-IN"/>
        </w:rPr>
        <w:tab/>
        <w:t xml:space="preserve">Kellinger, M. W.; Johnson, K. A. Nucleotide-Dependent Conformational Change Governs Specificity and Analog Discrimination by HIV Reverse Transcriptase. </w:t>
      </w:r>
      <w:r w:rsidRPr="008A2546">
        <w:rPr>
          <w:i/>
          <w:iCs/>
          <w:lang w:bidi="hi-IN"/>
        </w:rPr>
        <w:t>Proceedings of the National Academy of Sciences</w:t>
      </w:r>
      <w:r w:rsidRPr="008A2546">
        <w:rPr>
          <w:lang w:bidi="hi-IN"/>
        </w:rPr>
        <w:t xml:space="preserve"> </w:t>
      </w:r>
      <w:r w:rsidRPr="008A2546">
        <w:rPr>
          <w:b/>
          <w:bCs/>
          <w:lang w:bidi="hi-IN"/>
        </w:rPr>
        <w:t>2010</w:t>
      </w:r>
      <w:r w:rsidRPr="008A2546">
        <w:rPr>
          <w:lang w:bidi="hi-IN"/>
        </w:rPr>
        <w:t xml:space="preserve">, </w:t>
      </w:r>
      <w:r w:rsidRPr="008A2546">
        <w:rPr>
          <w:i/>
          <w:iCs/>
          <w:lang w:bidi="hi-IN"/>
        </w:rPr>
        <w:t>107</w:t>
      </w:r>
      <w:r w:rsidRPr="008A2546">
        <w:rPr>
          <w:lang w:bidi="hi-IN"/>
        </w:rPr>
        <w:t xml:space="preserve"> (17), 7734–7739. https://doi.org/10.1073/pnas.0913946107</w:t>
      </w:r>
    </w:p>
    <w:p w14:paraId="6AF0C53B" w14:textId="77777777" w:rsidR="008A2546" w:rsidRPr="008A2546" w:rsidRDefault="008A2546" w:rsidP="008A2546">
      <w:pPr>
        <w:pStyle w:val="Bibliography"/>
        <w:rPr>
          <w:lang w:bidi="hi-IN"/>
        </w:rPr>
      </w:pPr>
      <w:r w:rsidRPr="008A2546">
        <w:rPr>
          <w:lang w:bidi="hi-IN"/>
        </w:rPr>
        <w:t>(60)</w:t>
      </w:r>
      <w:r w:rsidRPr="008A2546">
        <w:rPr>
          <w:lang w:bidi="hi-IN"/>
        </w:rPr>
        <w:tab/>
        <w:t xml:space="preserve">Chachra, R.; Rizzo, R. C. Origins of Resistance Conferred by the R292K Neuraminidase Mutation via Molecular Dynamics and Free Energy Calculations. </w:t>
      </w:r>
      <w:r w:rsidRPr="008A2546">
        <w:rPr>
          <w:i/>
          <w:iCs/>
          <w:lang w:bidi="hi-IN"/>
        </w:rPr>
        <w:t>J. Chem. Theory Comput.</w:t>
      </w:r>
      <w:r w:rsidRPr="008A2546">
        <w:rPr>
          <w:lang w:bidi="hi-IN"/>
        </w:rPr>
        <w:t xml:space="preserve"> </w:t>
      </w:r>
      <w:r w:rsidRPr="008A2546">
        <w:rPr>
          <w:b/>
          <w:bCs/>
          <w:lang w:bidi="hi-IN"/>
        </w:rPr>
        <w:t>2008</w:t>
      </w:r>
      <w:r w:rsidRPr="008A2546">
        <w:rPr>
          <w:lang w:bidi="hi-IN"/>
        </w:rPr>
        <w:t xml:space="preserve">, </w:t>
      </w:r>
      <w:r w:rsidRPr="008A2546">
        <w:rPr>
          <w:i/>
          <w:iCs/>
          <w:lang w:bidi="hi-IN"/>
        </w:rPr>
        <w:t>4</w:t>
      </w:r>
      <w:r w:rsidRPr="008A2546">
        <w:rPr>
          <w:lang w:bidi="hi-IN"/>
        </w:rPr>
        <w:t xml:space="preserve"> (9), 1526–1540. https://doi.org/10.1021/ct800068v</w:t>
      </w:r>
    </w:p>
    <w:p w14:paraId="31CB5BAD" w14:textId="77777777" w:rsidR="008A2546" w:rsidRPr="008A2546" w:rsidRDefault="008A2546" w:rsidP="008A2546">
      <w:pPr>
        <w:pStyle w:val="Bibliography"/>
        <w:rPr>
          <w:lang w:bidi="hi-IN"/>
        </w:rPr>
      </w:pPr>
      <w:r w:rsidRPr="008A2546">
        <w:rPr>
          <w:lang w:bidi="hi-IN"/>
        </w:rPr>
        <w:t>(61)</w:t>
      </w:r>
      <w:r w:rsidRPr="008A2546">
        <w:rPr>
          <w:lang w:bidi="hi-IN"/>
        </w:rPr>
        <w:tab/>
        <w:t xml:space="preserve">Ripoll, D. R.; Khavrutskii, I. V.; Chaudhury, S.; Liu, J.; Kuschner, R. A.; Wallqvist, A.; Reifman, J. Quantitative Predictions of Binding Free Energy Changes in Drug-Resistant Influenza Neuraminidase. </w:t>
      </w:r>
      <w:r w:rsidRPr="008A2546">
        <w:rPr>
          <w:i/>
          <w:iCs/>
          <w:lang w:bidi="hi-IN"/>
        </w:rPr>
        <w:t>PLOS Computational Biology</w:t>
      </w:r>
      <w:r w:rsidRPr="008A2546">
        <w:rPr>
          <w:lang w:bidi="hi-IN"/>
        </w:rPr>
        <w:t xml:space="preserve"> </w:t>
      </w:r>
      <w:r w:rsidRPr="008A2546">
        <w:rPr>
          <w:b/>
          <w:bCs/>
          <w:lang w:bidi="hi-IN"/>
        </w:rPr>
        <w:t>2012</w:t>
      </w:r>
      <w:r w:rsidRPr="008A2546">
        <w:rPr>
          <w:lang w:bidi="hi-IN"/>
        </w:rPr>
        <w:t xml:space="preserve">, </w:t>
      </w:r>
      <w:r w:rsidRPr="008A2546">
        <w:rPr>
          <w:i/>
          <w:iCs/>
          <w:lang w:bidi="hi-IN"/>
        </w:rPr>
        <w:t>8</w:t>
      </w:r>
      <w:r w:rsidRPr="008A2546">
        <w:rPr>
          <w:lang w:bidi="hi-IN"/>
        </w:rPr>
        <w:t xml:space="preserve"> (8), e1002665. https://doi.org/10.1371/journal.pcbi.1002665</w:t>
      </w:r>
    </w:p>
    <w:p w14:paraId="6188BD42" w14:textId="77777777" w:rsidR="008A2546" w:rsidRPr="008A2546" w:rsidRDefault="008A2546" w:rsidP="008A2546">
      <w:pPr>
        <w:pStyle w:val="Bibliography"/>
        <w:rPr>
          <w:lang w:bidi="hi-IN"/>
        </w:rPr>
      </w:pPr>
      <w:r w:rsidRPr="008A2546">
        <w:rPr>
          <w:lang w:bidi="hi-IN"/>
        </w:rPr>
        <w:t>(62)</w:t>
      </w:r>
      <w:r w:rsidRPr="008A2546">
        <w:rPr>
          <w:lang w:bidi="hi-IN"/>
        </w:rPr>
        <w:tab/>
        <w:t xml:space="preserve">Havranek, B.; Demissie, R.; Lee, H.; Lan, S.; Zhang, H.; Sarafianos, S.; Ayitou, A. J.-L.; Islam, S. M. Discovery of Nirmatrelvir Resistance Mutations in SARS-CoV‑2 3CLpro: A Computational-Experimental Approach. </w:t>
      </w:r>
      <w:r w:rsidRPr="008A2546">
        <w:rPr>
          <w:i/>
          <w:iCs/>
          <w:lang w:bidi="hi-IN"/>
        </w:rPr>
        <w:t>J. Chem. Inf. Model.</w:t>
      </w:r>
      <w:r w:rsidRPr="008A2546">
        <w:rPr>
          <w:lang w:bidi="hi-IN"/>
        </w:rPr>
        <w:t xml:space="preserve"> </w:t>
      </w:r>
      <w:r w:rsidRPr="008A2546">
        <w:rPr>
          <w:b/>
          <w:bCs/>
          <w:lang w:bidi="hi-IN"/>
        </w:rPr>
        <w:t>2023</w:t>
      </w:r>
      <w:r w:rsidRPr="008A2546">
        <w:rPr>
          <w:lang w:bidi="hi-IN"/>
        </w:rPr>
        <w:t xml:space="preserve">, </w:t>
      </w:r>
      <w:r w:rsidRPr="008A2546">
        <w:rPr>
          <w:i/>
          <w:iCs/>
          <w:lang w:bidi="hi-IN"/>
        </w:rPr>
        <w:t>63</w:t>
      </w:r>
      <w:r w:rsidRPr="008A2546">
        <w:rPr>
          <w:lang w:bidi="hi-IN"/>
        </w:rPr>
        <w:t xml:space="preserve"> (22), 7180–7188. https://doi.org/10.1021/acs.jcim.3c01269</w:t>
      </w:r>
    </w:p>
    <w:p w14:paraId="55D17CC5" w14:textId="77777777" w:rsidR="008A2546" w:rsidRPr="008A2546" w:rsidRDefault="008A2546" w:rsidP="008A2546">
      <w:pPr>
        <w:pStyle w:val="Bibliography"/>
        <w:rPr>
          <w:lang w:bidi="hi-IN"/>
        </w:rPr>
      </w:pPr>
      <w:r w:rsidRPr="008A2546">
        <w:rPr>
          <w:lang w:bidi="hi-IN"/>
        </w:rPr>
        <w:t>(63)</w:t>
      </w:r>
      <w:r w:rsidRPr="008A2546">
        <w:rPr>
          <w:lang w:bidi="hi-IN"/>
        </w:rPr>
        <w:tab/>
        <w:t xml:space="preserve">Cai, Y.; Schiffer, C. A. Decomposing the Energetic Impact of Drug Resistant Mutations in HIV-1 Protease on Binding DRV. </w:t>
      </w:r>
      <w:r w:rsidRPr="008A2546">
        <w:rPr>
          <w:i/>
          <w:iCs/>
          <w:lang w:bidi="hi-IN"/>
        </w:rPr>
        <w:t>J. Chem. Theory Comput.</w:t>
      </w:r>
      <w:r w:rsidRPr="008A2546">
        <w:rPr>
          <w:lang w:bidi="hi-IN"/>
        </w:rPr>
        <w:t xml:space="preserve"> </w:t>
      </w:r>
      <w:r w:rsidRPr="008A2546">
        <w:rPr>
          <w:b/>
          <w:bCs/>
          <w:lang w:bidi="hi-IN"/>
        </w:rPr>
        <w:t>2010</w:t>
      </w:r>
      <w:r w:rsidRPr="008A2546">
        <w:rPr>
          <w:lang w:bidi="hi-IN"/>
        </w:rPr>
        <w:t xml:space="preserve">, </w:t>
      </w:r>
      <w:r w:rsidRPr="008A2546">
        <w:rPr>
          <w:i/>
          <w:iCs/>
          <w:lang w:bidi="hi-IN"/>
        </w:rPr>
        <w:t>6</w:t>
      </w:r>
      <w:r w:rsidRPr="008A2546">
        <w:rPr>
          <w:lang w:bidi="hi-IN"/>
        </w:rPr>
        <w:t xml:space="preserve"> (4), 1358–1368. https://doi.org/10.1021/ct9004678</w:t>
      </w:r>
    </w:p>
    <w:p w14:paraId="60AC6BB4" w14:textId="77777777" w:rsidR="008A2546" w:rsidRPr="008A2546" w:rsidRDefault="008A2546" w:rsidP="008A2546">
      <w:pPr>
        <w:pStyle w:val="Bibliography"/>
        <w:rPr>
          <w:lang w:bidi="hi-IN"/>
        </w:rPr>
      </w:pPr>
      <w:r w:rsidRPr="008A2546">
        <w:rPr>
          <w:lang w:bidi="hi-IN"/>
        </w:rPr>
        <w:t>(64)</w:t>
      </w:r>
      <w:r w:rsidRPr="008A2546">
        <w:rPr>
          <w:lang w:bidi="hi-IN"/>
        </w:rPr>
        <w:tab/>
        <w:t xml:space="preserve">Bastys, T.; Gapsys, V.; Doncheva, N. T.; Kaiser, R.; de Groot, B. L.; Kalinina, O. V. Consistent Prediction of Mutation Effect on Drug Binding in HIV‑1 Protease Using Alchemical Calculations. </w:t>
      </w:r>
      <w:r w:rsidRPr="008A2546">
        <w:rPr>
          <w:i/>
          <w:iCs/>
          <w:lang w:bidi="hi-IN"/>
        </w:rPr>
        <w:t>J. Chem. Theory Comput.</w:t>
      </w:r>
      <w:r w:rsidRPr="008A2546">
        <w:rPr>
          <w:lang w:bidi="hi-IN"/>
        </w:rPr>
        <w:t xml:space="preserve"> </w:t>
      </w:r>
      <w:r w:rsidRPr="008A2546">
        <w:rPr>
          <w:b/>
          <w:bCs/>
          <w:lang w:bidi="hi-IN"/>
        </w:rPr>
        <w:t>2018</w:t>
      </w:r>
      <w:r w:rsidRPr="008A2546">
        <w:rPr>
          <w:lang w:bidi="hi-IN"/>
        </w:rPr>
        <w:t xml:space="preserve">, </w:t>
      </w:r>
      <w:r w:rsidRPr="008A2546">
        <w:rPr>
          <w:i/>
          <w:iCs/>
          <w:lang w:bidi="hi-IN"/>
        </w:rPr>
        <w:t>14</w:t>
      </w:r>
      <w:r w:rsidRPr="008A2546">
        <w:rPr>
          <w:lang w:bidi="hi-IN"/>
        </w:rPr>
        <w:t xml:space="preserve"> (7), 3397–3408. https://doi.org/10.1021/acs.jctc.7b01109</w:t>
      </w:r>
    </w:p>
    <w:p w14:paraId="51ACC5EF" w14:textId="77777777" w:rsidR="008A2546" w:rsidRPr="008A2546" w:rsidRDefault="008A2546" w:rsidP="008A2546">
      <w:pPr>
        <w:pStyle w:val="Bibliography"/>
        <w:rPr>
          <w:lang w:bidi="hi-IN"/>
        </w:rPr>
      </w:pPr>
      <w:r w:rsidRPr="008A2546">
        <w:rPr>
          <w:lang w:bidi="hi-IN"/>
        </w:rPr>
        <w:t>(65)</w:t>
      </w:r>
      <w:r w:rsidRPr="008A2546">
        <w:rPr>
          <w:lang w:bidi="hi-IN"/>
        </w:rPr>
        <w:tab/>
        <w:t xml:space="preserve">Bastys, T.; Gapsys, V.; Walter, H.; Heger, E.; Doncheva, N. T.; Kaiser, R.; de Groot, B. L.; Kalinina, O. V. Non-Active Site Mutants of HIV-1 Protease Influence Resistance and Sensitisation towards Protease Inhibitors. </w:t>
      </w:r>
      <w:r w:rsidRPr="008A2546">
        <w:rPr>
          <w:i/>
          <w:iCs/>
          <w:lang w:bidi="hi-IN"/>
        </w:rPr>
        <w:t>Retrovirology</w:t>
      </w:r>
      <w:r w:rsidRPr="008A2546">
        <w:rPr>
          <w:lang w:bidi="hi-IN"/>
        </w:rPr>
        <w:t xml:space="preserve"> </w:t>
      </w:r>
      <w:r w:rsidRPr="008A2546">
        <w:rPr>
          <w:b/>
          <w:bCs/>
          <w:lang w:bidi="hi-IN"/>
        </w:rPr>
        <w:t>2020</w:t>
      </w:r>
      <w:r w:rsidRPr="008A2546">
        <w:rPr>
          <w:lang w:bidi="hi-IN"/>
        </w:rPr>
        <w:t xml:space="preserve">, </w:t>
      </w:r>
      <w:r w:rsidRPr="008A2546">
        <w:rPr>
          <w:i/>
          <w:iCs/>
          <w:lang w:bidi="hi-IN"/>
        </w:rPr>
        <w:t>17</w:t>
      </w:r>
      <w:r w:rsidRPr="008A2546">
        <w:rPr>
          <w:lang w:bidi="hi-IN"/>
        </w:rPr>
        <w:t xml:space="preserve"> (1), 13. https://doi.org/10.1186/s12977-020-00520-6</w:t>
      </w:r>
    </w:p>
    <w:p w14:paraId="6C325117" w14:textId="77777777" w:rsidR="008A2546" w:rsidRPr="008A2546" w:rsidRDefault="008A2546" w:rsidP="008A2546">
      <w:pPr>
        <w:pStyle w:val="Bibliography"/>
        <w:rPr>
          <w:lang w:bidi="hi-IN"/>
        </w:rPr>
      </w:pPr>
      <w:r w:rsidRPr="008A2546">
        <w:rPr>
          <w:lang w:bidi="hi-IN"/>
        </w:rPr>
        <w:t>(66)</w:t>
      </w:r>
      <w:r w:rsidRPr="008A2546">
        <w:rPr>
          <w:lang w:bidi="hi-IN"/>
        </w:rPr>
        <w:tab/>
        <w:t xml:space="preserve">Sun, Q.; Levy, R. M.; Kirby, K. A.; Wang, Z.; Sarafianos, S. G.; Deng, N. Molecular Dynamics Free Energy Simulations Reveal the Mechanism for the Antiviral Resistance of the M66I HIV-1 Capsid Mutation. </w:t>
      </w:r>
      <w:r w:rsidRPr="008A2546">
        <w:rPr>
          <w:i/>
          <w:iCs/>
          <w:lang w:bidi="hi-IN"/>
        </w:rPr>
        <w:t>Viruses</w:t>
      </w:r>
      <w:r w:rsidRPr="008A2546">
        <w:rPr>
          <w:lang w:bidi="hi-IN"/>
        </w:rPr>
        <w:t xml:space="preserve"> </w:t>
      </w:r>
      <w:r w:rsidRPr="008A2546">
        <w:rPr>
          <w:b/>
          <w:bCs/>
          <w:lang w:bidi="hi-IN"/>
        </w:rPr>
        <w:t>2021</w:t>
      </w:r>
      <w:r w:rsidRPr="008A2546">
        <w:rPr>
          <w:lang w:bidi="hi-IN"/>
        </w:rPr>
        <w:t xml:space="preserve">, </w:t>
      </w:r>
      <w:r w:rsidRPr="008A2546">
        <w:rPr>
          <w:i/>
          <w:iCs/>
          <w:lang w:bidi="hi-IN"/>
        </w:rPr>
        <w:t>13</w:t>
      </w:r>
      <w:r w:rsidRPr="008A2546">
        <w:rPr>
          <w:lang w:bidi="hi-IN"/>
        </w:rPr>
        <w:t xml:space="preserve"> (5), 920. https://doi.org/10.3390/v13050920</w:t>
      </w:r>
    </w:p>
    <w:p w14:paraId="615DD571" w14:textId="77777777" w:rsidR="008A2546" w:rsidRPr="008A2546" w:rsidRDefault="008A2546" w:rsidP="008A2546">
      <w:pPr>
        <w:pStyle w:val="Bibliography"/>
        <w:rPr>
          <w:lang w:bidi="hi-IN"/>
        </w:rPr>
      </w:pPr>
      <w:r w:rsidRPr="008A2546">
        <w:rPr>
          <w:lang w:bidi="hi-IN"/>
        </w:rPr>
        <w:t>(67)</w:t>
      </w:r>
      <w:r w:rsidRPr="008A2546">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8A2546">
        <w:rPr>
          <w:i/>
          <w:iCs/>
          <w:lang w:bidi="hi-IN"/>
        </w:rPr>
        <w:t>Science Advances</w:t>
      </w:r>
      <w:r w:rsidRPr="008A2546">
        <w:rPr>
          <w:lang w:bidi="hi-IN"/>
        </w:rPr>
        <w:t xml:space="preserve"> </w:t>
      </w:r>
      <w:r w:rsidRPr="008A2546">
        <w:rPr>
          <w:b/>
          <w:bCs/>
          <w:lang w:bidi="hi-IN"/>
        </w:rPr>
        <w:t>2023</w:t>
      </w:r>
      <w:r w:rsidRPr="008A2546">
        <w:rPr>
          <w:lang w:bidi="hi-IN"/>
        </w:rPr>
        <w:t xml:space="preserve">, </w:t>
      </w:r>
      <w:r w:rsidRPr="008A2546">
        <w:rPr>
          <w:i/>
          <w:iCs/>
          <w:lang w:bidi="hi-IN"/>
        </w:rPr>
        <w:t>9</w:t>
      </w:r>
      <w:r w:rsidRPr="008A2546">
        <w:rPr>
          <w:lang w:bidi="hi-IN"/>
        </w:rPr>
        <w:t xml:space="preserve"> (29), eadg5953. https://doi.org/10.1126/sciadv.adg5953</w:t>
      </w:r>
    </w:p>
    <w:p w14:paraId="67D23414" w14:textId="77777777" w:rsidR="008A2546" w:rsidRPr="008A2546" w:rsidRDefault="008A2546" w:rsidP="008A2546">
      <w:pPr>
        <w:pStyle w:val="Bibliography"/>
        <w:rPr>
          <w:lang w:bidi="hi-IN"/>
        </w:rPr>
      </w:pPr>
      <w:r w:rsidRPr="008A2546">
        <w:rPr>
          <w:lang w:bidi="hi-IN"/>
        </w:rPr>
        <w:t>(68)</w:t>
      </w:r>
      <w:r w:rsidRPr="008A2546">
        <w:rPr>
          <w:lang w:bidi="hi-IN"/>
        </w:rPr>
        <w:tab/>
        <w:t xml:space="preserve">Hauser, K.; Negron, C.; Albanese, S. K.; Ray, S.; Steinbrecher, T.; Abel, R.; Chodera, J. D.; Wang, L. Predicting Resistance of Clinical Abl Mutations to Targeted Kinase Inhibitors Using Alchemical Free-Energy Calculations. </w:t>
      </w:r>
      <w:r w:rsidRPr="008A2546">
        <w:rPr>
          <w:i/>
          <w:iCs/>
          <w:lang w:bidi="hi-IN"/>
        </w:rPr>
        <w:t>Commun Biol</w:t>
      </w:r>
      <w:r w:rsidRPr="008A2546">
        <w:rPr>
          <w:lang w:bidi="hi-IN"/>
        </w:rPr>
        <w:t xml:space="preserve"> </w:t>
      </w:r>
      <w:r w:rsidRPr="008A2546">
        <w:rPr>
          <w:b/>
          <w:bCs/>
          <w:lang w:bidi="hi-IN"/>
        </w:rPr>
        <w:t>2018</w:t>
      </w:r>
      <w:r w:rsidRPr="008A2546">
        <w:rPr>
          <w:lang w:bidi="hi-IN"/>
        </w:rPr>
        <w:t xml:space="preserve">, </w:t>
      </w:r>
      <w:r w:rsidRPr="008A2546">
        <w:rPr>
          <w:i/>
          <w:iCs/>
          <w:lang w:bidi="hi-IN"/>
        </w:rPr>
        <w:t>1</w:t>
      </w:r>
      <w:r w:rsidRPr="008A2546">
        <w:rPr>
          <w:lang w:bidi="hi-IN"/>
        </w:rPr>
        <w:t xml:space="preserve"> (1), 70. https://doi.org/10.1038/s42003-018-0075-x</w:t>
      </w:r>
    </w:p>
    <w:p w14:paraId="0624CFEA" w14:textId="77777777" w:rsidR="008A2546" w:rsidRPr="008A2546" w:rsidRDefault="008A2546" w:rsidP="008A2546">
      <w:pPr>
        <w:pStyle w:val="Bibliography"/>
        <w:rPr>
          <w:lang w:bidi="hi-IN"/>
        </w:rPr>
      </w:pPr>
      <w:r w:rsidRPr="008A2546">
        <w:rPr>
          <w:lang w:bidi="hi-IN"/>
        </w:rPr>
        <w:lastRenderedPageBreak/>
        <w:t>(69)</w:t>
      </w:r>
      <w:r w:rsidRPr="008A2546">
        <w:rPr>
          <w:lang w:bidi="hi-IN"/>
        </w:rPr>
        <w:tab/>
        <w:t xml:space="preserve">Nagarajan, A.; Amberg-Johnson, K.; Paull, E.; Huang, K.; Ghanakota, P.; Chandrasinghe, A.; Chief Elk, J.; Sampson, J. M.; Wang, L.; Abel, R.; Albanese, S. K. Predicting Resistance to Small Molecule Kinase Inhibitors. </w:t>
      </w:r>
      <w:r w:rsidRPr="008A2546">
        <w:rPr>
          <w:i/>
          <w:iCs/>
          <w:lang w:bidi="hi-IN"/>
        </w:rPr>
        <w:t>J. Chem. Inf. Model.</w:t>
      </w:r>
      <w:r w:rsidRPr="008A2546">
        <w:rPr>
          <w:lang w:bidi="hi-IN"/>
        </w:rPr>
        <w:t xml:space="preserve"> </w:t>
      </w:r>
      <w:r w:rsidRPr="008A2546">
        <w:rPr>
          <w:b/>
          <w:bCs/>
          <w:lang w:bidi="hi-IN"/>
        </w:rPr>
        <w:t>2025</w:t>
      </w:r>
      <w:r w:rsidRPr="008A2546">
        <w:rPr>
          <w:lang w:bidi="hi-IN"/>
        </w:rPr>
        <w:t xml:space="preserve">, </w:t>
      </w:r>
      <w:r w:rsidRPr="008A2546">
        <w:rPr>
          <w:i/>
          <w:iCs/>
          <w:lang w:bidi="hi-IN"/>
        </w:rPr>
        <w:t>65</w:t>
      </w:r>
      <w:r w:rsidRPr="008A2546">
        <w:rPr>
          <w:lang w:bidi="hi-IN"/>
        </w:rPr>
        <w:t xml:space="preserve"> (5), 2543–2557. https://doi.org/10.1021/acs.jcim.4c02313</w:t>
      </w:r>
    </w:p>
    <w:p w14:paraId="4D490605" w14:textId="77777777" w:rsidR="008A2546" w:rsidRPr="008A2546" w:rsidRDefault="008A2546" w:rsidP="008A2546">
      <w:pPr>
        <w:pStyle w:val="Bibliography"/>
        <w:rPr>
          <w:lang w:bidi="hi-IN"/>
        </w:rPr>
      </w:pPr>
      <w:r w:rsidRPr="008A2546">
        <w:rPr>
          <w:lang w:bidi="hi-IN"/>
        </w:rPr>
        <w:t>(70)</w:t>
      </w:r>
      <w:r w:rsidRPr="008A2546">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8A2546">
        <w:rPr>
          <w:i/>
          <w:iCs/>
          <w:lang w:bidi="hi-IN"/>
        </w:rPr>
        <w:t>Journal American Chemical Society</w:t>
      </w:r>
      <w:r w:rsidRPr="008A2546">
        <w:rPr>
          <w:lang w:bidi="hi-IN"/>
        </w:rPr>
        <w:t xml:space="preserve"> </w:t>
      </w:r>
      <w:r w:rsidRPr="008A2546">
        <w:rPr>
          <w:b/>
          <w:bCs/>
          <w:lang w:bidi="hi-IN"/>
        </w:rPr>
        <w:t>2015</w:t>
      </w:r>
      <w:r w:rsidRPr="008A2546">
        <w:rPr>
          <w:lang w:bidi="hi-IN"/>
        </w:rPr>
        <w:t xml:space="preserve">, </w:t>
      </w:r>
      <w:r w:rsidRPr="008A2546">
        <w:rPr>
          <w:i/>
          <w:iCs/>
          <w:lang w:bidi="hi-IN"/>
        </w:rPr>
        <w:t>137</w:t>
      </w:r>
      <w:r w:rsidRPr="008A2546">
        <w:rPr>
          <w:lang w:bidi="hi-IN"/>
        </w:rPr>
        <w:t xml:space="preserve"> (7), 2695–2703. https://doi.org/10.1021/ja512751q</w:t>
      </w:r>
    </w:p>
    <w:p w14:paraId="0578C8A2" w14:textId="77777777" w:rsidR="008A2546" w:rsidRPr="008A2546" w:rsidRDefault="008A2546" w:rsidP="008A2546">
      <w:pPr>
        <w:pStyle w:val="Bibliography"/>
        <w:rPr>
          <w:lang w:bidi="hi-IN"/>
        </w:rPr>
      </w:pPr>
      <w:r w:rsidRPr="008A2546">
        <w:rPr>
          <w:lang w:bidi="hi-IN"/>
        </w:rPr>
        <w:t>(71)</w:t>
      </w:r>
      <w:r w:rsidRPr="008A2546">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sidRPr="008A2546">
        <w:rPr>
          <w:i/>
          <w:iCs/>
          <w:lang w:bidi="hi-IN"/>
        </w:rPr>
        <w:t>J. Chem. Inf. Model.</w:t>
      </w:r>
      <w:r w:rsidRPr="008A2546">
        <w:rPr>
          <w:lang w:bidi="hi-IN"/>
        </w:rPr>
        <w:t xml:space="preserve"> </w:t>
      </w:r>
      <w:r w:rsidRPr="008A2546">
        <w:rPr>
          <w:b/>
          <w:bCs/>
          <w:lang w:bidi="hi-IN"/>
        </w:rPr>
        <w:t>2020</w:t>
      </w:r>
      <w:r w:rsidRPr="008A2546">
        <w:rPr>
          <w:lang w:bidi="hi-IN"/>
        </w:rPr>
        <w:t xml:space="preserve">, </w:t>
      </w:r>
      <w:r w:rsidRPr="008A2546">
        <w:rPr>
          <w:i/>
          <w:iCs/>
          <w:lang w:bidi="hi-IN"/>
        </w:rPr>
        <w:t>60</w:t>
      </w:r>
      <w:r w:rsidRPr="008A2546">
        <w:rPr>
          <w:lang w:bidi="hi-IN"/>
        </w:rPr>
        <w:t xml:space="preserve"> (11), 5457–5474. https://doi.org/10.1021/acs.jcim.0c00900</w:t>
      </w:r>
    </w:p>
    <w:p w14:paraId="05B5A807" w14:textId="77777777" w:rsidR="008A2546" w:rsidRPr="008A2546" w:rsidRDefault="008A2546" w:rsidP="008A2546">
      <w:pPr>
        <w:pStyle w:val="Bibliography"/>
        <w:rPr>
          <w:lang w:bidi="hi-IN"/>
        </w:rPr>
      </w:pPr>
      <w:r w:rsidRPr="008A2546">
        <w:rPr>
          <w:lang w:bidi="hi-IN"/>
        </w:rPr>
        <w:t>(72)</w:t>
      </w:r>
      <w:r w:rsidRPr="008A2546">
        <w:rPr>
          <w:lang w:bidi="hi-IN"/>
        </w:rPr>
        <w:tab/>
        <w:t xml:space="preserve">Ren, J.; Stammers, D. K. Structural Basis for Drug Resistance Mechanisms for Non-Nucleoside Inhibitors of HIV Reverse Transcriptase. </w:t>
      </w:r>
      <w:r w:rsidRPr="008A2546">
        <w:rPr>
          <w:i/>
          <w:iCs/>
          <w:lang w:bidi="hi-IN"/>
        </w:rPr>
        <w:t>Virus Research</w:t>
      </w:r>
      <w:r w:rsidRPr="008A2546">
        <w:rPr>
          <w:lang w:bidi="hi-IN"/>
        </w:rPr>
        <w:t xml:space="preserve"> </w:t>
      </w:r>
      <w:r w:rsidRPr="008A2546">
        <w:rPr>
          <w:b/>
          <w:bCs/>
          <w:lang w:bidi="hi-IN"/>
        </w:rPr>
        <w:t>2008</w:t>
      </w:r>
      <w:r w:rsidRPr="008A2546">
        <w:rPr>
          <w:lang w:bidi="hi-IN"/>
        </w:rPr>
        <w:t xml:space="preserve">, </w:t>
      </w:r>
      <w:r w:rsidRPr="008A2546">
        <w:rPr>
          <w:i/>
          <w:iCs/>
          <w:lang w:bidi="hi-IN"/>
        </w:rPr>
        <w:t>134</w:t>
      </w:r>
      <w:r w:rsidRPr="008A2546">
        <w:rPr>
          <w:lang w:bidi="hi-IN"/>
        </w:rPr>
        <w:t xml:space="preserve"> (1), 157–170. https://doi.org/10.1016/j.virusres.2007.12.018</w:t>
      </w:r>
    </w:p>
    <w:p w14:paraId="24FBB85C" w14:textId="77777777" w:rsidR="008A2546" w:rsidRPr="008A2546" w:rsidRDefault="008A2546" w:rsidP="008A2546">
      <w:pPr>
        <w:pStyle w:val="Bibliography"/>
        <w:rPr>
          <w:lang w:bidi="hi-IN"/>
        </w:rPr>
      </w:pPr>
      <w:r w:rsidRPr="008A2546">
        <w:rPr>
          <w:lang w:bidi="hi-IN"/>
        </w:rPr>
        <w:t>(73)</w:t>
      </w:r>
      <w:r w:rsidRPr="008A2546">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8A2546">
        <w:rPr>
          <w:i/>
          <w:iCs/>
          <w:lang w:bidi="hi-IN"/>
        </w:rPr>
        <w:t>Journal of Virology</w:t>
      </w:r>
      <w:r w:rsidRPr="008A2546">
        <w:rPr>
          <w:lang w:bidi="hi-IN"/>
        </w:rPr>
        <w:t xml:space="preserve"> </w:t>
      </w:r>
      <w:r w:rsidRPr="008A2546">
        <w:rPr>
          <w:b/>
          <w:bCs/>
          <w:lang w:bidi="hi-IN"/>
        </w:rPr>
        <w:t>2003</w:t>
      </w:r>
      <w:r w:rsidRPr="008A2546">
        <w:rPr>
          <w:lang w:bidi="hi-IN"/>
        </w:rPr>
        <w:t xml:space="preserve">, </w:t>
      </w:r>
      <w:r w:rsidRPr="008A2546">
        <w:rPr>
          <w:i/>
          <w:iCs/>
          <w:lang w:bidi="hi-IN"/>
        </w:rPr>
        <w:t>77</w:t>
      </w:r>
      <w:r w:rsidRPr="008A2546">
        <w:rPr>
          <w:lang w:bidi="hi-IN"/>
        </w:rPr>
        <w:t xml:space="preserve"> (2), 1512–1523. https://doi.org/10.1128/jvi.77.2.1512-1523.2003</w:t>
      </w:r>
    </w:p>
    <w:p w14:paraId="67DC7484" w14:textId="77777777" w:rsidR="008A2546" w:rsidRPr="008A2546" w:rsidRDefault="008A2546" w:rsidP="008A2546">
      <w:pPr>
        <w:pStyle w:val="Bibliography"/>
        <w:rPr>
          <w:lang w:bidi="hi-IN"/>
        </w:rPr>
      </w:pPr>
      <w:r w:rsidRPr="008A2546">
        <w:rPr>
          <w:lang w:bidi="hi-IN"/>
        </w:rPr>
        <w:t>(74)</w:t>
      </w:r>
      <w:r w:rsidRPr="008A2546">
        <w:rPr>
          <w:lang w:bidi="hi-IN"/>
        </w:rPr>
        <w:tab/>
        <w:t xml:space="preserve">Ren, J.; Nichols, C. E.; Chamberlain, P. P.; Weaver, K. L.; Short, S. A.; Stammers, D. K. Crystal Structures of HIV-1 Reverse Transcriptases Mutated at Codons 100, 106 and 108 and Mechanisms of Resistance to Non-Nucleoside Inhibitors. </w:t>
      </w:r>
      <w:r w:rsidRPr="008A2546">
        <w:rPr>
          <w:i/>
          <w:iCs/>
          <w:lang w:bidi="hi-IN"/>
        </w:rPr>
        <w:t>Journal of Molecular Biology</w:t>
      </w:r>
      <w:r w:rsidRPr="008A2546">
        <w:rPr>
          <w:lang w:bidi="hi-IN"/>
        </w:rPr>
        <w:t xml:space="preserve"> </w:t>
      </w:r>
      <w:r w:rsidRPr="008A2546">
        <w:rPr>
          <w:b/>
          <w:bCs/>
          <w:lang w:bidi="hi-IN"/>
        </w:rPr>
        <w:t>2004</w:t>
      </w:r>
      <w:r w:rsidRPr="008A2546">
        <w:rPr>
          <w:lang w:bidi="hi-IN"/>
        </w:rPr>
        <w:t xml:space="preserve">, </w:t>
      </w:r>
      <w:r w:rsidRPr="008A2546">
        <w:rPr>
          <w:i/>
          <w:iCs/>
          <w:lang w:bidi="hi-IN"/>
        </w:rPr>
        <w:t>336</w:t>
      </w:r>
      <w:r w:rsidRPr="008A2546">
        <w:rPr>
          <w:lang w:bidi="hi-IN"/>
        </w:rPr>
        <w:t xml:space="preserve"> (3), 569–578. https://doi.org/10.1016/j.jmb.2003.12.055</w:t>
      </w:r>
    </w:p>
    <w:p w14:paraId="0F6ED6A8" w14:textId="77777777" w:rsidR="008A2546" w:rsidRPr="008A2546" w:rsidRDefault="008A2546" w:rsidP="008A2546">
      <w:pPr>
        <w:pStyle w:val="Bibliography"/>
        <w:rPr>
          <w:lang w:bidi="hi-IN"/>
        </w:rPr>
      </w:pPr>
      <w:r w:rsidRPr="008A2546">
        <w:rPr>
          <w:lang w:bidi="hi-IN"/>
        </w:rPr>
        <w:t>(75)</w:t>
      </w:r>
      <w:r w:rsidRPr="008A2546">
        <w:rPr>
          <w:lang w:bidi="hi-IN"/>
        </w:rPr>
        <w:tab/>
        <w:t xml:space="preserve">Reddy, N.; Papathanasopoulos, M.; Steegen, K.; Basson, A. E. K103N, V106M and Y188L Significantly Reduce HIV-1 Subtype C Phenotypic Susceptibility to Doravirine. </w:t>
      </w:r>
      <w:r w:rsidRPr="008A2546">
        <w:rPr>
          <w:i/>
          <w:iCs/>
          <w:lang w:bidi="hi-IN"/>
        </w:rPr>
        <w:t>Viruses</w:t>
      </w:r>
      <w:r w:rsidRPr="008A2546">
        <w:rPr>
          <w:lang w:bidi="hi-IN"/>
        </w:rPr>
        <w:t xml:space="preserve"> </w:t>
      </w:r>
      <w:r w:rsidRPr="008A2546">
        <w:rPr>
          <w:b/>
          <w:bCs/>
          <w:lang w:bidi="hi-IN"/>
        </w:rPr>
        <w:t>2024</w:t>
      </w:r>
      <w:r w:rsidRPr="008A2546">
        <w:rPr>
          <w:lang w:bidi="hi-IN"/>
        </w:rPr>
        <w:t xml:space="preserve">, </w:t>
      </w:r>
      <w:r w:rsidRPr="008A2546">
        <w:rPr>
          <w:i/>
          <w:iCs/>
          <w:lang w:bidi="hi-IN"/>
        </w:rPr>
        <w:t>16</w:t>
      </w:r>
      <w:r w:rsidRPr="008A2546">
        <w:rPr>
          <w:lang w:bidi="hi-IN"/>
        </w:rPr>
        <w:t xml:space="preserve"> (9), 1493. https://doi.org/10.3390/v16091493</w:t>
      </w:r>
    </w:p>
    <w:p w14:paraId="2A2D9152" w14:textId="77777777" w:rsidR="008A2546" w:rsidRPr="008A2546" w:rsidRDefault="008A2546" w:rsidP="008A2546">
      <w:pPr>
        <w:pStyle w:val="Bibliography"/>
        <w:rPr>
          <w:lang w:bidi="hi-IN"/>
        </w:rPr>
      </w:pPr>
      <w:r w:rsidRPr="008A2546">
        <w:rPr>
          <w:lang w:bidi="hi-IN"/>
        </w:rPr>
        <w:t>(76)</w:t>
      </w:r>
      <w:r w:rsidRPr="008A2546">
        <w:rPr>
          <w:lang w:bidi="hi-IN"/>
        </w:rPr>
        <w:tab/>
        <w:t xml:space="preserve">Ghosh, M.; Jacques, P. S.; Rodgers, D. W.; Ottman, M.; Darlix, J.-L.; Le Grice, S. F. J. Alterations to the Primer Grip of P66 HIV-1 Reverse Transcriptase and Their Consequences for Template-Primer Utilization. </w:t>
      </w:r>
      <w:r w:rsidRPr="008A2546">
        <w:rPr>
          <w:i/>
          <w:iCs/>
          <w:lang w:bidi="hi-IN"/>
        </w:rPr>
        <w:t>Biochemistry</w:t>
      </w:r>
      <w:r w:rsidRPr="008A2546">
        <w:rPr>
          <w:lang w:bidi="hi-IN"/>
        </w:rPr>
        <w:t xml:space="preserve"> </w:t>
      </w:r>
      <w:r w:rsidRPr="008A2546">
        <w:rPr>
          <w:b/>
          <w:bCs/>
          <w:lang w:bidi="hi-IN"/>
        </w:rPr>
        <w:t>1996</w:t>
      </w:r>
      <w:r w:rsidRPr="008A2546">
        <w:rPr>
          <w:lang w:bidi="hi-IN"/>
        </w:rPr>
        <w:t xml:space="preserve">, </w:t>
      </w:r>
      <w:r w:rsidRPr="008A2546">
        <w:rPr>
          <w:i/>
          <w:iCs/>
          <w:lang w:bidi="hi-IN"/>
        </w:rPr>
        <w:t>35</w:t>
      </w:r>
      <w:r w:rsidRPr="008A2546">
        <w:rPr>
          <w:lang w:bidi="hi-IN"/>
        </w:rPr>
        <w:t xml:space="preserve"> (26), 8553–8562. https://doi.org/10.1021/bi952773j</w:t>
      </w:r>
    </w:p>
    <w:p w14:paraId="312CC9A9" w14:textId="77777777" w:rsidR="008A2546" w:rsidRPr="008A2546" w:rsidRDefault="008A2546" w:rsidP="008A2546">
      <w:pPr>
        <w:pStyle w:val="Bibliography"/>
        <w:rPr>
          <w:lang w:bidi="hi-IN"/>
        </w:rPr>
      </w:pPr>
      <w:r w:rsidRPr="008A2546">
        <w:rPr>
          <w:lang w:bidi="hi-IN"/>
        </w:rPr>
        <w:t>(77)</w:t>
      </w:r>
      <w:r w:rsidRPr="008A2546">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8A2546">
        <w:rPr>
          <w:i/>
          <w:iCs/>
          <w:lang w:bidi="hi-IN"/>
        </w:rPr>
        <w:lastRenderedPageBreak/>
        <w:t>Antimicrobial Agents and Chemotherapy</w:t>
      </w:r>
      <w:r w:rsidRPr="008A2546">
        <w:rPr>
          <w:lang w:bidi="hi-IN"/>
        </w:rPr>
        <w:t xml:space="preserve"> </w:t>
      </w:r>
      <w:r w:rsidRPr="008A2546">
        <w:rPr>
          <w:b/>
          <w:bCs/>
          <w:lang w:bidi="hi-IN"/>
        </w:rPr>
        <w:t>2010</w:t>
      </w:r>
      <w:r w:rsidRPr="008A2546">
        <w:rPr>
          <w:lang w:bidi="hi-IN"/>
        </w:rPr>
        <w:t xml:space="preserve">, </w:t>
      </w:r>
      <w:r w:rsidRPr="008A2546">
        <w:rPr>
          <w:i/>
          <w:iCs/>
          <w:lang w:bidi="hi-IN"/>
        </w:rPr>
        <w:t>54</w:t>
      </w:r>
      <w:r w:rsidRPr="008A2546">
        <w:rPr>
          <w:lang w:bidi="hi-IN"/>
        </w:rPr>
        <w:t xml:space="preserve"> (6), 2401–2408. https://doi.org/10.1128/aac.01795-09</w:t>
      </w:r>
    </w:p>
    <w:p w14:paraId="1E412E31" w14:textId="77777777" w:rsidR="008A2546" w:rsidRPr="008A2546" w:rsidRDefault="008A2546" w:rsidP="008A2546">
      <w:pPr>
        <w:pStyle w:val="Bibliography"/>
        <w:rPr>
          <w:lang w:bidi="hi-IN"/>
        </w:rPr>
      </w:pPr>
      <w:r w:rsidRPr="008A2546">
        <w:rPr>
          <w:lang w:bidi="hi-IN"/>
        </w:rPr>
        <w:t>(78)</w:t>
      </w:r>
      <w:r w:rsidRPr="008A2546">
        <w:rPr>
          <w:lang w:bidi="hi-IN"/>
        </w:rPr>
        <w:tab/>
        <w:t xml:space="preserve">van der Kamp, M. W.; Mulholland, A. J. Combined Quantum Mechanics/Molecular Mechanics (QM/MM) Methods in Computational Enzymology. </w:t>
      </w:r>
      <w:r w:rsidRPr="008A2546">
        <w:rPr>
          <w:i/>
          <w:iCs/>
          <w:lang w:bidi="hi-IN"/>
        </w:rPr>
        <w:t>Biochemistry</w:t>
      </w:r>
      <w:r w:rsidRPr="008A2546">
        <w:rPr>
          <w:lang w:bidi="hi-IN"/>
        </w:rPr>
        <w:t xml:space="preserve"> </w:t>
      </w:r>
      <w:r w:rsidRPr="008A2546">
        <w:rPr>
          <w:b/>
          <w:bCs/>
          <w:lang w:bidi="hi-IN"/>
        </w:rPr>
        <w:t>2013</w:t>
      </w:r>
      <w:r w:rsidRPr="008A2546">
        <w:rPr>
          <w:lang w:bidi="hi-IN"/>
        </w:rPr>
        <w:t xml:space="preserve">, </w:t>
      </w:r>
      <w:r w:rsidRPr="008A2546">
        <w:rPr>
          <w:i/>
          <w:iCs/>
          <w:lang w:bidi="hi-IN"/>
        </w:rPr>
        <w:t>52</w:t>
      </w:r>
      <w:r w:rsidRPr="008A2546">
        <w:rPr>
          <w:lang w:bidi="hi-IN"/>
        </w:rPr>
        <w:t xml:space="preserve"> (16), 2708–2728. https://doi.org/10.1021/bi400215w</w:t>
      </w:r>
    </w:p>
    <w:p w14:paraId="4595C074" w14:textId="77777777" w:rsidR="008A2546" w:rsidRPr="008A2546" w:rsidRDefault="008A2546" w:rsidP="008A2546">
      <w:pPr>
        <w:pStyle w:val="Bibliography"/>
        <w:rPr>
          <w:lang w:bidi="hi-IN"/>
        </w:rPr>
      </w:pPr>
      <w:r w:rsidRPr="008A2546">
        <w:rPr>
          <w:lang w:bidi="hi-IN"/>
        </w:rPr>
        <w:t>(79)</w:t>
      </w:r>
      <w:r w:rsidRPr="008A2546">
        <w:rPr>
          <w:lang w:bidi="hi-IN"/>
        </w:rPr>
        <w:tab/>
        <w:t xml:space="preserve">Taguchi, M.; Oyama, R.; Kaneso, M.; Hayashi, S. Hybrid QM/MM Free-Energy Evaluation of Drug-Resistant Mutational Effect on the Binding of an Inhibitor Indinavir to HIV‑1 Protease. </w:t>
      </w:r>
      <w:r w:rsidRPr="008A2546">
        <w:rPr>
          <w:i/>
          <w:iCs/>
          <w:lang w:bidi="hi-IN"/>
        </w:rPr>
        <w:t>J. Chem. Inf. Model.</w:t>
      </w:r>
      <w:r w:rsidRPr="008A2546">
        <w:rPr>
          <w:lang w:bidi="hi-IN"/>
        </w:rPr>
        <w:t xml:space="preserve"> </w:t>
      </w:r>
      <w:r w:rsidRPr="008A2546">
        <w:rPr>
          <w:b/>
          <w:bCs/>
          <w:lang w:bidi="hi-IN"/>
        </w:rPr>
        <w:t>2022</w:t>
      </w:r>
      <w:r w:rsidRPr="008A2546">
        <w:rPr>
          <w:lang w:bidi="hi-IN"/>
        </w:rPr>
        <w:t xml:space="preserve">, </w:t>
      </w:r>
      <w:r w:rsidRPr="008A2546">
        <w:rPr>
          <w:i/>
          <w:iCs/>
          <w:lang w:bidi="hi-IN"/>
        </w:rPr>
        <w:t>62</w:t>
      </w:r>
      <w:r w:rsidRPr="008A2546">
        <w:rPr>
          <w:lang w:bidi="hi-IN"/>
        </w:rPr>
        <w:t xml:space="preserve"> (5), 1328–1344. https://doi.org/10.1021/acs.jcim.1c01193</w:t>
      </w:r>
    </w:p>
    <w:p w14:paraId="1D04F3E4" w14:textId="77777777" w:rsidR="008A2546" w:rsidRPr="008A2546" w:rsidRDefault="008A2546" w:rsidP="008A2546">
      <w:pPr>
        <w:pStyle w:val="Bibliography"/>
        <w:rPr>
          <w:lang w:bidi="hi-IN"/>
        </w:rPr>
      </w:pPr>
      <w:r w:rsidRPr="008A2546">
        <w:rPr>
          <w:lang w:bidi="hi-IN"/>
        </w:rPr>
        <w:t>(80)</w:t>
      </w:r>
      <w:r w:rsidRPr="008A2546">
        <w:rPr>
          <w:lang w:bidi="hi-IN"/>
        </w:rPr>
        <w:tab/>
        <w:t xml:space="preserve">Plattner, N.; Noé, F. Protein Conformational Plasticity and Complex Ligand-Binding Kinetics Explored by Atomistic Simulations and Markov Models. </w:t>
      </w:r>
      <w:r w:rsidRPr="008A2546">
        <w:rPr>
          <w:i/>
          <w:iCs/>
          <w:lang w:bidi="hi-IN"/>
        </w:rPr>
        <w:t>Nat Commun</w:t>
      </w:r>
      <w:r w:rsidRPr="008A2546">
        <w:rPr>
          <w:lang w:bidi="hi-IN"/>
        </w:rPr>
        <w:t xml:space="preserve"> </w:t>
      </w:r>
      <w:r w:rsidRPr="008A2546">
        <w:rPr>
          <w:b/>
          <w:bCs/>
          <w:lang w:bidi="hi-IN"/>
        </w:rPr>
        <w:t>2015</w:t>
      </w:r>
      <w:r w:rsidRPr="008A2546">
        <w:rPr>
          <w:lang w:bidi="hi-IN"/>
        </w:rPr>
        <w:t xml:space="preserve">, </w:t>
      </w:r>
      <w:r w:rsidRPr="008A2546">
        <w:rPr>
          <w:i/>
          <w:iCs/>
          <w:lang w:bidi="hi-IN"/>
        </w:rPr>
        <w:t>6</w:t>
      </w:r>
      <w:r w:rsidRPr="008A2546">
        <w:rPr>
          <w:lang w:bidi="hi-IN"/>
        </w:rPr>
        <w:t xml:space="preserve"> (1), 7653. https://doi.org/10.1038/ncomms8653</w:t>
      </w:r>
    </w:p>
    <w:p w14:paraId="620D2BD2" w14:textId="77777777" w:rsidR="008A2546" w:rsidRPr="008A2546" w:rsidRDefault="008A2546" w:rsidP="008A2546">
      <w:pPr>
        <w:pStyle w:val="Bibliography"/>
        <w:rPr>
          <w:lang w:bidi="hi-IN"/>
        </w:rPr>
      </w:pPr>
      <w:r w:rsidRPr="008A2546">
        <w:rPr>
          <w:lang w:bidi="hi-IN"/>
        </w:rPr>
        <w:t>(81)</w:t>
      </w:r>
      <w:r w:rsidRPr="008A2546">
        <w:rPr>
          <w:lang w:bidi="hi-IN"/>
        </w:rPr>
        <w:tab/>
        <w:t xml:space="preserve">Tiwary, P.; Limongelli, V.; Salvalaglio, M.; Parrinello, M. Kinetics of Protein–Ligand Unbinding: Predicting Pathways, Rates, and Rate-Limiting Steps. </w:t>
      </w:r>
      <w:r w:rsidRPr="008A2546">
        <w:rPr>
          <w:i/>
          <w:iCs/>
          <w:lang w:bidi="hi-IN"/>
        </w:rPr>
        <w:t>Proceedings of the National Academy of Sciences</w:t>
      </w:r>
      <w:r w:rsidRPr="008A2546">
        <w:rPr>
          <w:lang w:bidi="hi-IN"/>
        </w:rPr>
        <w:t xml:space="preserve"> </w:t>
      </w:r>
      <w:r w:rsidRPr="008A2546">
        <w:rPr>
          <w:b/>
          <w:bCs/>
          <w:lang w:bidi="hi-IN"/>
        </w:rPr>
        <w:t>2015</w:t>
      </w:r>
      <w:r w:rsidRPr="008A2546">
        <w:rPr>
          <w:lang w:bidi="hi-IN"/>
        </w:rPr>
        <w:t xml:space="preserve">, </w:t>
      </w:r>
      <w:r w:rsidRPr="008A2546">
        <w:rPr>
          <w:i/>
          <w:iCs/>
          <w:lang w:bidi="hi-IN"/>
        </w:rPr>
        <w:t>112</w:t>
      </w:r>
      <w:r w:rsidRPr="008A2546">
        <w:rPr>
          <w:lang w:bidi="hi-IN"/>
        </w:rPr>
        <w:t xml:space="preserve"> (5), E386–E391. https://doi.org/10.1073/pnas.1424461112</w:t>
      </w:r>
    </w:p>
    <w:p w14:paraId="2E5707C2" w14:textId="77777777" w:rsidR="008A2546" w:rsidRPr="008A2546" w:rsidRDefault="008A2546" w:rsidP="008A2546">
      <w:pPr>
        <w:pStyle w:val="Bibliography"/>
        <w:rPr>
          <w:lang w:bidi="hi-IN"/>
        </w:rPr>
      </w:pPr>
      <w:r w:rsidRPr="008A2546">
        <w:rPr>
          <w:lang w:bidi="hi-IN"/>
        </w:rPr>
        <w:t>(82)</w:t>
      </w:r>
      <w:r w:rsidRPr="008A2546">
        <w:rPr>
          <w:lang w:bidi="hi-IN"/>
        </w:rPr>
        <w:tab/>
        <w:t xml:space="preserve">Jagger, B. R.; Ojha, A. A.; Amaro, R. E. Predicting Ligand Binding Kinetics Using a Markovian Milestoning with Voronoi Tessellations Multiscale Approach. </w:t>
      </w:r>
      <w:r w:rsidRPr="008A2546">
        <w:rPr>
          <w:i/>
          <w:iCs/>
          <w:lang w:bidi="hi-IN"/>
        </w:rPr>
        <w:t>J. Chem. Theory Comput.</w:t>
      </w:r>
      <w:r w:rsidRPr="008A2546">
        <w:rPr>
          <w:lang w:bidi="hi-IN"/>
        </w:rPr>
        <w:t xml:space="preserve"> </w:t>
      </w:r>
      <w:r w:rsidRPr="008A2546">
        <w:rPr>
          <w:b/>
          <w:bCs/>
          <w:lang w:bidi="hi-IN"/>
        </w:rPr>
        <w:t>2020</w:t>
      </w:r>
      <w:r w:rsidRPr="008A2546">
        <w:rPr>
          <w:lang w:bidi="hi-IN"/>
        </w:rPr>
        <w:t xml:space="preserve">, </w:t>
      </w:r>
      <w:r w:rsidRPr="008A2546">
        <w:rPr>
          <w:i/>
          <w:iCs/>
          <w:lang w:bidi="hi-IN"/>
        </w:rPr>
        <w:t>16</w:t>
      </w:r>
      <w:r w:rsidRPr="008A2546">
        <w:rPr>
          <w:lang w:bidi="hi-IN"/>
        </w:rPr>
        <w:t xml:space="preserve"> (8), 5348–5357. https://doi.org/10.1021/acs.jctc.0c00495</w:t>
      </w:r>
    </w:p>
    <w:p w14:paraId="5BD1699A" w14:textId="77777777" w:rsidR="008A2546" w:rsidRPr="008A2546" w:rsidRDefault="008A2546" w:rsidP="008A2546">
      <w:pPr>
        <w:pStyle w:val="Bibliography"/>
        <w:rPr>
          <w:lang w:bidi="hi-IN"/>
        </w:rPr>
      </w:pPr>
      <w:r w:rsidRPr="008A2546">
        <w:rPr>
          <w:lang w:bidi="hi-IN"/>
        </w:rPr>
        <w:t>(83)</w:t>
      </w:r>
      <w:r w:rsidRPr="008A2546">
        <w:rPr>
          <w:lang w:bidi="hi-IN"/>
        </w:rPr>
        <w:tab/>
        <w:t>Corso, G.; Stärk, H.; Jing, B.; Barzilay, R.; Jaakkola, T. DiffDock: Diffusion Steps, Twists, and Turns for Molecular Docking. arXiv February 11, 2023. https://doi.org/10.48550/arXiv.2210.01776</w:t>
      </w:r>
    </w:p>
    <w:p w14:paraId="0BCD27C5" w14:textId="77777777" w:rsidR="008A2546" w:rsidRPr="008A2546" w:rsidRDefault="008A2546" w:rsidP="008A2546">
      <w:pPr>
        <w:pStyle w:val="Bibliography"/>
        <w:rPr>
          <w:lang w:bidi="hi-IN"/>
        </w:rPr>
      </w:pPr>
      <w:r w:rsidRPr="008A2546">
        <w:rPr>
          <w:lang w:bidi="hi-IN"/>
        </w:rPr>
        <w:t>(84)</w:t>
      </w:r>
      <w:r w:rsidRPr="008A2546">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587B567B" w14:textId="77777777" w:rsidR="008A2546" w:rsidRPr="008A2546" w:rsidRDefault="008A2546" w:rsidP="008A2546">
      <w:pPr>
        <w:pStyle w:val="Bibliography"/>
        <w:rPr>
          <w:lang w:bidi="hi-IN"/>
        </w:rPr>
      </w:pPr>
      <w:r w:rsidRPr="008A2546">
        <w:rPr>
          <w:lang w:bidi="hi-IN"/>
        </w:rPr>
        <w:t>(85)</w:t>
      </w:r>
      <w:r w:rsidRPr="008A2546">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560D7124" w14:textId="0EB18314" w:rsidR="00574C6E" w:rsidRPr="00E536AD" w:rsidRDefault="00574C6E" w:rsidP="008A2546">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B0BAEB" w14:textId="77777777" w:rsidR="00362D9C" w:rsidRDefault="00362D9C">
      <w:pPr>
        <w:spacing w:after="0"/>
      </w:pPr>
      <w:r>
        <w:separator/>
      </w:r>
    </w:p>
  </w:endnote>
  <w:endnote w:type="continuationSeparator" w:id="0">
    <w:p w14:paraId="38A39A99" w14:textId="77777777" w:rsidR="00362D9C" w:rsidRDefault="00362D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5E4C6C" w14:textId="77777777" w:rsidR="00000000"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6DA6BA6D" w14:textId="77777777" w:rsidR="00000000" w:rsidRDefault="00000000">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1C12B5" w14:textId="77777777" w:rsidR="00000000"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A0676A1" w14:textId="77777777" w:rsidR="00000000" w:rsidRDefault="00000000">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DFF7F0" w14:textId="77777777" w:rsidR="00362D9C" w:rsidRDefault="00362D9C">
      <w:pPr>
        <w:spacing w:after="0"/>
      </w:pPr>
      <w:r>
        <w:separator/>
      </w:r>
    </w:p>
  </w:footnote>
  <w:footnote w:type="continuationSeparator" w:id="0">
    <w:p w14:paraId="23A150A6" w14:textId="77777777" w:rsidR="00362D9C" w:rsidRDefault="00362D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70A2"/>
    <w:rsid w:val="0048662B"/>
    <w:rsid w:val="004917E3"/>
    <w:rsid w:val="00492042"/>
    <w:rsid w:val="004947E0"/>
    <w:rsid w:val="004A1DC1"/>
    <w:rsid w:val="004A7E09"/>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1E828"/>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39</Pages>
  <Words>57584</Words>
  <Characters>328235</Characters>
  <Application>Microsoft Office Word</Application>
  <DocSecurity>0</DocSecurity>
  <Lines>2735</Lines>
  <Paragraphs>770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309</cp:revision>
  <dcterms:created xsi:type="dcterms:W3CDTF">2026-08-29T02:32:00Z</dcterms:created>
  <dcterms:modified xsi:type="dcterms:W3CDTF">2026-09-03T20:39:00Z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