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b/>
          <w:bCs/>
          <w:color w:val="FF0000"/>
        </w:rPr>
        <w:t xml:space="preserve">[PENDING — apo-vs-holo ensemble comparison (pocket volume, RMSF, 225–230 and 100–110 loop conformations) and the independent-starting-pose test. Insert results and state which simulations were added, if any.]</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b/>
          <w:bCs/>
          <w:color w:val="FF0000"/>
        </w:rPr>
        <w:t xml:space="preserve">[PENDING — new mutation-map figure, WT-referenced heatmap, and RMSF / secondary-structure / pocket-distribution analyses. Insert figure numbers and findings.]</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b/>
          <w:bCs/>
          <w:color w:val="FF0000"/>
        </w:rPr>
        <w:t xml:space="preserve">[PENDING — bootstrap confidence intervals and the DOR torsion analysis. Insert effect sizes with CIs and the torsion distributions.]</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