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DCDB22" w14:textId="77777777" w:rsidR="002F2B1F" w:rsidRPr="000F7070" w:rsidRDefault="00000000">
      <w:pPr>
        <w:pStyle w:val="Heading1"/>
        <w:spacing w:after="200"/>
        <w:rPr>
          <w:color w:val="000000" w:themeColor="text1"/>
        </w:rPr>
      </w:pPr>
      <w:r w:rsidRPr="000F7070">
        <w:rPr>
          <w:b/>
          <w:bCs/>
          <w:color w:val="000000" w:themeColor="text1"/>
        </w:rPr>
        <w:t>Response to Reviewers</w:t>
      </w:r>
    </w:p>
    <w:p w14:paraId="38CF87EF" w14:textId="77777777" w:rsidR="002F2B1F" w:rsidRDefault="00000000">
      <w:pPr>
        <w:spacing w:after="120"/>
      </w:pPr>
      <w:r>
        <w:rPr>
          <w:b/>
          <w:bCs/>
        </w:rPr>
        <w:t>Manuscript ci-2026-030865 — “Molecular Simulation of Doravirine Resistance in HIV-1 Reverse Transcriptase”</w:t>
      </w:r>
    </w:p>
    <w:p w14:paraId="0C9EBAD6" w14:textId="77777777" w:rsidR="002F2B1F" w:rsidRDefault="00000000">
      <w:pPr>
        <w:spacing w:after="260"/>
      </w:pPr>
      <w:r>
        <w:t>Rohit Satija, Kaiming Tao, Robert W. Shafer</w:t>
      </w:r>
    </w:p>
    <w:p w14:paraId="40726382" w14:textId="593BCA7F" w:rsidR="002F2B1F" w:rsidRDefault="00000000">
      <w:pPr>
        <w:spacing w:after="160"/>
      </w:pPr>
      <w:r>
        <w:rPr>
          <w:b/>
          <w:bCs/>
          <w:color w:val="FF0000"/>
        </w:rPr>
        <w:t xml:space="preserve">Response: </w:t>
      </w:r>
      <w:r>
        <w:rPr>
          <w:color w:val="FF0000"/>
        </w:rPr>
        <w:t>We thank the editor and the three reviewers for a careful and constructive set of reports. Reviewer comments are reproduced below in black</w:t>
      </w:r>
      <w:r w:rsidR="000F7070">
        <w:rPr>
          <w:color w:val="FF0000"/>
        </w:rPr>
        <w:t xml:space="preserve"> and</w:t>
      </w:r>
      <w:r>
        <w:rPr>
          <w:color w:val="FF0000"/>
        </w:rPr>
        <w:t xml:space="preserve"> our responses are in red. All changes to the manuscript are marked in red in </w:t>
      </w:r>
      <w:r w:rsidR="003139B1">
        <w:rPr>
          <w:color w:val="FF0000"/>
        </w:rPr>
        <w:t>an</w:t>
      </w:r>
      <w:r>
        <w:rPr>
          <w:color w:val="FF0000"/>
        </w:rPr>
        <w:t xml:space="preserve"> </w:t>
      </w:r>
      <w:r w:rsidR="003139B1">
        <w:rPr>
          <w:color w:val="FF0000"/>
        </w:rPr>
        <w:t xml:space="preserve">accompanying </w:t>
      </w:r>
      <w:r>
        <w:rPr>
          <w:color w:val="FF0000"/>
        </w:rPr>
        <w:t>revised file.</w:t>
      </w:r>
    </w:p>
    <w:p w14:paraId="7F603BCD" w14:textId="77777777" w:rsidR="002F2B1F" w:rsidRPr="000F7070" w:rsidRDefault="00000000">
      <w:pPr>
        <w:pStyle w:val="Heading2"/>
        <w:spacing w:before="320" w:after="160"/>
        <w:rPr>
          <w:color w:val="000000" w:themeColor="text1"/>
        </w:rPr>
      </w:pPr>
      <w:r w:rsidRPr="000F7070">
        <w:rPr>
          <w:b/>
          <w:bCs/>
          <w:color w:val="000000" w:themeColor="text1"/>
        </w:rPr>
        <w:t>Reviewer 1</w:t>
      </w:r>
    </w:p>
    <w:p w14:paraId="0C981107" w14:textId="77777777" w:rsidR="002F2B1F" w:rsidRDefault="00000000">
      <w:pPr>
        <w:spacing w:after="140"/>
        <w:ind w:left="420"/>
      </w:pPr>
      <w:r>
        <w:rPr>
          <w:i/>
          <w:iCs/>
        </w:rPr>
        <w:t>Comments:</w:t>
      </w:r>
    </w:p>
    <w:p w14:paraId="40D1E3CE" w14:textId="77777777" w:rsidR="002F2B1F" w:rsidRDefault="00000000">
      <w:pPr>
        <w:spacing w:after="140"/>
        <w:ind w:left="420"/>
      </w:pPr>
      <w:r>
        <w:rPr>
          <w:i/>
          <w:iCs/>
        </w:rPr>
        <w:t>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14:paraId="2A8A7640" w14:textId="20607D0F" w:rsidR="002F2B1F" w:rsidRDefault="00000000" w:rsidP="000F7070">
      <w:pPr>
        <w:spacing w:after="140"/>
        <w:ind w:left="420"/>
      </w:pPr>
      <w:r>
        <w:rPr>
          <w:i/>
          <w:iCs/>
        </w:rPr>
        <w:t>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r w:rsidR="000F7070">
        <w:t xml:space="preserve"> </w:t>
      </w:r>
      <w:r>
        <w:rPr>
          <w:i/>
          <w:iCs/>
        </w:rPr>
        <w:t>simulated here, that assumption is precisely what the manuscript's own inconsistent results (Section 3, below) call into question.</w:t>
      </w:r>
    </w:p>
    <w:p w14:paraId="1CE73BC3" w14:textId="21AAB994" w:rsidR="002F2B1F" w:rsidRDefault="00000000">
      <w:pPr>
        <w:spacing w:after="160"/>
      </w:pPr>
      <w:r>
        <w:rPr>
          <w:b/>
          <w:bCs/>
          <w:color w:val="FF0000"/>
        </w:rPr>
        <w:t xml:space="preserve">Response: </w:t>
      </w:r>
      <w:r>
        <w:rPr>
          <w:color w:val="FF0000"/>
        </w:rPr>
        <w:t xml:space="preserve">We appreciate this framing, </w:t>
      </w:r>
      <w:r w:rsidR="000F7070">
        <w:rPr>
          <w:color w:val="FF0000"/>
        </w:rPr>
        <w:t>pointing to a central limitation of our work</w:t>
      </w:r>
      <w:r>
        <w:rPr>
          <w:color w:val="FF0000"/>
        </w:rPr>
        <w:t>.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14:paraId="6DEC5864" w14:textId="77777777" w:rsidR="002F2B1F" w:rsidRDefault="00000000">
      <w:pPr>
        <w:pStyle w:val="Heading2"/>
        <w:spacing w:before="320" w:after="160"/>
      </w:pPr>
      <w:r>
        <w:rPr>
          <w:b/>
          <w:bCs/>
        </w:rPr>
        <w:t>Reviewer 1, comment 1 — weak correlation with phenotype</w:t>
      </w:r>
    </w:p>
    <w:p w14:paraId="1F07E925" w14:textId="77777777" w:rsidR="002F2B1F" w:rsidRDefault="00000000">
      <w:pPr>
        <w:spacing w:after="140"/>
        <w:ind w:left="420"/>
      </w:pPr>
      <w:r>
        <w:rPr>
          <w:i/>
          <w:iCs/>
        </w:rPr>
        <w:t>Major comments:</w:t>
      </w:r>
    </w:p>
    <w:p w14:paraId="0D87EAD0" w14:textId="77777777" w:rsidR="002F2B1F" w:rsidRDefault="00000000">
      <w:pPr>
        <w:spacing w:after="140"/>
        <w:ind w:left="420"/>
      </w:pPr>
      <w:r>
        <w:rPr>
          <w:i/>
          <w:iCs/>
        </w:rPr>
        <w:t>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14:paraId="3247F425" w14:textId="77777777" w:rsidR="002F2B1F" w:rsidRDefault="00000000">
      <w:pPr>
        <w:spacing w:after="140"/>
        <w:ind w:left="420"/>
      </w:pPr>
      <w:r>
        <w:rPr>
          <w:i/>
          <w:iCs/>
        </w:rPr>
        <w:t>of the free-energy calculation, but also resistance mechanisms involving mutation-induced changes in RT conformation and NNIBP formation.</w:t>
      </w:r>
    </w:p>
    <w:p w14:paraId="0D6E0D54" w14:textId="77777777" w:rsidR="002F2B1F" w:rsidRDefault="00000000">
      <w:pPr>
        <w:spacing w:after="160"/>
      </w:pPr>
      <w:r>
        <w:rPr>
          <w:b/>
          <w:bCs/>
          <w:color w:val="FF0000"/>
        </w:rPr>
        <w:t xml:space="preserve">Response: </w:t>
      </w:r>
      <w:r>
        <w:rPr>
          <w:color w:val="FF0000"/>
        </w:rPr>
        <w:t>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14:paraId="520219D8" w14:textId="77777777" w:rsidR="002F2B1F" w:rsidRDefault="00000000">
      <w:pPr>
        <w:spacing w:after="160"/>
      </w:pPr>
      <w:r>
        <w:rPr>
          <w:color w:val="FF0000"/>
        </w:rPr>
        <w:t>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14:paraId="35A65480" w14:textId="77777777" w:rsidR="002F2B1F" w:rsidRDefault="00000000">
      <w:pPr>
        <w:pStyle w:val="Heading2"/>
        <w:spacing w:before="320" w:after="160"/>
      </w:pPr>
      <w:r>
        <w:rPr>
          <w:b/>
          <w:bCs/>
        </w:rPr>
        <w:t>Reviewer 1, comment 2 — convergence within a basin</w:t>
      </w:r>
    </w:p>
    <w:p w14:paraId="490494F5" w14:textId="77777777" w:rsidR="002F2B1F" w:rsidRDefault="00000000">
      <w:pPr>
        <w:spacing w:after="140"/>
        <w:ind w:left="420"/>
      </w:pPr>
      <w:r>
        <w:rPr>
          <w:i/>
          <w:iCs/>
        </w:rPr>
        <w:lastRenderedPageBreak/>
        <w:t>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14:paraId="4FD34867" w14:textId="77777777" w:rsidR="002F2B1F" w:rsidRDefault="00000000">
      <w:pPr>
        <w:spacing w:after="140"/>
        <w:ind w:left="420"/>
      </w:pPr>
      <w:r>
        <w:rPr>
          <w:i/>
          <w:iCs/>
        </w:rPr>
        <w:t>First, test representative systems from independent starting poses to determine whether the same DOR-bound state is recovered.</w:t>
      </w:r>
    </w:p>
    <w:p w14:paraId="778D899B" w14:textId="77777777" w:rsidR="002F2B1F" w:rsidRDefault="00000000">
      <w:pPr>
        <w:spacing w:after="140"/>
        <w:ind w:left="420"/>
      </w:pPr>
      <w:r>
        <w:rPr>
          <w:i/>
          <w:iCs/>
        </w:rPr>
        <w:t>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14:paraId="0BE4F89F" w14:textId="77777777" w:rsidR="002F2B1F" w:rsidRDefault="00000000">
      <w:pPr>
        <w:spacing w:after="160"/>
      </w:pPr>
      <w:r>
        <w:rPr>
          <w:b/>
          <w:bCs/>
          <w:color w:val="FF0000"/>
        </w:rPr>
        <w:t xml:space="preserve">Response: </w:t>
      </w:r>
      <w:r>
        <w:rPr>
          <w:color w:val="FF0000"/>
        </w:rPr>
        <w:t>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14:paraId="6A22A23B" w14:textId="77777777" w:rsidR="002F2B1F" w:rsidRDefault="00000000">
      <w:pPr>
        <w:spacing w:after="160"/>
      </w:pPr>
      <w:r>
        <w:rPr>
          <w:color w:val="FF0000"/>
        </w:rPr>
        <w:t>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14:paraId="4DB6B3A9" w14:textId="77777777" w:rsidR="002F2B1F" w:rsidRDefault="00000000">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w:t>
      </w:r>
      <w:proofErr w:type="spellStart"/>
      <w:r>
        <w:rPr>
          <w:color w:val="FF0000"/>
        </w:rPr>
        <w:t>ddG_bind</w:t>
      </w:r>
      <w:proofErr w:type="spellEnd"/>
      <w:r>
        <w:rPr>
          <w:color w:val="FF0000"/>
        </w:rPr>
        <w:t xml:space="preserve">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14:paraId="75172864" w14:textId="77777777" w:rsidR="002F2B1F" w:rsidRDefault="00000000">
      <w:pPr>
        <w:pStyle w:val="Heading2"/>
        <w:spacing w:before="320" w:after="160"/>
      </w:pPr>
      <w:r>
        <w:rPr>
          <w:b/>
          <w:bCs/>
        </w:rPr>
        <w:t>Reviewer 1, comment 3 — the mismatches suggest different mechanisms</w:t>
      </w:r>
    </w:p>
    <w:p w14:paraId="147587E8" w14:textId="77777777" w:rsidR="002F2B1F" w:rsidRDefault="00000000">
      <w:pPr>
        <w:spacing w:after="140"/>
        <w:ind w:left="420"/>
      </w:pPr>
      <w:r>
        <w:rPr>
          <w:i/>
          <w:iCs/>
        </w:rPr>
        <w:lastRenderedPageBreak/>
        <w:t>3. The mismatches suggest different resistance mechanisms. The mismatches between calculated ΔΔGbind and the experimental phenotype are not simply random errors and should be discussed mechanistically. For example:</w:t>
      </w:r>
    </w:p>
    <w:p w14:paraId="7BEB8141" w14:textId="77777777" w:rsidR="002F2B1F" w:rsidRDefault="00000000">
      <w:pPr>
        <w:spacing w:after="140"/>
        <w:ind w:left="420"/>
      </w:pPr>
      <w:r>
        <w:rPr>
          <w:i/>
          <w:iCs/>
        </w:rPr>
        <w:t>K103N+M230L shows only a small calculated binding penalty despite 36-fold resistance.</w:t>
      </w:r>
    </w:p>
    <w:p w14:paraId="14CAA0BD" w14:textId="77777777" w:rsidR="002F2B1F" w:rsidRDefault="00000000">
      <w:pPr>
        <w:spacing w:after="140"/>
        <w:ind w:left="420"/>
      </w:pPr>
      <w:r>
        <w:rPr>
          <w:i/>
          <w:iCs/>
        </w:rPr>
        <w:t>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14:paraId="3C852B62" w14:textId="77777777" w:rsidR="002F2B1F" w:rsidRDefault="00000000">
      <w:pPr>
        <w:spacing w:after="160"/>
      </w:pPr>
      <w:r>
        <w:rPr>
          <w:b/>
          <w:bCs/>
          <w:color w:val="FF0000"/>
        </w:rPr>
        <w:t xml:space="preserve">Response: </w:t>
      </w:r>
      <w:r>
        <w:rPr>
          <w:color w:val="FF0000"/>
        </w:rPr>
        <w:t>We agree that these are not random errors, and the revised Discussion treats them as mechanistically informative. For G190E and A98G+F227C, the interface distortion is real in the holo state (</w:t>
      </w:r>
      <w:proofErr w:type="spellStart"/>
      <w:r>
        <w:rPr>
          <w:color w:val="FF0000"/>
        </w:rPr>
        <w:t>ΔΔETotal</w:t>
      </w:r>
      <w:proofErr w:type="spellEnd"/>
      <w:r>
        <w:rPr>
          <w:color w:val="FF0000"/>
        </w:rPr>
        <w:t xml:space="preserve">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14:paraId="5BDE1555" w14:textId="77777777" w:rsidR="002F2B1F" w:rsidRDefault="00000000">
      <w:pPr>
        <w:spacing w:after="160"/>
      </w:pPr>
      <w:r>
        <w:rPr>
          <w:color w:val="FF0000"/>
        </w:rPr>
        <w:t>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14:paraId="71E549B3" w14:textId="77777777" w:rsidR="002F2B1F" w:rsidRDefault="00000000">
      <w:pPr>
        <w:pStyle w:val="Heading2"/>
        <w:spacing w:before="320" w:after="160"/>
      </w:pPr>
      <w:r>
        <w:rPr>
          <w:b/>
          <w:bCs/>
        </w:rPr>
        <w:t>Reviewer 1, comment 4 — clearer summary of the structural analysis</w:t>
      </w:r>
    </w:p>
    <w:p w14:paraId="0449407B" w14:textId="77777777" w:rsidR="002F2B1F" w:rsidRDefault="00000000">
      <w:pPr>
        <w:spacing w:after="140"/>
        <w:ind w:left="420"/>
      </w:pPr>
      <w:r>
        <w:rPr>
          <w:i/>
          <w:iCs/>
        </w:rPr>
        <w:t>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14:paraId="093B6A1B" w14:textId="77777777" w:rsidR="002F2B1F" w:rsidRDefault="00000000">
      <w:pPr>
        <w:spacing w:after="140"/>
        <w:ind w:left="420"/>
      </w:pPr>
      <w:r>
        <w:rPr>
          <w:i/>
          <w:iCs/>
        </w:rPr>
        <w:t>heatmap summarizing the structural metrics in Table 3 would also help identify patterns in DOR contacts, pocket size, and mutation-induced remodeling across genotypes.</w:t>
      </w:r>
    </w:p>
    <w:p w14:paraId="476242DC" w14:textId="77777777" w:rsidR="002F2B1F" w:rsidRDefault="00000000">
      <w:pPr>
        <w:spacing w:after="140"/>
        <w:ind w:left="420"/>
      </w:pPr>
      <w:r>
        <w:rPr>
          <w:i/>
          <w:iCs/>
        </w:rPr>
        <w:t>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14:paraId="1FABBC7A" w14:textId="77777777" w:rsidR="002F2B1F" w:rsidRDefault="00000000">
      <w:pPr>
        <w:spacing w:after="160"/>
      </w:pPr>
      <w:r>
        <w:rPr>
          <w:b/>
          <w:bCs/>
          <w:color w:val="FF0000"/>
        </w:rPr>
        <w:t xml:space="preserve">Response: </w:t>
      </w:r>
      <w:r>
        <w:rPr>
          <w:color w:val="FF0000"/>
        </w:rPr>
        <w:t>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14:paraId="1A6A63E6" w14:textId="77777777" w:rsidR="002F2B1F" w:rsidRDefault="00000000">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w:t>
      </w:r>
      <w:proofErr w:type="spellStart"/>
      <w:r>
        <w:rPr>
          <w:color w:val="FF0000"/>
        </w:rPr>
        <w:t>ddG_bind</w:t>
      </w:r>
      <w:proofErr w:type="spellEnd"/>
      <w:r>
        <w:rPr>
          <w:color w:val="FF0000"/>
        </w:rPr>
        <w:t xml:space="preserve">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w:t>
      </w:r>
      <w:r>
        <w:rPr>
          <w:color w:val="FF0000"/>
        </w:rPr>
        <w:lastRenderedPageBreak/>
        <w:t>differences in Table 3 are local to the DOR interface rather than consequences of broader conformational change, which is precisely the distinction the reviewer asked us to be able to draw.</w:t>
      </w:r>
    </w:p>
    <w:p w14:paraId="7E871E48" w14:textId="77777777" w:rsidR="002F2B1F" w:rsidRDefault="00000000">
      <w:pPr>
        <w:pStyle w:val="Heading2"/>
        <w:spacing w:before="320" w:after="160"/>
      </w:pPr>
      <w:r>
        <w:rPr>
          <w:b/>
          <w:bCs/>
        </w:rPr>
        <w:t>Reviewer 2</w:t>
      </w:r>
    </w:p>
    <w:p w14:paraId="20A1A50C" w14:textId="77777777" w:rsidR="002F2B1F" w:rsidRDefault="00000000">
      <w:pPr>
        <w:spacing w:after="140"/>
        <w:ind w:left="420"/>
      </w:pPr>
      <w:r>
        <w:rPr>
          <w:i/>
          <w:iCs/>
        </w:rPr>
        <w:t>Reviewer: 2</w:t>
      </w:r>
    </w:p>
    <w:p w14:paraId="74457E9E" w14:textId="77777777" w:rsidR="002F2B1F" w:rsidRDefault="00000000">
      <w:pPr>
        <w:spacing w:after="140"/>
        <w:ind w:left="420"/>
      </w:pPr>
      <w:r>
        <w:rPr>
          <w:i/>
          <w:iCs/>
        </w:rPr>
        <w:t>Comments:</w:t>
      </w:r>
    </w:p>
    <w:p w14:paraId="29177B9F" w14:textId="77777777" w:rsidR="002F2B1F" w:rsidRDefault="00000000">
      <w:pPr>
        <w:spacing w:after="140"/>
        <w:ind w:left="420"/>
      </w:pPr>
      <w:r>
        <w:rPr>
          <w:i/>
          <w:iCs/>
        </w:rPr>
        <w:t>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14:paraId="04EE3EC9" w14:textId="77777777" w:rsidR="002F2B1F" w:rsidRDefault="00000000">
      <w:pPr>
        <w:spacing w:after="140"/>
        <w:ind w:left="420"/>
      </w:pPr>
      <w:r>
        <w:rPr>
          <w:i/>
          <w:iCs/>
        </w:rPr>
        <w:t>More comments:</w:t>
      </w:r>
    </w:p>
    <w:p w14:paraId="42EB4517" w14:textId="77777777" w:rsidR="002F2B1F" w:rsidRDefault="00000000">
      <w:pPr>
        <w:spacing w:after="160"/>
      </w:pPr>
      <w:r>
        <w:rPr>
          <w:b/>
          <w:bCs/>
          <w:color w:val="FF0000"/>
        </w:rPr>
        <w:t xml:space="preserve">Response: </w:t>
      </w:r>
      <w:r>
        <w:rPr>
          <w:color w:val="FF0000"/>
        </w:rPr>
        <w:t>We thank the reviewer for the accurate summary and for the methodological points below, several of which identified real gaps in what we reported.</w:t>
      </w:r>
    </w:p>
    <w:p w14:paraId="56C6534E" w14:textId="77777777" w:rsidR="002F2B1F" w:rsidRDefault="00000000">
      <w:pPr>
        <w:pStyle w:val="Heading2"/>
        <w:spacing w:before="320" w:after="160"/>
      </w:pPr>
      <w:r>
        <w:rPr>
          <w:b/>
          <w:bCs/>
        </w:rPr>
        <w:t>Reviewer 2, comment 1 — convergence diagnostics</w:t>
      </w:r>
    </w:p>
    <w:p w14:paraId="1176A9E9" w14:textId="77777777" w:rsidR="002F2B1F" w:rsidRDefault="00000000">
      <w:pPr>
        <w:spacing w:after="140"/>
        <w:ind w:left="420"/>
      </w:pPr>
      <w:r>
        <w:rPr>
          <w:i/>
          <w:iCs/>
        </w:rPr>
        <w:t>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14:paraId="10610991" w14:textId="77777777" w:rsidR="002F2B1F" w:rsidRDefault="00000000">
      <w:pPr>
        <w:spacing w:after="160"/>
      </w:pPr>
      <w:r>
        <w:rPr>
          <w:b/>
          <w:bCs/>
          <w:color w:val="FF0000"/>
        </w:rPr>
        <w:t xml:space="preserve">Response: </w:t>
      </w:r>
      <w:r>
        <w:rPr>
          <w:color w:val="FF0000"/>
        </w:rPr>
        <w:t>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14:paraId="75B8C2CF" w14:textId="77777777" w:rsidR="002F2B1F" w:rsidRDefault="00000000">
      <w:pPr>
        <w:spacing w:after="200"/>
        <w:ind w:left="420"/>
      </w:pPr>
      <w:r>
        <w:rPr>
          <w:color w:val="FF0000"/>
        </w:rPr>
        <w:t>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14:paraId="4C1675CF" w14:textId="77777777" w:rsidR="002F2B1F" w:rsidRDefault="00000000">
      <w:pPr>
        <w:pStyle w:val="Heading2"/>
        <w:spacing w:before="320" w:after="160"/>
      </w:pPr>
      <w:r>
        <w:rPr>
          <w:b/>
          <w:bCs/>
        </w:rPr>
        <w:t>Reviewer 2, comment 2 — the binary RT–DOR system</w:t>
      </w:r>
    </w:p>
    <w:p w14:paraId="14B274B9" w14:textId="77777777" w:rsidR="002F2B1F" w:rsidRDefault="00000000">
      <w:pPr>
        <w:spacing w:after="140"/>
        <w:ind w:left="420"/>
      </w:pPr>
      <w:r>
        <w:rPr>
          <w:i/>
          <w:iCs/>
        </w:rPr>
        <w:t>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14:paraId="1D348D9D" w14:textId="77777777" w:rsidR="002F2B1F" w:rsidRDefault="00000000">
      <w:pPr>
        <w:spacing w:after="160"/>
      </w:pPr>
      <w:r>
        <w:rPr>
          <w:b/>
          <w:bCs/>
          <w:color w:val="FF0000"/>
        </w:rPr>
        <w:lastRenderedPageBreak/>
        <w:t xml:space="preserve">Response: </w:t>
      </w:r>
      <w:r>
        <w:rPr>
          <w:color w:val="FF0000"/>
        </w:rPr>
        <w:t>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14:paraId="0429808D" w14:textId="77777777" w:rsidR="002F2B1F" w:rsidRDefault="00000000">
      <w:pPr>
        <w:pStyle w:val="Heading2"/>
        <w:spacing w:before="320" w:after="160"/>
      </w:pPr>
      <w:r>
        <w:rPr>
          <w:b/>
          <w:bCs/>
        </w:rPr>
        <w:t>Reviewer 2, comment 3 — effect sizes and confidence intervals</w:t>
      </w:r>
    </w:p>
    <w:p w14:paraId="473563C2" w14:textId="77777777" w:rsidR="002F2B1F" w:rsidRDefault="00000000">
      <w:pPr>
        <w:spacing w:after="140"/>
        <w:ind w:left="420"/>
      </w:pPr>
      <w:r>
        <w:rPr>
          <w:i/>
          <w:iCs/>
        </w:rPr>
        <w:t>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14:paraId="6640EEB4" w14:textId="77777777" w:rsidR="002F2B1F" w:rsidRDefault="00000000">
      <w:pPr>
        <w:spacing w:after="160"/>
      </w:pPr>
      <w:r>
        <w:rPr>
          <w:b/>
          <w:bCs/>
          <w:color w:val="FF0000"/>
        </w:rPr>
        <w:t xml:space="preserve">Response: </w:t>
      </w:r>
      <w:r>
        <w:rPr>
          <w:color w:val="FF0000"/>
        </w:rPr>
        <w:t>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14:paraId="64125870" w14:textId="77777777" w:rsidR="002F2B1F" w:rsidRDefault="00000000">
      <w:pPr>
        <w:spacing w:after="200"/>
        <w:ind w:left="420"/>
      </w:pPr>
      <w:r>
        <w:rPr>
          <w:color w:val="FF0000"/>
        </w:rPr>
        <w:t>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14:paraId="2ED7B3DB" w14:textId="77777777" w:rsidR="002F2B1F" w:rsidRDefault="00000000">
      <w:pPr>
        <w:pStyle w:val="Heading2"/>
        <w:spacing w:before="320" w:after="160"/>
      </w:pPr>
      <w:r>
        <w:rPr>
          <w:b/>
          <w:bCs/>
        </w:rPr>
        <w:t>Reviewer 2, comment 4 — charge-changing legs</w:t>
      </w:r>
    </w:p>
    <w:p w14:paraId="241B9301" w14:textId="77777777" w:rsidR="002F2B1F" w:rsidRDefault="00000000">
      <w:pPr>
        <w:spacing w:after="140"/>
        <w:ind w:left="420"/>
      </w:pPr>
      <w:r>
        <w:rPr>
          <w:i/>
          <w:iCs/>
        </w:rPr>
        <w:t>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14:paraId="50E35AEA" w14:textId="77777777" w:rsidR="002F2B1F" w:rsidRDefault="00000000">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w:t>
      </w:r>
      <w:proofErr w:type="spellStart"/>
      <w:r>
        <w:rPr>
          <w:color w:val="FF0000"/>
        </w:rPr>
        <w:t>histidines</w:t>
      </w:r>
      <w:proofErr w:type="spellEnd"/>
      <w:r>
        <w:rPr>
          <w:color w:val="FF0000"/>
        </w:rPr>
        <w:t xml:space="preserve">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14:paraId="3D239CC6" w14:textId="77777777" w:rsidR="002F2B1F" w:rsidRDefault="00000000">
      <w:pPr>
        <w:spacing w:after="160"/>
      </w:pPr>
      <w:r>
        <w:rPr>
          <w:color w:val="FF0000"/>
        </w:rPr>
        <w:t>The Methods now also describe the hybrid residue topologies (</w:t>
      </w:r>
      <w:proofErr w:type="spellStart"/>
      <w:r>
        <w:rPr>
          <w:color w:val="FF0000"/>
        </w:rPr>
        <w:t>pmx</w:t>
      </w:r>
      <w:proofErr w:type="spellEnd"/>
      <w:r>
        <w:rPr>
          <w:color w:val="FF0000"/>
        </w:rPr>
        <w:t xml:space="preserve"> single-topology construction, with atoms unique to one end state present as non-interacting dummies at the other, bonded parameters interpolated linearly in λ, </w:t>
      </w:r>
      <w:r>
        <w:rPr>
          <w:color w:val="FF0000"/>
        </w:rPr>
        <w:lastRenderedPageBreak/>
        <w:t xml:space="preserve">dummies relaxed during end-state minimization) and give the soft-core parameters as run: the linearized </w:t>
      </w:r>
      <w:proofErr w:type="spellStart"/>
      <w:r>
        <w:rPr>
          <w:color w:val="FF0000"/>
        </w:rPr>
        <w:t>Gapsys</w:t>
      </w:r>
      <w:proofErr w:type="spellEnd"/>
      <w:r>
        <w:rPr>
          <w:color w:val="FF0000"/>
        </w:rPr>
        <w:t xml:space="preserve"> form with α = 0.3, σ = 0.25 nm, soft-core power 1, applied to both Lennard-Jones and Coulomb interactions.</w:t>
      </w:r>
    </w:p>
    <w:p w14:paraId="1A4222A3" w14:textId="77777777" w:rsidR="002F2B1F" w:rsidRDefault="00000000">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w:t>
      </w:r>
      <w:proofErr w:type="spellStart"/>
      <w:r>
        <w:rPr>
          <w:color w:val="FF0000"/>
        </w:rPr>
        <w:t>undersolvation</w:t>
      </w:r>
      <w:proofErr w:type="spellEnd"/>
      <w:r>
        <w:rPr>
          <w:color w:val="FF0000"/>
        </w:rPr>
        <w:t xml:space="preserve"> and discrete-solvent — were not applied in the submitted work, and we now state this and report their estimated magnitude so the residual uncertainty on these two legs is visible to the reader.</w:t>
      </w:r>
    </w:p>
    <w:p w14:paraId="76377E5C" w14:textId="77777777" w:rsidR="002F2B1F" w:rsidRDefault="00000000">
      <w:pPr>
        <w:spacing w:after="200"/>
        <w:ind w:left="420"/>
      </w:pPr>
      <w:r>
        <w:rPr>
          <w:color w:val="FF0000"/>
        </w:rPr>
        <w:t>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14:paraId="49F783A3" w14:textId="77777777" w:rsidR="002F2B1F" w:rsidRDefault="00000000">
      <w:pPr>
        <w:pStyle w:val="Heading2"/>
        <w:spacing w:before="320" w:after="160"/>
      </w:pPr>
      <w:r>
        <w:rPr>
          <w:b/>
          <w:bCs/>
        </w:rPr>
        <w:t>Reviewer 2, comment 5 — Gasteiger charges</w:t>
      </w:r>
    </w:p>
    <w:p w14:paraId="3781D391" w14:textId="77777777" w:rsidR="002F2B1F" w:rsidRDefault="00000000">
      <w:pPr>
        <w:spacing w:after="140"/>
        <w:ind w:left="420"/>
      </w:pPr>
      <w:r>
        <w:rPr>
          <w:i/>
          <w:iCs/>
        </w:rPr>
        <w:t>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14:paraId="0A9E22DE" w14:textId="77777777" w:rsidR="002F2B1F" w:rsidRDefault="00000000">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w:t>
      </w:r>
      <w:proofErr w:type="spellStart"/>
      <w:r>
        <w:rPr>
          <w:color w:val="FF0000"/>
        </w:rPr>
        <w:t>ΔEelec</w:t>
      </w:r>
      <w:proofErr w:type="spellEnd"/>
      <w:r>
        <w:rPr>
          <w:color w:val="FF0000"/>
        </w:rPr>
        <w:t xml:space="preserve">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14:paraId="6FAC532C" w14:textId="77777777" w:rsidR="002F2B1F" w:rsidRDefault="00000000">
      <w:pPr>
        <w:spacing w:after="200"/>
        <w:ind w:left="420"/>
      </w:pPr>
      <w:r>
        <w:rPr>
          <w:color w:val="FF0000"/>
        </w:rPr>
        <w:t xml:space="preserve">We have now done the </w:t>
      </w:r>
      <w:proofErr w:type="spellStart"/>
      <w:r>
        <w:rPr>
          <w:color w:val="FF0000"/>
        </w:rPr>
        <w:t>recomputation</w:t>
      </w:r>
      <w:proofErr w:type="spellEnd"/>
      <w:r>
        <w:rPr>
          <w:color w:val="FF0000"/>
        </w:rPr>
        <w:t xml:space="preserve">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w:t>
      </w:r>
      <w:proofErr w:type="spellStart"/>
      <w:r>
        <w:rPr>
          <w:color w:val="FF0000"/>
        </w:rPr>
        <w:t>polarised</w:t>
      </w:r>
      <w:proofErr w:type="spellEnd"/>
      <w:r>
        <w:rPr>
          <w:color w:val="FF0000"/>
        </w:rPr>
        <w:t>, with a mean absolute charge of 0.228 e against 0.138 e, an RMS difference of 0.165 e and a maximum of 0.390 e, concentrated on the carbonyl and amide atoms of the triazolinone and pyridinone that Gasteiger under-</w:t>
      </w:r>
      <w:proofErr w:type="spellStart"/>
      <w:r>
        <w:rPr>
          <w:color w:val="FF0000"/>
        </w:rPr>
        <w:t>polarises</w:t>
      </w:r>
      <w:proofErr w:type="spellEnd"/>
      <w:r>
        <w:rPr>
          <w:color w:val="FF0000"/>
        </w:rPr>
        <w:t xml:space="preserve">. Second, that difference propagates to the absolute energies exactly as expected, moving them by 3.5 to 4.6 kcal/mol. Third, and this is the point for the manuscript, it does not propagate to the WT-referenced quantity that Table 2 reports: </w:t>
      </w:r>
      <w:proofErr w:type="spellStart"/>
      <w:r>
        <w:rPr>
          <w:color w:val="FF0000"/>
        </w:rPr>
        <w:t>ddE_Total</w:t>
      </w:r>
      <w:proofErr w:type="spellEnd"/>
      <w:r>
        <w:rPr>
          <w:color w:val="FF0000"/>
        </w:rPr>
        <w:t xml:space="preserve"> shifts by at most 0.81 kcal/mol (V106A from 1.73 to 2.54, Y188L from 2.78 to 2.34) and the sign is preserved for both genotypes. The component breakdown confirms the mechanism rather than leaving it as an assertion — the charge-dependent terms move most, </w:t>
      </w:r>
      <w:proofErr w:type="spellStart"/>
      <w:r>
        <w:rPr>
          <w:color w:val="FF0000"/>
        </w:rPr>
        <w:t>ddE_elec</w:t>
      </w:r>
      <w:proofErr w:type="spellEnd"/>
      <w:r>
        <w:rPr>
          <w:color w:val="FF0000"/>
        </w:rPr>
        <w:t xml:space="preserve"> by up to 1.17 and </w:t>
      </w:r>
      <w:proofErr w:type="spellStart"/>
      <w:r>
        <w:rPr>
          <w:color w:val="FF0000"/>
        </w:rPr>
        <w:t>ddE_GB</w:t>
      </w:r>
      <w:proofErr w:type="spellEnd"/>
      <w:r>
        <w:rPr>
          <w:color w:val="FF0000"/>
        </w:rPr>
        <w:t xml:space="preserve"> by up to 1.32 kcal/mol, while </w:t>
      </w:r>
      <w:proofErr w:type="spellStart"/>
      <w:r>
        <w:rPr>
          <w:color w:val="FF0000"/>
        </w:rPr>
        <w:t>ddE_vdW</w:t>
      </w:r>
      <w:proofErr w:type="spellEnd"/>
      <w:r>
        <w:rPr>
          <w:color w:val="FF0000"/>
        </w:rPr>
        <w:t xml:space="preserve">, which does not depend on the charges at all, moves only 0.23 to 0.29. Much of the charge-model effect is therefore common to wild type and mutant and cancels in the difference. We note the scope honestly: this covers WT, V106A and Y188L, three replicates each, and it addresses MM/GBSA only. </w:t>
      </w:r>
      <w:proofErr w:type="spellStart"/>
      <w:r>
        <w:rPr>
          <w:color w:val="FF0000"/>
        </w:rPr>
        <w:t>ddG_bind</w:t>
      </w:r>
      <w:proofErr w:type="spellEnd"/>
      <w:r>
        <w:rPr>
          <w:color w:val="FF0000"/>
        </w:rPr>
        <w:t xml:space="preserve"> is unaffected by construction, since DOR is neutral and carries identical parameters at both end states of every alchemical leg.</w:t>
      </w:r>
    </w:p>
    <w:p w14:paraId="40FFA57D" w14:textId="77777777" w:rsidR="002F2B1F" w:rsidRDefault="00000000">
      <w:pPr>
        <w:pStyle w:val="Heading2"/>
        <w:spacing w:before="320" w:after="160"/>
      </w:pPr>
      <w:r>
        <w:rPr>
          <w:b/>
          <w:bCs/>
        </w:rPr>
        <w:t>Reviewer 3</w:t>
      </w:r>
    </w:p>
    <w:p w14:paraId="2A7C7278" w14:textId="77777777" w:rsidR="002F2B1F" w:rsidRDefault="00000000">
      <w:pPr>
        <w:spacing w:after="140"/>
        <w:ind w:left="420"/>
      </w:pPr>
      <w:r>
        <w:rPr>
          <w:i/>
          <w:iCs/>
        </w:rPr>
        <w:t>Reviewer: 3</w:t>
      </w:r>
    </w:p>
    <w:p w14:paraId="03403911" w14:textId="77777777" w:rsidR="002F2B1F" w:rsidRDefault="00000000">
      <w:pPr>
        <w:spacing w:after="140"/>
        <w:ind w:left="420"/>
      </w:pPr>
      <w:r>
        <w:rPr>
          <w:i/>
          <w:iCs/>
        </w:rPr>
        <w:t>Comments:</w:t>
      </w:r>
    </w:p>
    <w:p w14:paraId="51DA01FD" w14:textId="77777777" w:rsidR="002F2B1F" w:rsidRDefault="00000000">
      <w:pPr>
        <w:spacing w:after="140"/>
        <w:ind w:left="420"/>
      </w:pPr>
      <w:r>
        <w:rPr>
          <w:i/>
          <w:iCs/>
        </w:rPr>
        <w:lastRenderedPageBreak/>
        <w:t xml:space="preserve">The topic of this manuscript is timely and clinically relevant, the genotype panel is thoughtfully curated with transparent provenance (Stanford HIVDB, </w:t>
      </w:r>
      <w:proofErr w:type="spellStart"/>
      <w:r>
        <w:rPr>
          <w:i/>
          <w:iCs/>
        </w:rPr>
        <w:t>PhenoSense</w:t>
      </w:r>
      <w:proofErr w:type="spellEnd"/>
      <w:r>
        <w:rPr>
          <w:i/>
          <w:iCs/>
        </w:rPr>
        <w:t>/Merck assays), and the use of open-source tooling (</w:t>
      </w:r>
      <w:proofErr w:type="spellStart"/>
      <w:r>
        <w:rPr>
          <w:i/>
          <w:iCs/>
        </w:rPr>
        <w:t>OpenMM</w:t>
      </w:r>
      <w:proofErr w:type="spellEnd"/>
      <w:r>
        <w:rPr>
          <w:i/>
          <w:iCs/>
        </w:rPr>
        <w:t xml:space="preserve">, GROMACS, </w:t>
      </w:r>
      <w:proofErr w:type="spellStart"/>
      <w:r>
        <w:rPr>
          <w:i/>
          <w:iCs/>
        </w:rPr>
        <w:t>pmx</w:t>
      </w:r>
      <w:proofErr w:type="spellEnd"/>
      <w:r>
        <w:rPr>
          <w:i/>
          <w:iCs/>
        </w:rPr>
        <w:t xml:space="preserve">, </w:t>
      </w:r>
      <w:proofErr w:type="spellStart"/>
      <w:r>
        <w:rPr>
          <w:i/>
          <w:iCs/>
        </w:rPr>
        <w:t>OpenFF</w:t>
      </w:r>
      <w:proofErr w:type="spellEnd"/>
      <w:r>
        <w:rPr>
          <w:i/>
          <w:iCs/>
        </w:rPr>
        <w:t>)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14:paraId="338B2553" w14:textId="77777777" w:rsidR="002F2B1F" w:rsidRDefault="00000000">
      <w:pPr>
        <w:spacing w:after="160"/>
      </w:pPr>
      <w:r>
        <w:rPr>
          <w:b/>
          <w:bCs/>
          <w:color w:val="FF0000"/>
        </w:rPr>
        <w:t xml:space="preserve">Response: </w:t>
      </w:r>
      <w:r>
        <w:rPr>
          <w:color w:val="FF0000"/>
        </w:rPr>
        <w:t>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14:paraId="7C23A688" w14:textId="77777777" w:rsidR="002F2B1F" w:rsidRDefault="00000000">
      <w:pPr>
        <w:pStyle w:val="Heading2"/>
        <w:spacing w:before="320" w:after="160"/>
      </w:pPr>
      <w:r>
        <w:rPr>
          <w:b/>
          <w:bCs/>
        </w:rPr>
        <w:t>Reviewer 3, comment 1 — define “correctly predicted”</w:t>
      </w:r>
    </w:p>
    <w:p w14:paraId="7EB8B73F" w14:textId="77777777" w:rsidR="002F2B1F" w:rsidRDefault="00000000">
      <w:pPr>
        <w:spacing w:after="140"/>
        <w:ind w:left="420"/>
      </w:pPr>
      <w:r>
        <w:rPr>
          <w:i/>
          <w:iCs/>
        </w:rPr>
        <w:t>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14:paraId="0F5AF83B" w14:textId="77777777" w:rsidR="002F2B1F" w:rsidRDefault="00000000">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w:t>
      </w:r>
      <w:proofErr w:type="spellStart"/>
      <w:r>
        <w:rPr>
          <w:color w:val="FF0000"/>
        </w:rPr>
        <w:t>ΔΔETotal</w:t>
      </w:r>
      <w:proofErr w:type="spellEnd"/>
      <w:r>
        <w:rPr>
          <w:color w:val="FF0000"/>
        </w:rPr>
        <w:t>.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14:paraId="2FF1AB27" w14:textId="77777777" w:rsidR="002F2B1F" w:rsidRDefault="00000000">
      <w:pPr>
        <w:pStyle w:val="Heading2"/>
        <w:spacing w:before="320" w:after="160"/>
      </w:pPr>
      <w:r>
        <w:rPr>
          <w:b/>
          <w:bCs/>
        </w:rPr>
        <w:t>Reviewer 3, comment 2 — typographical issues</w:t>
      </w:r>
    </w:p>
    <w:p w14:paraId="653FC817" w14:textId="77777777" w:rsidR="002F2B1F" w:rsidRDefault="00000000">
      <w:pPr>
        <w:spacing w:after="140"/>
        <w:ind w:left="420"/>
      </w:pPr>
      <w:r>
        <w:rPr>
          <w:i/>
          <w:iCs/>
        </w:rPr>
        <w:t>2. There are several minor typographical issues: "NRNTI-resistance mutations" (Page 16) should be "NNRTI-resistance mutations"; "hinges on" (Page 30) should be "hinges on" or "depends on"; "APPROVAL" section header (Page 35) is redundant with "Author Contributions." Please proofread carefully.</w:t>
      </w:r>
    </w:p>
    <w:p w14:paraId="5AEBFAC9" w14:textId="77777777" w:rsidR="002F2B1F" w:rsidRDefault="00000000">
      <w:pPr>
        <w:spacing w:after="160"/>
      </w:pPr>
      <w:r>
        <w:rPr>
          <w:b/>
          <w:bCs/>
          <w:color w:val="FF0000"/>
        </w:rPr>
        <w:t xml:space="preserve">Response: </w:t>
      </w:r>
      <w:r>
        <w:rPr>
          <w:color w:val="FF0000"/>
        </w:rPr>
        <w:t>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14:paraId="2A00E875" w14:textId="77777777" w:rsidR="002F2B1F" w:rsidRDefault="00000000">
      <w:pPr>
        <w:pStyle w:val="Heading2"/>
        <w:spacing w:before="320" w:after="160"/>
      </w:pPr>
      <w:r>
        <w:rPr>
          <w:b/>
          <w:bCs/>
        </w:rPr>
        <w:t>Reviewer 3, comment 3 — MM/GBSA minimization protocol</w:t>
      </w:r>
    </w:p>
    <w:p w14:paraId="7FE29882" w14:textId="77777777" w:rsidR="002F2B1F" w:rsidRDefault="00000000">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w:t>
      </w:r>
      <w:proofErr w:type="spellStart"/>
      <w:r>
        <w:rPr>
          <w:i/>
          <w:iCs/>
        </w:rPr>
        <w:t>ΔEelec</w:t>
      </w:r>
      <w:proofErr w:type="spellEnd"/>
      <w:r>
        <w:rPr>
          <w:i/>
          <w:iCs/>
        </w:rPr>
        <w:t xml:space="preserve"> and ΔEGB. The authors should:</w:t>
      </w:r>
    </w:p>
    <w:p w14:paraId="3301A26C" w14:textId="77777777" w:rsidR="002F2B1F" w:rsidRDefault="00000000">
      <w:pPr>
        <w:spacing w:after="140"/>
        <w:ind w:left="420"/>
      </w:pPr>
      <w:r>
        <w:rPr>
          <w:i/>
          <w:iCs/>
        </w:rPr>
        <w:t>(a) Justify full minimization versus the more standard single-point or hydrogen-only relaxation protocol.</w:t>
      </w:r>
    </w:p>
    <w:p w14:paraId="60C0D1FD" w14:textId="77777777" w:rsidR="002F2B1F" w:rsidRDefault="00000000">
      <w:pPr>
        <w:spacing w:after="140"/>
        <w:ind w:left="420"/>
      </w:pPr>
      <w:r>
        <w:rPr>
          <w:i/>
          <w:iCs/>
        </w:rPr>
        <w:t xml:space="preserve">(b) Report how sensitive </w:t>
      </w:r>
      <w:proofErr w:type="spellStart"/>
      <w:r>
        <w:rPr>
          <w:i/>
          <w:iCs/>
        </w:rPr>
        <w:t>ΔΔETotal</w:t>
      </w:r>
      <w:proofErr w:type="spellEnd"/>
      <w:r>
        <w:rPr>
          <w:i/>
          <w:iCs/>
        </w:rPr>
        <w:t xml:space="preserve"> and its components are to this choice (e.g., by recomputing without minimization for a subset of genotypes).</w:t>
      </w:r>
    </w:p>
    <w:p w14:paraId="6044BF0F" w14:textId="77777777" w:rsidR="002F2B1F" w:rsidRDefault="00000000">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w:t>
      </w:r>
      <w:proofErr w:type="spellStart"/>
      <w:r>
        <w:rPr>
          <w:color w:val="FF0000"/>
        </w:rPr>
        <w:lastRenderedPageBreak/>
        <w:t>Comput</w:t>
      </w:r>
      <w:proofErr w:type="spellEnd"/>
      <w:r>
        <w:rPr>
          <w:color w:val="FF0000"/>
        </w:rPr>
        <w: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w:t>
      </w:r>
      <w:proofErr w:type="spellStart"/>
      <w:r>
        <w:rPr>
          <w:color w:val="FF0000"/>
        </w:rPr>
        <w:t>Genheden</w:t>
      </w:r>
      <w:proofErr w:type="spellEnd"/>
      <w:r>
        <w:rPr>
          <w:color w:val="FF0000"/>
        </w:rPr>
        <w:t xml:space="preserve"> and Ryde, ref 34) to give results similar to single-point ensemble averages. That review states directly that minimized structures often give as good or better results as MD simulations.</w:t>
      </w:r>
    </w:p>
    <w:p w14:paraId="48628EB8" w14:textId="77777777" w:rsidR="002F2B1F" w:rsidRDefault="00000000">
      <w:pPr>
        <w:spacing w:after="160"/>
      </w:pPr>
      <w:r>
        <w:rPr>
          <w:color w:val="FF0000"/>
        </w:rPr>
        <w:t>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14:paraId="080A14BF" w14:textId="77777777" w:rsidR="002F2B1F" w:rsidRDefault="00000000">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w:t>
      </w:r>
      <w:proofErr w:type="spellStart"/>
      <w:r>
        <w:rPr>
          <w:color w:val="FF0000"/>
        </w:rPr>
        <w:t>ΔΔETotal</w:t>
      </w:r>
      <w:proofErr w:type="spellEnd"/>
      <w:r>
        <w:rPr>
          <w:color w:val="FF0000"/>
        </w:rPr>
        <w:t xml:space="preserve"> and each component side by side so the sensitivity is visible (Supplementary Table 5).</w:t>
      </w:r>
    </w:p>
    <w:p w14:paraId="05CA8615" w14:textId="77777777" w:rsidR="002F2B1F" w:rsidRDefault="00000000">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w:t>
      </w:r>
      <w:proofErr w:type="spellStart"/>
      <w:r>
        <w:rPr>
          <w:color w:val="FF0000"/>
        </w:rPr>
        <w:t>ddE_Total</w:t>
      </w:r>
      <w:proofErr w:type="spellEnd"/>
      <w:r>
        <w:rPr>
          <w:color w:val="FF0000"/>
        </w:rPr>
        <w:t xml:space="preserve">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w:t>
      </w:r>
      <w:proofErr w:type="spellStart"/>
      <w:r>
        <w:rPr>
          <w:color w:val="FF0000"/>
        </w:rPr>
        <w:t>ddE_Total</w:t>
      </w:r>
      <w:proofErr w:type="spellEnd"/>
      <w:r>
        <w:rPr>
          <w:color w:val="FF0000"/>
        </w:rPr>
        <w:t xml:space="preserve">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w:t>
      </w:r>
      <w:proofErr w:type="spellStart"/>
      <w:r>
        <w:rPr>
          <w:color w:val="FF0000"/>
        </w:rPr>
        <w:t>ddE_Total</w:t>
      </w:r>
      <w:proofErr w:type="spellEnd"/>
      <w:r>
        <w:rPr>
          <w:color w:val="FF0000"/>
        </w:rPr>
        <w:t xml:space="preserve"> and its components, and we now say so in the manuscript rather than presenting the </w:t>
      </w:r>
      <w:proofErr w:type="spellStart"/>
      <w:r>
        <w:rPr>
          <w:color w:val="FF0000"/>
        </w:rPr>
        <w:t>minimised</w:t>
      </w:r>
      <w:proofErr w:type="spellEnd"/>
      <w:r>
        <w:rPr>
          <w:color w:val="FF0000"/>
        </w:rPr>
        <w:t xml:space="preserve"> values as protocol-independent. We would add two things in </w:t>
      </w:r>
      <w:proofErr w:type="spellStart"/>
      <w:r>
        <w:rPr>
          <w:color w:val="FF0000"/>
        </w:rPr>
        <w:t>defence</w:t>
      </w:r>
      <w:proofErr w:type="spellEnd"/>
      <w:r>
        <w:rPr>
          <w:color w:val="FF0000"/>
        </w:rPr>
        <w:t xml:space="preserve"> of the choice. First, it is the established practice for end-point methods, with the precedent cited in our response to part (a); the review we already cite notes that </w:t>
      </w:r>
      <w:proofErr w:type="spellStart"/>
      <w:r>
        <w:rPr>
          <w:color w:val="FF0000"/>
        </w:rPr>
        <w:t>minimised</w:t>
      </w:r>
      <w:proofErr w:type="spellEnd"/>
      <w:r>
        <w:rPr>
          <w:color w:val="FF0000"/>
        </w:rPr>
        <w:t xml:space="preserve"> structures often perform as well as or better than MD snapshots, and that unrealistic structures sometimes have to be filtered away -- full </w:t>
      </w:r>
      <w:proofErr w:type="spellStart"/>
      <w:r>
        <w:rPr>
          <w:color w:val="FF0000"/>
        </w:rPr>
        <w:t>minimisation</w:t>
      </w:r>
      <w:proofErr w:type="spellEnd"/>
      <w:r>
        <w:rPr>
          <w:color w:val="FF0000"/>
        </w:rPr>
        <w:t xml:space="preserve"> relaxes them instead of discarding frames. Second, and more important for the paper's conclusions, this affects only the MM/GBSA column. </w:t>
      </w:r>
      <w:proofErr w:type="spellStart"/>
      <w:r>
        <w:rPr>
          <w:color w:val="FF0000"/>
        </w:rPr>
        <w:t>ddG_bind</w:t>
      </w:r>
      <w:proofErr w:type="spellEnd"/>
      <w:r>
        <w:rPr>
          <w:color w:val="FF0000"/>
        </w:rPr>
        <w:t xml:space="preserve">, the quantity that corresponds to binding and carries the main claim, is computed by alchemical free energy perturbation and does not involve snapshot </w:t>
      </w:r>
      <w:proofErr w:type="spellStart"/>
      <w:r>
        <w:rPr>
          <w:color w:val="FF0000"/>
        </w:rPr>
        <w:t>minimisation</w:t>
      </w:r>
      <w:proofErr w:type="spellEnd"/>
      <w:r>
        <w:rPr>
          <w:color w:val="FF0000"/>
        </w:rPr>
        <w:t xml:space="preserve"> at all.</w:t>
      </w:r>
    </w:p>
    <w:sectPr w:rsidR="002F2B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593532B"/>
    <w:multiLevelType w:val="hybridMultilevel"/>
    <w:tmpl w:val="E126154A"/>
    <w:lvl w:ilvl="0" w:tplc="2E8E8782">
      <w:start w:val="1"/>
      <w:numFmt w:val="bullet"/>
      <w:lvlText w:val="●"/>
      <w:lvlJc w:val="left"/>
      <w:pPr>
        <w:ind w:left="720" w:hanging="360"/>
      </w:pPr>
    </w:lvl>
    <w:lvl w:ilvl="1" w:tplc="FF863C38">
      <w:start w:val="1"/>
      <w:numFmt w:val="bullet"/>
      <w:lvlText w:val="○"/>
      <w:lvlJc w:val="left"/>
      <w:pPr>
        <w:ind w:left="1440" w:hanging="360"/>
      </w:pPr>
    </w:lvl>
    <w:lvl w:ilvl="2" w:tplc="A4C81692">
      <w:start w:val="1"/>
      <w:numFmt w:val="bullet"/>
      <w:lvlText w:val="■"/>
      <w:lvlJc w:val="left"/>
      <w:pPr>
        <w:ind w:left="2160" w:hanging="360"/>
      </w:pPr>
    </w:lvl>
    <w:lvl w:ilvl="3" w:tplc="62AE313C">
      <w:start w:val="1"/>
      <w:numFmt w:val="bullet"/>
      <w:lvlText w:val="●"/>
      <w:lvlJc w:val="left"/>
      <w:pPr>
        <w:ind w:left="2880" w:hanging="360"/>
      </w:pPr>
    </w:lvl>
    <w:lvl w:ilvl="4" w:tplc="55C60FD8">
      <w:start w:val="1"/>
      <w:numFmt w:val="bullet"/>
      <w:lvlText w:val="○"/>
      <w:lvlJc w:val="left"/>
      <w:pPr>
        <w:ind w:left="3600" w:hanging="360"/>
      </w:pPr>
    </w:lvl>
    <w:lvl w:ilvl="5" w:tplc="14C062C8">
      <w:start w:val="1"/>
      <w:numFmt w:val="bullet"/>
      <w:lvlText w:val="■"/>
      <w:lvlJc w:val="left"/>
      <w:pPr>
        <w:ind w:left="4320" w:hanging="360"/>
      </w:pPr>
    </w:lvl>
    <w:lvl w:ilvl="6" w:tplc="2E4098CE">
      <w:start w:val="1"/>
      <w:numFmt w:val="bullet"/>
      <w:lvlText w:val="●"/>
      <w:lvlJc w:val="left"/>
      <w:pPr>
        <w:ind w:left="5040" w:hanging="360"/>
      </w:pPr>
    </w:lvl>
    <w:lvl w:ilvl="7" w:tplc="848EDD5A">
      <w:start w:val="1"/>
      <w:numFmt w:val="bullet"/>
      <w:lvlText w:val="●"/>
      <w:lvlJc w:val="left"/>
      <w:pPr>
        <w:ind w:left="5760" w:hanging="360"/>
      </w:pPr>
    </w:lvl>
    <w:lvl w:ilvl="8" w:tplc="7504B5C6">
      <w:start w:val="1"/>
      <w:numFmt w:val="bullet"/>
      <w:lvlText w:val="●"/>
      <w:lvlJc w:val="left"/>
      <w:pPr>
        <w:ind w:left="6480" w:hanging="360"/>
      </w:pPr>
    </w:lvl>
  </w:abstractNum>
  <w:num w:numId="1" w16cid:durableId="19283411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B1F"/>
    <w:rsid w:val="000F7070"/>
    <w:rsid w:val="00157C46"/>
    <w:rsid w:val="002F2B1F"/>
    <w:rsid w:val="003139B1"/>
    <w:rsid w:val="008A10A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1D8313B"/>
  <w15:docId w15:val="{A3AE8557-23C4-3F4F-9B51-954AE02E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4980</Words>
  <Characters>28391</Characters>
  <Application>Microsoft Office Word</Application>
  <DocSecurity>0</DocSecurity>
  <Lines>236</Lines>
  <Paragraphs>66</Paragraphs>
  <ScaleCrop>false</ScaleCrop>
  <Company/>
  <LinksUpToDate>false</LinksUpToDate>
  <CharactersWithSpaces>33305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Rohit Satija</cp:lastModifiedBy>
  <cp:revision>4</cp:revision>
  <dcterms:created xsi:type="dcterms:W3CDTF">2026-10-20T23:43:00Z</dcterms:created>
  <dcterms:modified xsi:type="dcterms:W3CDTF">2026-10-22T00:01:00Z</dcterms:modified>
</cp:coreProperties>
</file>