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4EABD86B"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3FD9456B"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t xml:space="preserve">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r>
        <w:rPr>
          <w:color w:val="FF0000"/>
        </w:rPr>
        <w:t xml:space="preserve"> Throughout, a genotype is counted as predicted to reduce binding when ΔΔGbind exceeds +0.5 kcal/mol, approximately the thermal energy kBT at 300 K, and as predicted to have little effect otherwise; the same cutoff is applied to ΔΔETotal.</w:t>
      </w:r>
    </w:p>
    <w:p w14:paraId="0D48E879"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fldChar w:fldCharType="begin"/>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fldChar w:fldCharType="separate"/>
      </w:r>
      <w:r>
        <w:rPr>
          <w:vertAlign w:val="superscript"/>
        </w:rPr>
        <w:t>1,2</w:t>
      </w:r>
      <w:r>
        <w:fldChar w:fldCharType="end"/>
        <w:t xml:space="preserve"> The NNIBP is ~10Å from the RT DNA polymerase active site and forms only upon NNRTI binding, via an induced conformational change in the RT p66 subunit (Figure 1A).</w:t>
        <w:fldChar w:fldCharType="begin"/>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fldChar w:fldCharType="separate"/>
      </w:r>
      <w:r>
        <w:rPr>
          <w:vertAlign w:val="superscript"/>
        </w:rPr>
        <w:t>3,4</w:t>
      </w:r>
      <w:r>
        <w:fldChar w:fldCharType="end"/>
        <w:t xml:space="preserve"> Since the NNIBP can more readily accommodate mutations than the polymerase active site without a significant cost to enzyme fitness, emergence of NNRTI resistance occurs commonly if virological suppression is not complete in patients receiving an NNRTI.</w:t>
        <w:fldChar w:fldCharType="begin"/>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5,6</w:t>
      </w:r>
      <w:r>
        <w:fldChar w:fldCharType="end"/>
      </w:r>
    </w:p>
    <w:p w14:paraId="455C1DDA"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fldChar w:fldCharType="begin"/>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fldChar w:fldCharType="separate"/>
      </w:r>
      <w:r>
        <w:rPr>
          <w:vertAlign w:val="superscript"/>
        </w:rPr>
        <w:t>7</w:t>
      </w:r>
      <w:r>
        <w:fldChar w:fldCharType="end"/>
        <w:t xml:space="preserve"> K103N alters allosteric RT dynamics and permits a productive RT-template/primer-dNTP complex even while Efavirenz (EFV) remains bound</w:t>
        <w:fldChar w:fldCharType="begin"/>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fldChar w:fldCharType="separate"/>
      </w:r>
      <w:r>
        <w:rPr>
          <w:vertAlign w:val="superscript"/>
        </w:rPr>
        <w:t>8</w:t>
      </w:r>
      <w:r>
        <w:fldChar w:fldCharType="end"/>
        <w:t xml:space="preserve"> and stabilizes the unliganded closed pocket form of RT, thus slowing Loviride/HBY097 entry.</w:t>
        <w:fldChar w:fldCharType="begin"/>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fldChar w:fldCharType="separate"/>
      </w:r>
      <w:r>
        <w:rPr>
          <w:vertAlign w:val="superscript"/>
        </w:rPr>
        <w:t>9</w:t>
      </w:r>
      <w:r>
        <w:fldChar w:fldCharType="end"/>
        <w:t xml:space="preserve"> Y181C removes critical aromatic ring stacking interactions between Nevirapine (NVP)/Delavirdine (DLV) and the NNIBP.</w:t>
        <w:fldChar w:fldCharType="begin"/>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fldChar w:fldCharType="separate"/>
      </w:r>
      <w:r>
        <w:rPr>
          <w:vertAlign w:val="superscript"/>
        </w:rPr>
        <w:t>10,11</w:t>
      </w:r>
      <w:r>
        <w:fldChar w:fldCharType="end"/>
        <w:t xml:space="preserve"> G190A adds a bulge in a compact binding region, causing steric conflict with HBY097.</w:t>
        <w:fldChar w:fldCharType="begin"/>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The second generation NNRTIs, Etravirine (ETR) and Rilpivirine (RPV), counteract such common NNRTI resistance mutations by introducing positional and conformational flexibility.</w:t>
        <w:fldChar w:fldCharType="begin"/>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fldChar w:fldCharType="separate"/>
      </w:r>
      <w:r>
        <w:rPr>
          <w:vertAlign w:val="superscript"/>
        </w:rPr>
        <w:t>12,13</w:t>
      </w:r>
      <w:r>
        <w:fldChar w:fldCharType="end"/>
        <w:t xml:space="preserve"> The flexible structures of ETR and RPV allow them to rotate within the NNIBP, permitting multiple interactions with NNIBP residues even in the presence of NNRTI mutations and thereby allowing them to retain activity against certain mutant viruses.</w:t>
        <w:fldChar w:fldCharType="begin"/>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w:t>
      </w:r>
    </w:p>
    <w:p w14:paraId="79F202DE" w14:textId="110B71D5"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diaryl ether NNRTIs.</w:t>
        <w:fldChar w:fldCharType="begin"/>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fldChar w:fldCharType="separate"/>
      </w:r>
      <w:r>
        <w:rPr>
          <w:vertAlign w:val="superscript"/>
        </w:rPr>
        <w:t>14</w:t>
      </w:r>
      <w:r>
        <w:fldChar w:fldCharType="end"/>
        <w:t xml:space="preserve"> DOR makes a unique H-bond with the backbone of Lys103, so that the precise identity of residue 103 is immaterial to successful binding (Figure 1B). Similarly, the Tyr181 side chain is </w:t>
        <w:lastRenderedPageBreak/>
        <w:t>rotated by 90° away from Tyr188 when compared to EFV, ETR, and RPV X-ray structures,</w:t>
        <w:fldChar w:fldCharType="begin"/>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vertAlign w:val="superscript"/>
        </w:rPr>
        <w:t>15</w:t>
      </w:r>
      <w:r>
        <w:fldChar w:fldCharType="end"/>
        <w:t xml:space="preserve"> so that Tyr188 alone stacks with the chlorocyanophenyl ring of DOR while the Tyr181 ring is turned away from the drug.</w:t>
        <w:fldChar w:fldCharType="begin"/>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vertAlign w:val="superscript"/>
        </w:rPr>
        <w:t>14,16</w:t>
      </w:r>
      <w:r>
        <w:fldChar w:fldCharType="end"/>
        <w:t xml:space="preserve"> In complexes with other NNRTIs, both tyrosines stack with the inhibitor, and Y181C and Y188L are thought to confer resistance by removing that stacking.</w:t>
        <w:fldChar w:fldCharType="begin"/>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fldChar w:fldCharType="separate"/>
      </w:r>
      <w:r>
        <w:rPr>
          <w:vertAlign w:val="superscript"/>
        </w:rPr>
        <w:t>10,11</w:t>
      </w:r>
      <w:r>
        <w:fldChar w:fldCharType="end"/>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fldChar w:fldCharType="begin"/>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vertAlign w:val="superscript"/>
        </w:rPr>
        <w:t>16,17</w:t>
      </w:r>
      <w:r>
        <w:fldChar w:fldCharType="end"/>
        <w:t xml:space="preserve"> Similarly, combinations of V106A/I with F227C/L, L234I, and P225H cause &gt;100-fold reductions in susceptibility to DOR.</w:t>
        <w:fldChar w:fldCharType="begin"/>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fldChar w:fldCharType="separate"/>
      </w:r>
      <w:r>
        <w:rPr>
          <w:vertAlign w:val="superscript"/>
        </w:rPr>
        <w:t>18</w:t>
      </w:r>
      <w:r>
        <w:fldChar w:fldCharType="end"/>
        <w:t xml:space="preserve"> </w:t>
      </w:r>
    </w:p>
    <w:p w14:paraId="5464F436" w14:textId="54C95587" w:rsidR="00A3640F" w:rsidRPr="00E536AD" w:rsidRDefault="00C96A03" w:rsidP="004947E0">
      <w:pPr>
        <w:pStyle w:val="TAMainText"/>
        <w:rPr>
          <w:sz w:val="22"/>
          <w:szCs w:val="22"/>
        </w:rPr>
      </w:pPr>
      <w:r>
        <w:t>This unique resistance profile has allowed DOR to become an integral component of the standard of care in antiretroviral therapy (ART).</w:t>
        <w:fldChar w:fldCharType="begin"/>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fldChar w:fldCharType="separate"/>
      </w:r>
      <w:r>
        <w:rPr>
          <w:rFonts w:cs="Mangal"/>
          <w:szCs w:val="24"/>
          <w:vertAlign w:val="superscript"/>
          <w:lang w:bidi="hi-IN"/>
        </w:rPr>
        <w:t>19–22</w:t>
      </w:r>
      <w:r>
        <w:fldChar w:fldCharType="end"/>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fldChar w:fldCharType="begin"/>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fldChar w:fldCharType="separate"/>
      </w:r>
      <w:r>
        <w:rPr>
          <w:vertAlign w:val="superscript"/>
        </w:rPr>
        <w:t>23–29</w:t>
      </w:r>
      <w:r>
        <w:fldChar w:fldCharType="end"/>
        <w:t xml:space="preserve"> However, the affinity of an inhibitor for RT and its ability to suppress viral replication are not equivalent, and direct correspondence between them has not been quantified over a matched dataset.</w:t>
        <w:fldChar w:fldCharType="begin"/>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fldChar w:fldCharType="separate"/>
      </w:r>
      <w:r>
        <w:rPr>
          <w:vertAlign w:val="superscript"/>
        </w:rPr>
        <w:t>30</w:t>
      </w:r>
      <w:r>
        <w:fldChar w:fldCharType="end"/>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3FF9954F" w14:textId="77777777" w:rsidR="00F431E8" w:rsidRDefault="00E23674" w:rsidP="004947E0">
      <w:pPr>
        <w:pStyle w:val="TAMainText"/>
        <w:rPr>
          <w:noProof/>
        </w:rPr>
      </w:pPr>
      <w:r>
        <w:lastRenderedPageBreak/>
        <w:t xml:space="preserve">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fldChar w:fldCharType="begin"/>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fldChar w:fldCharType="separate"/>
      </w:r>
      <w:r>
        <w:rPr>
          <w:vertAlign w:val="superscript"/>
        </w:rPr>
        <w:t>31,32</w:t>
      </w:r>
      <w:r>
        <w:fldChar w:fldCharType="end"/>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fldChar w:fldCharType="begin"/>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fldChar w:fldCharType="separate"/>
      </w:r>
      <w:r>
        <w:rPr>
          <w:vertAlign w:val="superscript"/>
        </w:rPr>
        <w:t>33,34</w:t>
      </w:r>
      <w:r>
        <w:fldChar w:fldCharType="end"/>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64E1BB6F"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fldChar w:fldCharType="begin"/>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fldChar w:fldCharType="separate"/>
      </w:r>
      <w:r>
        <w:rPr>
          <w:vertAlign w:val="superscript"/>
        </w:rPr>
        <w:t>14</w:t>
      </w:r>
      <w:r>
        <w:fldChar w:fldCharType="end"/>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Kabsch algorithm.</w:t>
        <w:fldChar w:fldCharType="begin"/>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fldChar w:fldCharType="separate"/>
      </w:r>
      <w:r>
        <w:rPr>
          <w:vertAlign w:val="superscript"/>
        </w:rPr>
        <w:t>35</w:t>
      </w:r>
      <w:r>
        <w:fldChar w:fldCharType="end"/>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OpenMM 8.5.2.</w:t>
        <w:fldChar w:fldCharType="begin"/>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fldChar w:fldCharType="separate"/>
      </w:r>
      <w:r>
        <w:rPr>
          <w:vertAlign w:val="superscript"/>
        </w:rPr>
        <w:t>36</w:t>
      </w:r>
      <w:r>
        <w:fldChar w:fldCharType="end"/>
        <w:t xml:space="preserve"> Protein parameters were assigned from the Amber14 OpenMM force-field files, using ff14SB for protein,</w:t>
        <w:fldChar w:fldCharType="begin"/>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fldChar w:fldCharType="separate"/>
      </w:r>
      <w:r>
        <w:rPr>
          <w:vertAlign w:val="superscript"/>
        </w:rPr>
        <w:t>37</w:t>
      </w:r>
      <w:r>
        <w:fldChar w:fldCharType="end"/>
        <w:t xml:space="preserve"> and TIP3P water.</w:t>
        <w:fldChar w:fldCharType="begin"/>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fldChar w:fldCharType="separate"/>
      </w:r>
      <w:r>
        <w:rPr>
          <w:vertAlign w:val="superscript"/>
        </w:rPr>
        <w:t>38</w:t>
      </w:r>
      <w:r>
        <w:fldChar w:fldCharType="end"/>
        <w:t xml:space="preserve"> DOR parameters were generated through the OpenFF/SMIRNOFF template generator (openmmforcefields 0.16.0, OpenFF Toolkit 0.18.0) using direct chemical perception,</w:t>
        <w:fldChar w:fldCharType="begin"/>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fldChar w:fldCharType="separate"/>
      </w:r>
      <w:r>
        <w:rPr>
          <w:vertAlign w:val="superscript"/>
        </w:rPr>
        <w:t>39</w:t>
      </w:r>
      <w:r>
        <w:fldChar w:fldCharType="end"/>
        <w:t xml:space="preserve"> with </w:t>
        <w:lastRenderedPageBreak/>
        <w:t>Gasteiger partial charges.</w:t>
        <w:fldChar w:fldCharType="begin"/>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fldChar w:fldCharType="separate"/>
      </w:r>
      <w:r>
        <w:rPr>
          <w:vertAlign w:val="superscript"/>
        </w:rPr>
        <w:t>40</w:t>
      </w:r>
      <w:r>
        <w:fldChar w:fldCharType="end"/>
        <w:t xml:space="preserve"> Each complex was solvated in a TIP3P periodic box with 1.0 nm padding and neutralized at 0.15 M ionic strength. Nonbonded interactions used particle-mesh Ewald electrostatics</w:t>
        <w:fldChar w:fldCharType="begin"/>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fldChar w:fldCharType="separate"/>
      </w:r>
      <w:r>
        <w:rPr>
          <w:vertAlign w:val="superscript"/>
        </w:rPr>
        <w:t>41</w:t>
      </w:r>
      <w:r>
        <w:fldChar w:fldCharType="end"/>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t xml:space="preserve">Trajectory analyses were performed with MDAnalysis 2.10.0</w:t>
        <w:fldChar w:fldCharType="begin"/>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fldChar w:fldCharType="separate"/>
      </w:r>
      <w:r>
        <w:rPr>
          <w:vertAlign w:val="superscript"/>
        </w:rPr>
        <w:t>42</w:t>
      </w:r>
      <w:r>
        <w:fldChar w:fldCharType="end"/>
        <w:t xml:space="preserve"> and MDTraj 1.11.1.</w:t>
        <w:fldChar w:fldCharType="begin"/>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fldChar w:fldCharType="separate"/>
      </w:r>
      <w:r>
        <w:rPr>
          <w:vertAlign w:val="superscript"/>
        </w:rPr>
        <w:t>43</w:t>
      </w:r>
      <w:r>
        <w:fldChar w:fldCharType="end"/>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fldChar w:fldCharType="begin"/>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fldChar w:fldCharType="separate"/>
      </w:r>
      <w:r>
        <w:rPr>
          <w:vertAlign w:val="superscript"/>
        </w:rPr>
        <w:t>44</w:t>
      </w:r>
      <w:r>
        <w:fldChar w:fldCharType="end"/>
        <w:t xml:space="preserve"> The analysis used the same </w:t>
        <w:lastRenderedPageBreak/>
        <w:t>molecular-mechanics parameters as the production simulations. We evaluated complex, receptor (RT), and ligand (DOR) energies separately,</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2F2BAF1A" w14:textId="77777777" w:rsidR="006E0AC1" w:rsidRPr="00E536AD" w:rsidRDefault="006E0AC1" w:rsidP="006E0AC1">
      <w:pPr>
        <w:pStyle w:val="TAMainText"/>
        <w:spacing w:after="240"/>
        <w:rPr>
          <w:rFonts w:ascii="Times New Roman" w:hAnsi="Times New Roman"/>
          <w:szCs w:val="24"/>
        </w:rPr>
      </w:pPr>
      <w:r>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44602AB6" w14:textId="481427A0" w:rsidR="00904E1B" w:rsidRPr="00E536AD" w:rsidRDefault="006E0AC1" w:rsidP="004260F0">
      <w:pPr>
        <w:pStyle w:val="TAMainText"/>
        <w:spacing w:after="240"/>
        <w:rPr>
          <w:rFonts w:ascii="Times New Roman" w:hAnsi="Times New Roman"/>
          <w:szCs w:val="24"/>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fldChar w:fldCharType="begin"/>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fldChar w:fldCharType="separate"/>
      </w:r>
      <w:r>
        <w:rPr>
          <w:vertAlign w:val="superscript"/>
        </w:rPr>
        <w:t>45</w:t>
      </w:r>
      <w:r>
        <w:fldChar w:fldCharType="end"/>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Replicate means are reported from 100 snapshots spaced evenly across the post-equilibration portion (final 75 ns) of each production trajectory. WT-referenced shifts were calculated as </w:t>
      </w:r>
      <w:r>
        <w:rPr>
          <w:color w:val="FF0000"/>
        </w:rPr>
        <w:t xml:space="preserve"> Full minimization rather than a single-point evaluation or hydrogen-only relaxation was necessary here because the production trajectories were propagated with bonds to hydrogen constrained. Constrained dynamics fixes bond lengths but not the angular orientation of hydrogen atoms, and frames written from such a trajectory can place hydrogens at sub-Angstrom intermolecular separations that carry no physical meaning. Evaluated without a cutoff and without constraints, as MM/GBSA requires, these contacts produce Lennard-Jones energies orders of magnitude larger than the binding signal. Relaxing hydrogen positions alone does not remove them, because the underlying heavy-atom geometry is unchanged. We therefore report the sensitivity of ΔΔETotal and of each component to this choice by recomputing a subset of genotypes under single-point evaluation and under hydrogen-only relaxation (Supplementary Table 5).</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73D5EF2C"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1455036"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B2310BF" w14:textId="77777777" w:rsidR="0014765A" w:rsidRPr="00E536AD" w:rsidRDefault="0014765A" w:rsidP="00E50017">
      <w:pPr>
        <w:pStyle w:val="TAMainText"/>
      </w:pPr>
      <w:r>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t>
        <w:lastRenderedPageBreak/>
        <w:t xml:space="preserve">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pmx hybrid residues (development branch),</w:t>
        <w:fldChar w:fldCharType="begin"/>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fldChar w:fldCharType="separate"/>
      </w:r>
      <w:r>
        <w:rPr>
          <w:vertAlign w:val="superscript"/>
        </w:rPr>
        <w:t>46</w:t>
      </w:r>
      <w:r>
        <w:fldChar w:fldCharType="end"/>
        <w:t xml:space="preserve"> which share a common backbone and carry dummy atoms only where the two side chains differ, built with the amber14sbmut mutation force field to match the </w:t>
        <w:lastRenderedPageBreak/>
        <w:t xml:space="preserve">ff14SB parameters used for MD; DOR parameters were carried over from the OpenFF 2.0.0 assignment and exported to GROMACS format through OpenFF Interchange 0.5.0. 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t>with λ = 0 the wild type and λ = 1 the mutant residue. Hybrid systems were built in GROMACS 2023.1,</w:t>
        <w:fldChar w:fldCharType="begin"/>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fldChar w:fldCharType="separate"/>
      </w:r>
      <w:r>
        <w:rPr>
          <w:vertAlign w:val="superscript"/>
        </w:rPr>
        <w:t>47</w:t>
      </w:r>
      <w:r>
        <w:fldChar w:fldCharType="end"/>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fldChar w:fldCharType="begin"/>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fldChar w:fldCharType="separate"/>
      </w:r>
      <w:r>
        <w:rPr>
          <w:vertAlign w:val="superscript"/>
        </w:rPr>
        <w:t>48</w:t>
      </w:r>
      <w:r>
        <w:fldChar w:fldCharType="end"/>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histidines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Gapsys form48 with α = 0.3, σ = 0.25 nm and a soft-core power of 1, applied to both Lennard-Jones and Coulomb interactions (sc-coul = yes).</w:t>
      </w:r>
    </w:p>
    <w:p w14:paraId="1611D0E6" w14:textId="77777777" w:rsidR="00E75C39" w:rsidRPr="00E536AD" w:rsidRDefault="00E75C39" w:rsidP="00E50017">
      <w:pPr>
        <w:pStyle w:val="TAMainText"/>
      </w:pPr>
      <w:r>
        <w:t>Non-equilibrium switching</w:t>
        <w:fldChar w:fldCharType="begin"/>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fldChar w:fldCharType="separate"/>
      </w:r>
      <w:r>
        <w:rPr>
          <w:vertAlign w:val="superscript"/>
        </w:rPr>
        <w:t>49,50</w:t>
      </w:r>
      <w:r>
        <w:fldChar w:fldCharType="end"/>
        <w:t xml:space="preserve"> requires sampling only at the two physical end states. Each end state was minimized with the free-energy Hamiltonian active at that λ so that dummy atoms relax, warmed for 500 ps under a C-rescale barostat,</w:t>
        <w:fldChar w:fldCharType="begin"/>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fldChar w:fldCharType="separate"/>
      </w:r>
      <w:r>
        <w:rPr>
          <w:vertAlign w:val="superscript"/>
        </w:rPr>
        <w:t>51</w:t>
      </w:r>
      <w:r>
        <w:fldChar w:fldCharType="end"/>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t xml:space="preserve">Switching times were 100 ps, or 500 ps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undersolvation and discrete-solvent corrections, were not applied; we report their estimated magnitude in the Supporting Information so that the residual uncertainty on these two legs is explicit.</w:t>
      </w:r>
    </w:p>
    <w:p w14:paraId="3B4FD2C2" w14:textId="77777777" w:rsidR="00E75C39" w:rsidRPr="00E536AD" w:rsidRDefault="00E75C39" w:rsidP="00E50017">
      <w:pPr>
        <w:pStyle w:val="TAMainText"/>
      </w:pPr>
      <w:r>
        <w:lastRenderedPageBreak/>
        <w:t>Because the switches are of finite duration, W exceeds ∆G on average, and the free energy must be recovered from the distribution of work values. Jarzynski’s equality</w:t>
        <w:fldChar w:fldCharType="begin"/>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fldChar w:fldCharType="separate"/>
      </w:r>
      <w:r>
        <w:rPr>
          <w:vertAlign w:val="superscript"/>
        </w:rPr>
        <w:t>49</w:t>
      </w:r>
      <w:r>
        <w:fldChar w:fldCharType="end"/>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t>while the Crooks fluctuation theorem</w:t>
        <w:fldChar w:fldCharType="begin"/>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fldChar w:fldCharType="separate"/>
      </w:r>
      <w:r>
        <w:rPr>
          <w:vertAlign w:val="superscript"/>
        </w:rPr>
        <w:t>50</w:t>
      </w:r>
      <w:r>
        <w:fldChar w:fldCharType="end"/>
        <w:t xml:space="preserve"> relates the forward and reverse work distributions P</w:t>
      </w:r>
      <w:r>
        <w:rPr>
          <w:vertAlign w:val="subscript"/>
        </w:rPr>
        <w:t>F</w:t>
      </w:r>
      <w:r>
        <w:t>(W) and P</w:t>
      </w:r>
      <w:r>
        <w:rPr>
          <w:vertAlign w:val="subscript"/>
        </w:rPr>
        <w:t>R</w:t>
      </w:r>
      <w:r>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t>The maximum-likelihood estimate of ∆G from the above theorem is the Bennett acceptance ratio.</w:t>
        <w:fldChar w:fldCharType="begin"/>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fldChar w:fldCharType="separate"/>
      </w:r>
      <w:r>
        <w:rPr>
          <w:vertAlign w:val="superscript"/>
        </w:rPr>
        <w:t>52</w:t>
      </w:r>
      <w:r>
        <w:fldChar w:fldCharType="end"/>
        <w:t xml:space="preserve"> For equal number of forward and reverse switches (n</w:t>
      </w:r>
      <w:r>
        <w:rPr>
          <w:vertAlign w:val="subscript"/>
        </w:rPr>
        <w:t xml:space="preserve">F </w:t>
      </w:r>
      <w:r>
        <w:t xml:space="preserve">= n</w:t>
      </w:r>
      <w:r>
        <w:rPr>
          <w:vertAlign w:val="subscript"/>
        </w:rPr>
        <w:t>R</w:t>
      </w:r>
      <w:r>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fldChar w:fldCharType="begin"/>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fldChar w:fldCharType="separate"/>
      </w:r>
      <w:r>
        <w:rPr>
          <w:vertAlign w:val="superscript"/>
        </w:rPr>
        <w:t>53</w:t>
      </w:r>
      <w:r>
        <w:fldChar w:fldCharType="end"/>
        <w:t xml:space="preserve"> because </w:t>
      </w:r>
      <w:r>
        <w:rPr>
          <w:i/>
          <w:iCs/>
        </w:rPr>
        <w:t>holo</w:t>
      </w:r>
      <w:r>
        <w:t xml:space="preserve"> and </w:t>
      </w:r>
      <w:r>
        <w:rPr>
          <w:i/>
          <w:iCs/>
        </w:rPr>
        <w:t>apo</w:t>
      </w:r>
      <w:r>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Pr>
          <w:b/>
          <w:bCs/>
          <w:u w:val="single"/>
        </w:rPr>
        <w:t>Statistical analysis</w:t>
      </w:r>
    </w:p>
    <w:p w14:paraId="27C39B71" w14:textId="3DF341C0" w:rsidR="00766EBA" w:rsidRPr="003960AE" w:rsidRDefault="00D53F77" w:rsidP="003960AE">
      <w:pPr>
        <w:pStyle w:val="TAMainText"/>
        <w:spacing w:after="240"/>
      </w:pPr>
      <w:r>
        <w:t xml:space="preserve">Associations between the computed energies and phenotype were assessed by ordinary least-squares regression against log₁₀-transformed fold-change in susceptibility, reported as the </w:t>
        <w:lastRenderedPageBreak/>
        <w:t>coefficient of determination R² with the two-sided p-value for a non-zero slope (scipy.stats.linregress).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exceeded +0.5 kcal/mol, approximately kBT at 300 K, and as predicted-susceptible otherwise. This cutoff was fixed a priori from the thermal energy rather than fitted to the panel.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162F0011"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PhenoSense assay and the relatively similar Merck reporter-gene assay. Isolates </w:t>
        <w:lastRenderedPageBreak/>
        <w:t xml:space="preserve">undergoing testing were either site-directed mutants or clinical isolates for which known NNRTI-resistance mutations were specified. </w:t>
      </w:r>
    </w:p>
    <w:p w14:paraId="430E9DDF"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45DC3130" w14:textId="31B7A01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Orkin et al (2026)</w:t>
              <w:fldChar w:fldCharType="begin"/>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2A39BBCA" w14:textId="5DD53E55"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3CF6B97" w14:textId="222D3A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36A799CB" w14:textId="51650F21"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fldChar w:fldCharType="begin"/>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1F1383E" w14:textId="05A2B70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fldChar w:fldCharType="begin"/>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Pr>
                <w:rFonts w:hint="eastAsia"/>
                <w:color w:val="000000"/>
                <w:sz w:val="22"/>
                <w:szCs w:val="22"/>
              </w:rPr>
              <w:instrText>–</w:instrText>
            </w:r>
            <w:r>
              <w:rPr>
                <w:color w:val="000000"/>
                <w:sz w:val="22"/>
                <w:szCs w:val="22"/>
              </w:rPr>
              <w:instrText>96.7%) than to etravirine (91.5%), rilpivirine (89.5%), efavirenz (81.5%), or nevirapine (77.5%). Based on a 3-fold cutoff, doravirine susceptibility was retained in 44.7</w:instrText>
            </w:r>
            <w:r>
              <w:rPr>
                <w:rFonts w:hint="eastAsia"/>
                <w:color w:val="000000"/>
                <w:sz w:val="22"/>
                <w:szCs w:val="22"/>
              </w:rPr>
              <w:instrText>–</w:instrText>
            </w:r>
            <w:r>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fldChar w:fldCharType="separate"/>
            </w:r>
            <w:r>
              <w:rPr>
                <w:rFonts w:cs="Mangal"/>
                <w:color w:val="000000"/>
                <w:sz w:val="22"/>
                <w:szCs w:val="24"/>
                <w:vertAlign w:val="superscript"/>
                <w:lang w:bidi="hi-IN"/>
              </w:rPr>
              <w:t>55</w:t>
            </w:r>
            <w:r>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0A57A9F8" w14:textId="3CD65D6F"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Feng et al (2015)</w:t>
              <w:fldChar w:fldCharType="begin"/>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color w:val="000000"/>
                <w:sz w:val="22"/>
                <w:szCs w:val="22"/>
                <w:vertAlign w:val="superscript"/>
              </w:rPr>
              <w:t>16</w:t>
            </w:r>
            <w:r>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5D4B97F" w14:textId="6AEBC4E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6E07353B" w14:textId="1D99F5C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53D98B50" w14:textId="6EB62A40"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fldChar w:fldCharType="begin"/>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7536DC5" w14:textId="0B43D53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t>; Hazuda et al (2018)</w:t>
              <w:fldChar w:fldCharType="begin"/>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57</w:t>
            </w:r>
            <w:r>
              <w:rPr>
                <w:color w:val="000000"/>
                <w:sz w:val="22"/>
                <w:szCs w:val="22"/>
              </w:rPr>
              <w:fldChar w:fldCharType="end"/>
              <w:t>; Lai et al (2018)</w:t>
              <w:fldChar w:fldCharType="begin"/>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t>; Orkin et al (2026)</w:t>
              <w:fldChar w:fldCharType="begin"/>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0E7C6156" w14:textId="009525D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t>; Orkin et al (2026)</w:t>
              <w:fldChar w:fldCharType="begin"/>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6AC0C6D2" w14:textId="5059A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fldChar w:fldCharType="begin"/>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rFonts w:cs="Mangal"/>
                <w:color w:val="000000"/>
                <w:sz w:val="22"/>
                <w:szCs w:val="24"/>
                <w:vertAlign w:val="superscript"/>
                <w:lang w:bidi="hi-IN"/>
              </w:rPr>
              <w:t>16</w:t>
            </w:r>
            <w:r>
              <w:rPr>
                <w:color w:val="000000"/>
                <w:sz w:val="22"/>
                <w:szCs w:val="22"/>
              </w:rPr>
              <w:fldChar w:fldCharType="end"/>
              <w:t>; Smith et al (2016)</w:t>
              <w:fldChar w:fldCharType="begin"/>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Pr>
                <w:rFonts w:hint="eastAsia"/>
                <w:color w:val="000000"/>
                <w:sz w:val="22"/>
                <w:szCs w:val="22"/>
              </w:rPr>
              <w:instrText> </w:instrText>
            </w:r>
            <w:r>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Pr>
                <w:rFonts w:hint="eastAsia"/>
                <w:color w:val="000000"/>
                <w:sz w:val="22"/>
                <w:szCs w:val="22"/>
              </w:rPr>
              <w:instrText>Å</w:instrText>
            </w:r>
            <w:r>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Pr>
                <w:rFonts w:hint="eastAsia"/>
                <w:color w:val="000000"/>
                <w:sz w:val="22"/>
                <w:szCs w:val="22"/>
              </w:rPr>
              <w:instrText> </w:instrText>
            </w:r>
            <w:r>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Pr>
                <w:rFonts w:hint="eastAsia"/>
                <w:color w:val="000000"/>
                <w:sz w:val="22"/>
                <w:szCs w:val="22"/>
              </w:rPr>
              <w:instrText> </w:instrText>
            </w:r>
            <w:r>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Pr>
                <w:rFonts w:hint="eastAsia"/>
                <w:color w:val="000000"/>
                <w:sz w:val="22"/>
                <w:szCs w:val="22"/>
              </w:rPr>
              <w:instrText> </w:instrText>
            </w:r>
            <w:r>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fldChar w:fldCharType="separate"/>
            </w:r>
            <w:r>
              <w:rPr>
                <w:rFonts w:cs="Mangal"/>
                <w:color w:val="000000"/>
                <w:sz w:val="22"/>
                <w:szCs w:val="24"/>
                <w:vertAlign w:val="superscript"/>
                <w:lang w:bidi="hi-IN"/>
              </w:rPr>
              <w:t>58</w:t>
            </w:r>
            <w:r>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0E79B13F" w14:textId="4E3882A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0735D52D" w14:textId="57378A7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1F985415" w14:textId="467F6DB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646581C5" w14:textId="084EC2D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41F27E8A" w14:textId="221F1E8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fldChar w:fldCharType="begin"/>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fldChar w:fldCharType="separate"/>
            </w:r>
            <w:r>
              <w:rPr>
                <w:color w:val="000000"/>
                <w:sz w:val="22"/>
                <w:szCs w:val="22"/>
                <w:vertAlign w:val="superscript"/>
              </w:rPr>
              <w:t>17</w:t>
            </w:r>
            <w:r>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09C2068" w14:textId="581C268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fldChar w:fldCharType="begin"/>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fldChar w:fldCharType="separate"/>
            </w:r>
            <w:r>
              <w:rPr>
                <w:rFonts w:cs="Mangal"/>
                <w:color w:val="000000"/>
                <w:sz w:val="22"/>
                <w:szCs w:val="24"/>
                <w:vertAlign w:val="superscript"/>
                <w:lang w:bidi="hi-IN"/>
              </w:rPr>
              <w:t>56</w:t>
            </w:r>
            <w:r>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58924B20"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fldChar w:fldCharType="begin"/>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fldChar w:fldCharType="separate"/>
      </w:r>
      <w:r>
        <w:rPr>
          <w:rFonts w:cs="Mangal"/>
          <w:szCs w:val="24"/>
          <w:vertAlign w:val="superscript"/>
          <w:lang w:bidi="hi-IN"/>
        </w:rPr>
        <w:t>59</w:t>
      </w:r>
      <w:r>
        <w:fldChar w:fldCharType="end"/>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and for four individual energy components: van der Waals (∆∆E</w:t>
      </w:r>
      <w:r>
        <w:rPr>
          <w:vertAlign w:val="subscript"/>
        </w:rPr>
        <w:t>vdW</w:t>
      </w:r>
      <w:r>
        <w:t>), electrostatic (∆∆E</w:t>
      </w:r>
      <w:r>
        <w:rPr>
          <w:vertAlign w:val="subscript"/>
        </w:rPr>
        <w:t>elec</w:t>
      </w:r>
      <w:r>
        <w:t xml:space="preserve">), generalized Born polar solvation </w:t>
        <w:lastRenderedPageBreak/>
        <w:t>(∆∆E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sym w:font="Symbol" w:char="F0AB"/>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sym w:font="Symbol" w:char="F06C"/>
        <w:t xml:space="preserve"> = 0) and Mut (</w:t>
        <w:sym w:font="Symbol" w:char="F06C"/>
        <w:t xml:space="preserve"> = 1). As an illustration, in case of V106A, the RT p66 residue 106 contains atoms for both Valine and Alanine: When </w:t>
        <w:sym w:font="Symbol" w:char="F06C"/>
        <w:t xml:space="preserve"> = 0, Valine sidechain atoms (green) are on and Alanine atoms (red) are off. When </w:t>
        <w:sym w:font="Symbol" w:char="F06C"/>
        <w:t xml:space="preserve"> = 1, Valine sidechain atoms are switched off and Alanine atoms are switched on. </w:t>
      </w:r>
      <w:r>
        <w:rPr>
          <w:b/>
          <w:bCs/>
          <w:sz w:val="22"/>
          <w:szCs w:val="18"/>
        </w:rPr>
        <w:t>(C)</w:t>
      </w:r>
      <w:r>
        <w:rPr>
          <w:i/>
          <w:iCs/>
          <w:sz w:val="22"/>
          <w:szCs w:val="18"/>
        </w:rPr>
        <w:t xml:space="preserve"> </w:t>
      </w:r>
      <w:r>
        <w:rPr>
          <w:sz w:val="22"/>
          <w:szCs w:val="18"/>
        </w:rPr>
        <w:lastRenderedPageBreak/>
        <w:t>Work done to mutate residues from WT</w:t>
        <w:sym w:font="Wingdings" w:char="F0E0"/>
        <w:t>Mut (Forward) and Mut</w:t>
        <w:sym w:font="Wingdings" w:char="F0E0"/>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070417B8"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36F91771"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relative DOR binding free energy 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Pr>
          <w:sz w:val="22"/>
          <w:szCs w:val="22"/>
        </w:rPr>
        <w:lastRenderedPageBreak/>
        <w:t xml:space="preserve">*Values are averages over 100 equally spaced snapshots from 3 independent 100ns equilibrium MD simulations. </w:t>
      </w:r>
    </w:p>
    <w:p w14:paraId="50900EA6"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∆∆G</w:t>
      </w:r>
      <w:r>
        <w:rPr>
          <w:vertAlign w:val="subscript"/>
        </w:rPr>
        <w:t>bind</w:t>
      </w:r>
      <w:r>
        <w:t xml:space="preserve"> </w:t>
        <w:lastRenderedPageBreak/>
        <w:t>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25BC051D"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1282DF6A" w14:textId="77777777" w:rsidTr="00D24828">
        <w:trPr>
          <w:trHeight w:val="539"/>
        </w:trPr>
        <w:tc>
          <w:tcPr>
            <w:tcW w:w="985" w:type="dxa"/>
            <w:tcBorders>
              <w:top w:val="single" w:sz="4" w:space="0" w:color="auto"/>
              <w:bottom w:val="single" w:sz="4" w:space="0" w:color="auto"/>
            </w:tcBorders>
            <w:hideMark/>
          </w:tcPr>
          <w:p w14:paraId="6F2928FA"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1915EFBD"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799AF54E"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8C1B4C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A40673E"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23C59D87"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F38FC0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828F33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5607E6BD"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082BC571"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12423F4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A4BF709" w14:textId="77777777" w:rsidTr="00D24828">
        <w:trPr>
          <w:trHeight w:val="340"/>
        </w:trPr>
        <w:tc>
          <w:tcPr>
            <w:tcW w:w="985" w:type="dxa"/>
            <w:tcBorders>
              <w:top w:val="single" w:sz="4" w:space="0" w:color="auto"/>
              <w:bottom w:val="single" w:sz="4" w:space="0" w:color="auto"/>
            </w:tcBorders>
          </w:tcPr>
          <w:p w14:paraId="41C19DB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3BCBE51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181FC5D9"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F5D54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130498AF"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32621D69"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90F0295"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4FE30C3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54592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B69D9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6CB8F7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46F738F" w14:textId="77777777" w:rsidTr="00D24828">
        <w:trPr>
          <w:trHeight w:val="340"/>
        </w:trPr>
        <w:tc>
          <w:tcPr>
            <w:tcW w:w="985" w:type="dxa"/>
            <w:vMerge w:val="restart"/>
            <w:tcBorders>
              <w:top w:val="single" w:sz="4" w:space="0" w:color="auto"/>
            </w:tcBorders>
            <w:hideMark/>
          </w:tcPr>
          <w:p w14:paraId="7F510B8D"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63352704"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0926BB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2E05C1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2DE5017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4575FB5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5A38DD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5285136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645AA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9B3CC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1AA118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594E5961" w14:textId="77777777" w:rsidTr="00D24828">
        <w:trPr>
          <w:trHeight w:val="340"/>
        </w:trPr>
        <w:tc>
          <w:tcPr>
            <w:tcW w:w="985" w:type="dxa"/>
            <w:vMerge/>
            <w:hideMark/>
          </w:tcPr>
          <w:p w14:paraId="02B11709" w14:textId="77777777" w:rsidR="00FA0CDB" w:rsidRPr="0035326E" w:rsidRDefault="00FA0CDB" w:rsidP="00FA0CDB">
            <w:pPr>
              <w:rPr>
                <w:rFonts w:ascii="Times New Roman" w:hAnsi="Times New Roman"/>
                <w:color w:val="000000"/>
                <w:sz w:val="16"/>
                <w:szCs w:val="16"/>
              </w:rPr>
            </w:pPr>
          </w:p>
        </w:tc>
        <w:tc>
          <w:tcPr>
            <w:tcW w:w="900" w:type="dxa"/>
            <w:hideMark/>
          </w:tcPr>
          <w:p w14:paraId="5ECD5ED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07BBCB7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4A78E2D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1AA3AA8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13D0BA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982593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28A54DC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8A67B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55DCC9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1218B7C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4A928BC3" w14:textId="77777777" w:rsidTr="00D24828">
        <w:trPr>
          <w:trHeight w:val="340"/>
        </w:trPr>
        <w:tc>
          <w:tcPr>
            <w:tcW w:w="985" w:type="dxa"/>
            <w:vMerge/>
            <w:hideMark/>
          </w:tcPr>
          <w:p w14:paraId="2DC7B827" w14:textId="77777777" w:rsidR="00FA0CDB" w:rsidRPr="0035326E" w:rsidRDefault="00FA0CDB" w:rsidP="00FA0CDB">
            <w:pPr>
              <w:rPr>
                <w:rFonts w:ascii="Times New Roman" w:hAnsi="Times New Roman"/>
                <w:color w:val="000000"/>
                <w:sz w:val="16"/>
                <w:szCs w:val="16"/>
              </w:rPr>
            </w:pPr>
          </w:p>
        </w:tc>
        <w:tc>
          <w:tcPr>
            <w:tcW w:w="900" w:type="dxa"/>
            <w:hideMark/>
          </w:tcPr>
          <w:p w14:paraId="61F088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63BD427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6EABC43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4E927A6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46E526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75D025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46301FF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3F474EE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2DA9C2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64A289E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236BD366" w14:textId="77777777" w:rsidTr="00D24828">
        <w:trPr>
          <w:trHeight w:val="359"/>
        </w:trPr>
        <w:tc>
          <w:tcPr>
            <w:tcW w:w="985" w:type="dxa"/>
            <w:vMerge/>
            <w:tcBorders>
              <w:bottom w:val="single" w:sz="4" w:space="0" w:color="auto"/>
            </w:tcBorders>
            <w:hideMark/>
          </w:tcPr>
          <w:p w14:paraId="73088DEE"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2A39D8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082DB5F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5CAA59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0E462F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359189C5"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2B5F1A84"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A890C8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6B250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31D8D6F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66BAB2D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4878E7CB" w14:textId="77777777" w:rsidTr="00D24828">
        <w:trPr>
          <w:trHeight w:val="340"/>
        </w:trPr>
        <w:tc>
          <w:tcPr>
            <w:tcW w:w="985" w:type="dxa"/>
            <w:vMerge w:val="restart"/>
            <w:tcBorders>
              <w:top w:val="single" w:sz="4" w:space="0" w:color="auto"/>
            </w:tcBorders>
            <w:hideMark/>
          </w:tcPr>
          <w:p w14:paraId="7A99BC1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76D23FA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7AE106C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5CE6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7BA55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116F3CF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3836D4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140445E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2FAE4E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E2CED1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4C8FEC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5C0E3FFA" w14:textId="77777777" w:rsidTr="00D24828">
        <w:trPr>
          <w:trHeight w:val="340"/>
        </w:trPr>
        <w:tc>
          <w:tcPr>
            <w:tcW w:w="985" w:type="dxa"/>
            <w:vMerge/>
            <w:hideMark/>
          </w:tcPr>
          <w:p w14:paraId="6161433E" w14:textId="77777777" w:rsidR="00FA0CDB" w:rsidRPr="0035326E" w:rsidRDefault="00FA0CDB" w:rsidP="00FA0CDB">
            <w:pPr>
              <w:rPr>
                <w:rFonts w:ascii="Times New Roman" w:hAnsi="Times New Roman"/>
                <w:color w:val="000000"/>
                <w:sz w:val="16"/>
                <w:szCs w:val="16"/>
              </w:rPr>
            </w:pPr>
          </w:p>
        </w:tc>
        <w:tc>
          <w:tcPr>
            <w:tcW w:w="900" w:type="dxa"/>
            <w:hideMark/>
          </w:tcPr>
          <w:p w14:paraId="6B5D7BF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7C696F6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E461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1B6ACE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B720B85"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1130D71E"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19B95FA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77978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0C2F1A9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061B30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29F8757" w14:textId="77777777" w:rsidTr="00D24828">
        <w:trPr>
          <w:trHeight w:val="340"/>
        </w:trPr>
        <w:tc>
          <w:tcPr>
            <w:tcW w:w="985" w:type="dxa"/>
            <w:vMerge/>
            <w:hideMark/>
          </w:tcPr>
          <w:p w14:paraId="29B945F2" w14:textId="77777777" w:rsidR="00FA0CDB" w:rsidRPr="0035326E" w:rsidRDefault="00FA0CDB" w:rsidP="00FA0CDB">
            <w:pPr>
              <w:rPr>
                <w:rFonts w:ascii="Times New Roman" w:hAnsi="Times New Roman"/>
                <w:color w:val="000000"/>
                <w:sz w:val="16"/>
                <w:szCs w:val="16"/>
              </w:rPr>
            </w:pPr>
          </w:p>
        </w:tc>
        <w:tc>
          <w:tcPr>
            <w:tcW w:w="900" w:type="dxa"/>
            <w:hideMark/>
          </w:tcPr>
          <w:p w14:paraId="43BD0C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4695CE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7C2EB75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273DC0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0716A9B6"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79695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4BC9CC6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17B3309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05BA19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6651FE8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65D5B89A" w14:textId="77777777" w:rsidTr="00D24828">
        <w:trPr>
          <w:trHeight w:val="340"/>
        </w:trPr>
        <w:tc>
          <w:tcPr>
            <w:tcW w:w="985" w:type="dxa"/>
            <w:vMerge/>
            <w:hideMark/>
          </w:tcPr>
          <w:p w14:paraId="6D181B2D" w14:textId="77777777" w:rsidR="00FA0CDB" w:rsidRPr="0035326E" w:rsidRDefault="00FA0CDB" w:rsidP="00FA0CDB">
            <w:pPr>
              <w:rPr>
                <w:rFonts w:ascii="Times New Roman" w:hAnsi="Times New Roman"/>
                <w:color w:val="000000"/>
                <w:sz w:val="16"/>
                <w:szCs w:val="16"/>
              </w:rPr>
            </w:pPr>
          </w:p>
        </w:tc>
        <w:tc>
          <w:tcPr>
            <w:tcW w:w="900" w:type="dxa"/>
            <w:hideMark/>
          </w:tcPr>
          <w:p w14:paraId="50D76F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73EBDF2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3ADDDC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6C6A80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CE1C3E4"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0C24E4F6"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7E7070C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3AA28F9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096AF72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6798A3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6EBBB90" w14:textId="77777777" w:rsidTr="00D24828">
        <w:trPr>
          <w:trHeight w:val="340"/>
        </w:trPr>
        <w:tc>
          <w:tcPr>
            <w:tcW w:w="985" w:type="dxa"/>
            <w:vMerge/>
            <w:hideMark/>
          </w:tcPr>
          <w:p w14:paraId="5317CF4D" w14:textId="77777777" w:rsidR="00FA0CDB" w:rsidRPr="0035326E" w:rsidRDefault="00FA0CDB" w:rsidP="00FA0CDB">
            <w:pPr>
              <w:rPr>
                <w:rFonts w:ascii="Times New Roman" w:hAnsi="Times New Roman"/>
                <w:color w:val="000000"/>
                <w:sz w:val="16"/>
                <w:szCs w:val="16"/>
              </w:rPr>
            </w:pPr>
          </w:p>
        </w:tc>
        <w:tc>
          <w:tcPr>
            <w:tcW w:w="900" w:type="dxa"/>
            <w:hideMark/>
          </w:tcPr>
          <w:p w14:paraId="53789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5369C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1BAFEA4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46BB7EA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21F6DD35"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1690FC7E"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33337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6ED6C02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F96B0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12F25D2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AA1D9DE" w14:textId="77777777" w:rsidTr="00D24828">
        <w:trPr>
          <w:trHeight w:val="340"/>
        </w:trPr>
        <w:tc>
          <w:tcPr>
            <w:tcW w:w="985" w:type="dxa"/>
            <w:vMerge/>
            <w:hideMark/>
          </w:tcPr>
          <w:p w14:paraId="4C8777D3" w14:textId="77777777" w:rsidR="00FA0CDB" w:rsidRPr="0035326E" w:rsidRDefault="00FA0CDB" w:rsidP="00FA0CDB">
            <w:pPr>
              <w:rPr>
                <w:rFonts w:ascii="Times New Roman" w:hAnsi="Times New Roman"/>
                <w:color w:val="000000"/>
                <w:sz w:val="16"/>
                <w:szCs w:val="16"/>
              </w:rPr>
            </w:pPr>
          </w:p>
        </w:tc>
        <w:tc>
          <w:tcPr>
            <w:tcW w:w="900" w:type="dxa"/>
            <w:hideMark/>
          </w:tcPr>
          <w:p w14:paraId="040CC4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78E99C7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3523777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2CA9DC2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0B70980C"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7985B4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1977639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143456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36DE7A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1014D7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7A2BD47C" w14:textId="77777777" w:rsidTr="00D24828">
        <w:trPr>
          <w:trHeight w:val="340"/>
        </w:trPr>
        <w:tc>
          <w:tcPr>
            <w:tcW w:w="985" w:type="dxa"/>
            <w:vMerge/>
            <w:hideMark/>
          </w:tcPr>
          <w:p w14:paraId="7E2FD5F6" w14:textId="77777777" w:rsidR="00FA0CDB" w:rsidRPr="0035326E" w:rsidRDefault="00FA0CDB" w:rsidP="00FA0CDB">
            <w:pPr>
              <w:rPr>
                <w:rFonts w:ascii="Times New Roman" w:hAnsi="Times New Roman"/>
                <w:color w:val="000000"/>
                <w:sz w:val="16"/>
                <w:szCs w:val="16"/>
              </w:rPr>
            </w:pPr>
          </w:p>
        </w:tc>
        <w:tc>
          <w:tcPr>
            <w:tcW w:w="900" w:type="dxa"/>
            <w:hideMark/>
          </w:tcPr>
          <w:p w14:paraId="0C3047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33220A1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3BEA352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2305EB5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35233297"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2258A299"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6295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0A1FB1B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7CF0BD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3A9ED3B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23E194C9" w14:textId="77777777" w:rsidTr="00D24828">
        <w:trPr>
          <w:trHeight w:val="386"/>
        </w:trPr>
        <w:tc>
          <w:tcPr>
            <w:tcW w:w="985" w:type="dxa"/>
            <w:vMerge/>
            <w:hideMark/>
          </w:tcPr>
          <w:p w14:paraId="7E83992C" w14:textId="77777777" w:rsidR="00FA0CDB" w:rsidRPr="0035326E" w:rsidRDefault="00FA0CDB" w:rsidP="00FA0CDB">
            <w:pPr>
              <w:rPr>
                <w:rFonts w:ascii="Times New Roman" w:hAnsi="Times New Roman"/>
                <w:color w:val="000000"/>
                <w:sz w:val="16"/>
                <w:szCs w:val="16"/>
              </w:rPr>
            </w:pPr>
          </w:p>
        </w:tc>
        <w:tc>
          <w:tcPr>
            <w:tcW w:w="900" w:type="dxa"/>
            <w:hideMark/>
          </w:tcPr>
          <w:p w14:paraId="19981E0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7BC5B6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6AEFC9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C12BE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4621E2A0"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1CFFF695"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2A37F8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7560503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0AF2E0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22A4B5D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D06D7D8" w14:textId="77777777" w:rsidTr="00D24828">
        <w:trPr>
          <w:trHeight w:val="386"/>
        </w:trPr>
        <w:tc>
          <w:tcPr>
            <w:tcW w:w="985" w:type="dxa"/>
            <w:vMerge/>
            <w:tcBorders>
              <w:bottom w:val="single" w:sz="4" w:space="0" w:color="auto"/>
            </w:tcBorders>
          </w:tcPr>
          <w:p w14:paraId="2015B106"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7B34EA06"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3802E6E2"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62604BEF"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234DF5E1"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00DE7B5B"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722EF1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DF4A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7E9CA51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5A7685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0FE69C4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01E992A1" w14:textId="77777777" w:rsidTr="00D24828">
        <w:trPr>
          <w:trHeight w:val="340"/>
        </w:trPr>
        <w:tc>
          <w:tcPr>
            <w:tcW w:w="985" w:type="dxa"/>
            <w:vMerge w:val="restart"/>
            <w:tcBorders>
              <w:top w:val="single" w:sz="4" w:space="0" w:color="auto"/>
            </w:tcBorders>
            <w:hideMark/>
          </w:tcPr>
          <w:p w14:paraId="2A9330D8"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6BC58A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146D033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35207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397FFD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7E264A11"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DF4641E"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3B182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0BED290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244B3F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75D8315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75F2C2AB" w14:textId="77777777" w:rsidTr="00D24828">
        <w:trPr>
          <w:trHeight w:val="467"/>
        </w:trPr>
        <w:tc>
          <w:tcPr>
            <w:tcW w:w="985" w:type="dxa"/>
            <w:vMerge/>
            <w:hideMark/>
          </w:tcPr>
          <w:p w14:paraId="78AACAA1"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4B2C7F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52E8DF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84D8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67936B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1D9746DC"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F862C6E"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69634EE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21D5DC3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246CFE1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45CC4B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3D3A28B9" w14:textId="77777777" w:rsidTr="00D24828">
        <w:trPr>
          <w:trHeight w:val="521"/>
        </w:trPr>
        <w:tc>
          <w:tcPr>
            <w:tcW w:w="985" w:type="dxa"/>
            <w:vMerge/>
            <w:hideMark/>
          </w:tcPr>
          <w:p w14:paraId="7D230A6F"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44544F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7173AE2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7DED75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19D491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0AD807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1C9DE3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70372C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0FB1CAC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32BC8C8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06671FC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10D65785" w14:textId="77777777" w:rsidTr="00D24828">
        <w:trPr>
          <w:trHeight w:val="350"/>
        </w:trPr>
        <w:tc>
          <w:tcPr>
            <w:tcW w:w="985" w:type="dxa"/>
            <w:vMerge/>
            <w:hideMark/>
          </w:tcPr>
          <w:p w14:paraId="7B39137A"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7AD1A1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26CEDE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9375E3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0C26A9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232B9C4"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2F0D7430"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322F231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5560FD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04EBAA7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FF68EE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20FE7C27" w14:textId="77777777" w:rsidTr="00D24828">
        <w:trPr>
          <w:trHeight w:val="350"/>
        </w:trPr>
        <w:tc>
          <w:tcPr>
            <w:tcW w:w="985" w:type="dxa"/>
            <w:vMerge/>
            <w:tcBorders>
              <w:bottom w:val="single" w:sz="4" w:space="0" w:color="auto"/>
            </w:tcBorders>
          </w:tcPr>
          <w:p w14:paraId="09E843FD"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2E84FD01"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EEADCC4"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53241708"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2A9460DA"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95467F6"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5624F6E6"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6320A7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76CD74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4302397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47624BB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5DED9625"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fldChar w:fldCharType="begin"/>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fldChar w:fldCharType="separate"/>
      </w:r>
      <w:r>
        <w:rPr>
          <w:vertAlign w:val="superscript"/>
        </w:rPr>
        <w:t>18</w:t>
      </w:r>
      <w:r>
        <w:fldChar w:fldCharType="end"/>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0CEBAA26" w14:textId="31FDE218"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lastRenderedPageBreak/>
        <w:t>Specifically, we used both MM/GBSA-based absolute energy computation from equilibrium MD simulations and a recently developed</w:t>
        <w:fldChar w:fldCharType="begin"/>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fldChar w:fldCharType="separate"/>
      </w:r>
      <w:r>
        <w:rPr>
          <w:vertAlign w:val="superscript"/>
        </w:rPr>
        <w:t>31,32</w:t>
      </w:r>
      <w:r>
        <w:fldChar w:fldCharType="end"/>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fldChar w:fldCharType="begin"/>
        <w:instrText xml:space="preserve"> ADDIN ZOTERO_ITEM CSL_CITATION {"citationID":"YsIGJLYx","properties":{"unsorted":true,"formattedCitation":"\\super 60\\uc0\\u8211{}62\\nosupersub{}","plainCitation":"60</w:instrText>
      </w:r>
      <w:r>
        <w:rPr>
          <w:rFonts w:hint="eastAsia"/>
        </w:rPr>
        <w:instrText>–</w:instrText>
      </w:r>
      <w:r>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Pr>
          <w:rFonts w:hint="eastAsia"/>
        </w:rPr>
        <w:instrText>Δ</w:instrText>
      </w:r>
      <w:r>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Pr>
          <w:rFonts w:hint="eastAsia"/>
        </w:rPr>
        <w:instrText>ΔΔ</w:instrText>
      </w:r>
      <w:r>
        <w:instrText>Ecoul for R292K-wildtype at position 292 parallel the change in experimental fold resistance energies (</w:instrText>
      </w:r>
      <w:r>
        <w:rPr>
          <w:rFonts w:hint="eastAsia"/>
        </w:rPr>
        <w:instrText>ΔΔ</w:instrText>
      </w:r>
      <w:r>
        <w:instrText xml:space="preserve">GR292K-WT) with S03 &amp;lt; S00 &amp;lt; S02 &amp;lt; S01. The footprints also reveal that the most potent ligands have (1) less reliance on R292 for intrinsic affinity, (2) enhanced binding via residues E119, E227, and E277, and (3) flatter </w:instrText>
      </w:r>
      <w:r>
        <w:rPr>
          <w:rFonts w:hint="eastAsia"/>
        </w:rPr>
        <w:instrText>Δ</w:instrText>
      </w:r>
      <w:r>
        <w:instrText xml:space="preserve">Ecoul and </w:instrText>
      </w:r>
      <w:r>
        <w:rPr>
          <w:rFonts w:hint="eastAsia"/>
        </w:rPr>
        <w:instrText>Δ</w:instrText>
      </w:r>
      <w:r>
        <w:instrText>H-bond profiles. Improved resistance for S03 appears to be a function of the ligand</w:instrText>
      </w:r>
      <w:r>
        <w:rPr>
          <w:rFonts w:hint="eastAsia"/>
        </w:rPr>
        <w:instrText>’</w:instrText>
      </w:r>
      <w:r>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Pr>
          <w:rFonts w:hint="eastAsia"/>
        </w:rPr>
        <w:instrText>µ</w:instrText>
      </w:r>
      <w:r>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Pr>
          <w:rFonts w:hint="eastAsia"/>
        </w:rPr>
        <w:instrText>’</w:instrText>
      </w:r>
      <w:r>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fldChar w:fldCharType="separate"/>
      </w:r>
      <w:r>
        <w:rPr>
          <w:rFonts w:cs="Mangal"/>
          <w:szCs w:val="24"/>
          <w:vertAlign w:val="superscript"/>
          <w:lang w:bidi="hi-IN"/>
        </w:rPr>
        <w:t>60–62</w:t>
      </w:r>
      <w:r>
        <w:fldChar w:fldCharType="end"/>
        <w:t xml:space="preserve"> including HIV,</w:t>
        <w:fldChar w:fldCharType="begin"/>
        <w:instrText xml:space="preserve"> ADDIN ZOTERO_ITEM CSL_CITATION {"citationID":"FwFMZHUY","properties":{"unsorted":true,"formattedCitation":"\\super 26,63\\uc0\\u8211{}67\\nosupersub{}","plainCitation":"26,63</w:instrText>
      </w:r>
      <w:r>
        <w:rPr>
          <w:rFonts w:hint="eastAsia"/>
        </w:rPr>
        <w:instrText>–</w:instrText>
      </w:r>
      <w:r>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L."}],"issued":{"date-parts":[["2004",3,20]]}}},{"id":267,"uris":["http://zotero.org/users/19404620/items/FLDCEDH2"],"itemData":{"id":267,"type":"article-journal","abstract":"Darunavir (DRV) is a high affinity (4.5 </w:instrText>
      </w:r>
      <w:r>
        <w:rPr>
          <w:rFonts w:hint="eastAsia"/>
        </w:rPr>
        <w:instrText>×</w:instrText>
      </w:r>
      <w:r>
        <w:instrText xml:space="preserve"> 10−12 M, </w:instrText>
      </w:r>
      <w:r>
        <w:rPr>
          <w:rFonts w:hint="eastAsia"/>
        </w:rPr>
        <w:instrText>Δ</w:instrText>
      </w:r>
      <w:r>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Pr>
          <w:rFonts w:hint="eastAsia"/>
        </w:rPr>
        <w:instrText>Δ</w:instrText>
      </w:r>
      <w:r>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Pr>
          <w:rFonts w:hint="eastAsia"/>
        </w:rPr>
        <w:instrText>’</w:instrText>
      </w:r>
      <w:r>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Pr>
          <w:rFonts w:hint="eastAsia"/>
        </w:rPr>
        <w:instrText>Å</w:instrText>
      </w:r>
      <w:r>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fldChar w:fldCharType="separate"/>
      </w:r>
      <w:r>
        <w:rPr>
          <w:rFonts w:cs="Mangal"/>
          <w:szCs w:val="24"/>
          <w:vertAlign w:val="superscript"/>
          <w:lang w:bidi="hi-IN"/>
        </w:rPr>
        <w:t>26,63–67</w:t>
      </w:r>
      <w:r>
        <w:fldChar w:fldCharType="end"/>
        <w:t xml:space="preserve"> and cancer.</w:t>
        <w:fldChar w:fldCharType="begin"/>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fldChar w:fldCharType="separate"/>
      </w:r>
      <w:r>
        <w:rPr>
          <w:rFonts w:cs="Mangal"/>
          <w:szCs w:val="24"/>
          <w:vertAlign w:val="superscript"/>
          <w:lang w:bidi="hi-IN"/>
        </w:rPr>
        <w:t>68,69</w:t>
      </w:r>
      <w:r>
        <w:fldChar w:fldCharType="end"/>
        <w:t xml:space="preserve"> For transparency and reproducibility, we used open source alternatives to the more widely-used, commercial FEP workflows.</w:t>
        <w:fldChar w:fldCharType="begin"/>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Pr>
          <w:rFonts w:ascii="Cambria Math" w:hAnsi="Cambria Math" w:cs="Cambria Math"/>
        </w:rPr>
        <w:instrText>∼</w:instrText>
      </w:r>
      <w:r>
        <w:instrText>5</w:instrText>
      </w:r>
      <w:r>
        <w:rPr>
          <w:rFonts w:hint="eastAsia"/>
        </w:rPr>
        <w:instrText>×</w:instrText>
      </w:r>
      <w:r>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Pr>
          <w:rFonts w:hint="eastAsia"/>
        </w:rPr>
        <w:instrText>ö</w:instrText>
      </w:r>
      <w:r>
        <w:instrText>se","given":"Dietrich"},{"family":"Buchstaller","given":"Hans-Peter"},{"family":"Burgdorf","given":"Lars"},{"family":"Cappel","given":"Daniel"},{"family":"Chekler","given":"Eugene"},{"family":"Czodrowski","given":"Paul"},{"family":"Dorsch","given":"Dieter"},{"family":"Eguida","given":"Merveille K. I."},{"family":"Follows","given":"Bruce"},{"family":"Fuch</w:instrText>
      </w:r>
      <w:r>
        <w:rPr>
          <w:rFonts w:hint="eastAsia"/>
        </w:rPr>
        <w:instrText>ß</w:instrText>
      </w:r>
      <w:r>
        <w:instrText>","given":"Thomas"},{"family":"Gr</w:instrText>
      </w:r>
      <w:r>
        <w:rPr>
          <w:rFonts w:hint="eastAsia"/>
        </w:rPr>
        <w:instrText>ä</w:instrText>
      </w:r>
      <w:r>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fldChar w:fldCharType="separate"/>
      </w:r>
      <w:r>
        <w:rPr>
          <w:rFonts w:cs="Mangal"/>
          <w:szCs w:val="24"/>
          <w:vertAlign w:val="superscript"/>
          <w:lang w:bidi="hi-IN"/>
        </w:rPr>
        <w:t>70,71</w:t>
      </w:r>
      <w:r>
        <w:fldChar w:fldCharType="end"/>
      </w:r>
    </w:p>
    <w:p w14:paraId="47EB1EE3"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fldChar w:fldCharType="begin"/>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fldChar w:fldCharType="separate"/>
      </w:r>
      <w:r>
        <w:rPr>
          <w:vertAlign w:val="superscript"/>
        </w:rPr>
        <w:t>9</w:t>
      </w:r>
      <w:r>
        <w:fldChar w:fldCharType="end"/>
        <w:t xml:space="preserve"> and allowing a catalytically productive RT–template/primer–dNTP complex to assemble even with EFV still bound.</w:t>
        <w:fldChar w:fldCharType="begin"/>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fldChar w:fldCharType="separate"/>
      </w:r>
      <w:r>
        <w:rPr>
          <w:vertAlign w:val="superscript"/>
        </w:rPr>
        <w:t>8</w:t>
      </w:r>
      <w:r>
        <w:fldChar w:fldCharType="end"/>
        <w:t xml:space="preserve"> ETR and RPV counter this mechanism by reorienting and repositioning within an altered pocket, preserving productive contacts, and remaining active against these mutant strains.</w:t>
        <w:fldChar w:fldCharType="begin"/>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fldChar w:fldCharType="separate"/>
      </w:r>
      <w:r>
        <w:rPr>
          <w:rFonts w:cs="Mangal"/>
          <w:szCs w:val="24"/>
          <w:vertAlign w:val="superscript"/>
          <w:lang w:bidi="hi-IN"/>
        </w:rPr>
        <w:t>12,13</w:t>
      </w:r>
      <w:r>
        <w:fldChar w:fldCharType="end"/>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fldChar w:fldCharType="begin"/>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rFonts w:cs="Mangal"/>
          <w:szCs w:val="24"/>
          <w:vertAlign w:val="superscript"/>
          <w:lang w:bidi="hi-IN"/>
        </w:rPr>
        <w:t>14,15</w:t>
      </w:r>
      <w:r>
        <w:fldChar w:fldCharType="end"/>
        <w:t xml:space="preserve"> This observation may, in part, explain </w:t>
        <w:lastRenderedPageBreak/>
        <w:t>why K103N+M230L and L100I+K103N also show insignificant binding penalties in our simulations (∆∆G</w:t>
      </w:r>
      <w:r>
        <w:rPr>
          <w:vertAlign w:val="subscript"/>
        </w:rPr>
        <w:t>bind</w:t>
      </w:r>
      <w:r>
        <w:t xml:space="preserve"> = 0.59 ± 0.41 and 0.19 ± 0.68 kcal/mol).</w:t>
      </w:r>
    </w:p>
    <w:bookmarkEnd w:id="2"/>
    <w:p w14:paraId="616038A6" w14:textId="3ACD613E"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fldChar w:fldCharType="begin"/>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Pr>
          <w:rFonts w:hint="eastAsia"/>
        </w:rPr>
        <w:instrText>π–π</w:instrText>
      </w:r>
      <w:r>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Pr>
          <w:rFonts w:hint="eastAsia"/>
        </w:rPr>
        <w:instrText>Å</w:instrText>
      </w:r>
      <w:r>
        <w:instrText xml:space="preserve">, Tyr181Cys RT (efavirenz) to 2.6 </w:instrText>
      </w:r>
      <w:r>
        <w:rPr>
          <w:rFonts w:hint="eastAsia"/>
        </w:rPr>
        <w:instrText>Å</w:instrText>
      </w:r>
      <w:r>
        <w:instrText xml:space="preserve">, Tyr181Cys RT (nevirapine) to 3.0 </w:instrText>
      </w:r>
      <w:r>
        <w:rPr>
          <w:rFonts w:hint="eastAsia"/>
        </w:rPr>
        <w:instrText>Å</w:instrText>
      </w:r>
      <w:r>
        <w:instrText xml:space="preserve">, Tyr181Cys RT (PETT-2) to 3.0 </w:instrText>
      </w:r>
      <w:r>
        <w:rPr>
          <w:rFonts w:hint="eastAsia"/>
        </w:rPr>
        <w:instrText>Å</w:instrText>
      </w:r>
      <w:r>
        <w:instrText xml:space="preserve">, Tyr188Cys RT (nevirapine) to 2.6 </w:instrText>
      </w:r>
      <w:r>
        <w:rPr>
          <w:rFonts w:hint="eastAsia"/>
        </w:rPr>
        <w:instrText>Å</w:instrText>
      </w:r>
      <w:r>
        <w:instrText xml:space="preserve">, Tyr188Cys RT (UC-781) to 2.6 </w:instrText>
      </w:r>
      <w:r>
        <w:rPr>
          <w:rFonts w:hint="eastAsia"/>
        </w:rPr>
        <w:instrText>Å</w:instrText>
      </w:r>
      <w:r>
        <w:instrText xml:space="preserve"> and Tyr188Cys RT (unliganded) to 2.8 </w:instrText>
      </w:r>
      <w:r>
        <w:rPr>
          <w:rFonts w:hint="eastAsia"/>
        </w:rPr>
        <w:instrText>Å</w:instrText>
      </w:r>
      <w:r>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fldChar w:fldCharType="separate"/>
      </w:r>
      <w:r>
        <w:rPr>
          <w:rFonts w:cs="Mangal"/>
          <w:szCs w:val="24"/>
          <w:vertAlign w:val="superscript"/>
          <w:lang w:bidi="hi-IN"/>
        </w:rPr>
        <w:t>10,11,72</w:t>
      </w:r>
      <w:r>
        <w:fldChar w:fldCharType="end"/>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fldChar w:fldCharType="begin"/>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vertAlign w:val="superscript"/>
        </w:rPr>
        <w:t>14,16</w:t>
      </w:r>
      <w:r>
        <w:fldChar w:fldCharType="end"/>
        <w:t xml:space="preserve"> and this asymmetry accounts for the clinical pattern in which Y181C spares DOR while Y188L is among the most resistant single substitutions.</w:t>
        <w:fldChar w:fldCharType="begin"/>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fldChar w:fldCharType="separate"/>
      </w:r>
      <w:r>
        <w:rPr>
          <w:vertAlign w:val="superscript"/>
        </w:rPr>
        <w:t>15</w:t>
      </w:r>
      <w:r>
        <w:fldChar w:fldCharType="end"/>
      </w:r>
    </w:p>
    <w:p w14:paraId="436A294C" w14:textId="563A9F99"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fldChar w:fldCharType="begin"/>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fldChar w:fldCharType="separate"/>
      </w:r>
      <w:r>
        <w:rPr>
          <w:vertAlign w:val="superscript"/>
        </w:rPr>
        <w:t>6</w:t>
      </w:r>
      <w:r>
        <w:fldChar w:fldCharType="end"/>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fldChar w:fldCharType="begin"/>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fldChar w:fldCharType="separate"/>
      </w:r>
      <w:r>
        <w:rPr>
          <w:rFonts w:cs="Mangal"/>
          <w:szCs w:val="24"/>
          <w:vertAlign w:val="superscript"/>
          <w:lang w:bidi="hi-IN"/>
        </w:rPr>
        <w:t>73</w:t>
      </w:r>
      <w:r>
        <w:fldChar w:fldCharType="end"/>
        <w:t xml:space="preserve"> so it is possible that the mechanism of DOR resistance associated with G190E may not be a binding effect.</w:t>
      </w:r>
    </w:p>
    <w:p w14:paraId="5ABF1F26" w14:textId="0F6CCAF5"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fldChar w:fldCharType="begin"/>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Pr>
          <w:rFonts w:hint="eastAsia"/>
        </w:rPr>
        <w:instrText>–</w:instrText>
      </w:r>
      <w:r>
        <w:instrText>inhibitor complexes. Val108 does not have direct contact with nevirapine in wild-type RT and in the RT(Val108Ile) complex the biggest change observed is at the distally positioned Tyr181 which is &gt;8</w:instrText>
      </w:r>
      <w:r>
        <w:rPr>
          <w:rFonts w:hint="eastAsia"/>
        </w:rPr>
        <w:instrText>Å</w:instrText>
      </w:r>
      <w:r>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fldChar w:fldCharType="separate"/>
      </w:r>
      <w:r>
        <w:rPr>
          <w:rFonts w:cs="Mangal"/>
          <w:szCs w:val="24"/>
          <w:vertAlign w:val="superscript"/>
          <w:lang w:bidi="hi-IN"/>
        </w:rPr>
        <w:t>74</w:t>
      </w:r>
      <w:r>
        <w:fldChar w:fldCharType="end"/>
        <w:t xml:space="preserve"> consistent with V106A being the primary </w:t>
      </w:r>
      <w:r>
        <w:rPr>
          <w:i/>
          <w:iCs/>
        </w:rPr>
        <w:t xml:space="preserve">in vitro </w:t>
      </w:r>
      <w:r>
        <w:t>DOR resistance pathway, from which F227L and L234I subsequently emerge</w:t>
        <w:fldChar w:fldCharType="begin"/>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vertAlign w:val="superscript"/>
        </w:rPr>
        <w:t>16</w:t>
      </w:r>
      <w:r>
        <w:fldChar w:fldCharType="end"/>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fldChar w:fldCharType="begin"/>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fldChar w:fldCharType="separate"/>
      </w:r>
      <w:r>
        <w:rPr>
          <w:rFonts w:cs="Mangal"/>
          <w:szCs w:val="24"/>
          <w:vertAlign w:val="superscript"/>
          <w:lang w:bidi="hi-IN"/>
        </w:rPr>
        <w:t>75</w:t>
      </w:r>
      <w:r>
        <w:fldChar w:fldCharType="end"/>
        <w:t xml:space="preserve"> and V106A/V106M is the primary resistance pathway in subtypes A and C as well as B.</w:t>
        <w:fldChar w:fldCharType="begin"/>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fldChar w:fldCharType="separate"/>
      </w:r>
      <w:r>
        <w:rPr>
          <w:vertAlign w:val="superscript"/>
        </w:rPr>
        <w:t>16</w:t>
      </w:r>
      <w:r>
        <w:fldChar w:fldCharType="end"/>
      </w:r>
    </w:p>
    <w:p w14:paraId="711AED23" w14:textId="26BE86C0"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fldChar w:fldCharType="begin"/>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fldChar w:fldCharType="separate"/>
      </w:r>
      <w:r>
        <w:rPr>
          <w:vertAlign w:val="superscript"/>
        </w:rPr>
        <w:t>34</w:t>
      </w:r>
      <w:r>
        <w:fldChar w:fldCharType="end"/>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fldChar w:fldCharType="begin"/>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Pr>
          <w:rFonts w:hint="eastAsia"/>
        </w:rPr>
        <w:instrText>“</w:instrText>
      </w:r>
      <w:r>
        <w:instrText>primer grip</w:instrText>
      </w:r>
      <w:r>
        <w:rPr>
          <w:rFonts w:hint="eastAsia"/>
        </w:rPr>
        <w:instrText>”</w:instrText>
      </w:r>
      <w:r>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Pr>
          <w:rFonts w:hint="eastAsia"/>
        </w:rPr>
        <w:instrText>“</w:instrText>
      </w:r>
      <w:r>
        <w:instrText>precleaved</w:instrText>
      </w:r>
      <w:r>
        <w:rPr>
          <w:rFonts w:hint="eastAsia"/>
        </w:rPr>
        <w:instrText>”</w:instrText>
      </w:r>
      <w:r>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fldChar w:fldCharType="separate"/>
      </w:r>
      <w:r>
        <w:rPr>
          <w:rFonts w:cs="Mangal"/>
          <w:szCs w:val="24"/>
          <w:vertAlign w:val="superscript"/>
          <w:lang w:bidi="hi-IN"/>
        </w:rPr>
        <w:t>76</w:t>
      </w:r>
      <w:r>
        <w:fldChar w:fldCharType="end"/>
        <w:t xml:space="preserve"> and M230L impairs RT enzymatic function and viral replicative capacity in addition to reducing NNRTI susceptibility.</w:t>
        <w:fldChar w:fldCharType="begin"/>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fldChar w:fldCharType="separate"/>
      </w:r>
      <w:r>
        <w:rPr>
          <w:rFonts w:cs="Mangal"/>
          <w:szCs w:val="24"/>
          <w:vertAlign w:val="superscript"/>
          <w:lang w:bidi="hi-IN"/>
        </w:rPr>
        <w:t>77</w:t>
      </w:r>
      <w:r>
        <w:fldChar w:fldCharType="end"/>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fldChar w:fldCharType="begin"/>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fldChar w:fldCharType="separate"/>
      </w:r>
      <w:r>
        <w:rPr>
          <w:rFonts w:cs="Mangal"/>
          <w:szCs w:val="24"/>
          <w:vertAlign w:val="superscript"/>
          <w:lang w:bidi="hi-IN"/>
        </w:rPr>
        <w:t>78,79</w:t>
      </w:r>
      <w:r>
        <w:fldChar w:fldCharType="end"/>
        <w:t xml:space="preserve"> enhanced sampling techniques,</w:t>
        <w:fldChar w:fldCharType="begin"/>
        <w:instrText xml:space="preserve"> ADDIN ZOTERO_ITEM CSL_CITATION {"citationID":"rSbnknBS","properties":{"unsorted":true,"formattedCitation":"\\super 80\\uc0\\u8211{}82\\nosupersub{}","plainCitation":"80</w:instrText>
      </w:r>
      <w:r>
        <w:rPr>
          <w:rFonts w:hint="eastAsia"/>
        </w:rPr>
        <w:instrText>–</w:instrText>
      </w:r>
      <w:r>
        <w:instrText>82","noteIndex":0},"citationItems":[{"id":344,"uris":["http://zotero.org/users/19404620/items/LYV9Y28D"],"itemData":{"id":344,"type":"article-journal","abstract":"Understanding the structural mechanisms of protein</w:instrText>
      </w:r>
      <w:r>
        <w:rPr>
          <w:rFonts w:hint="eastAsia"/>
        </w:rPr>
        <w:instrText>–</w:instrText>
      </w:r>
      <w:r>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Pr>
          <w:rFonts w:hint="eastAsia"/>
        </w:rPr>
        <w:instrText>μ</w:instrText>
      </w:r>
      <w:r>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Pr>
          <w:rFonts w:hint="eastAsia"/>
        </w:rPr>
        <w:instrText>é</w:instrText>
      </w:r>
      <w:r>
        <w:instrText>","given":"Frank"}],"issued":{"date-parts":[["2015",7,2]]}}},{"id":342,"uris":["http://zotero.org/users/19404620/items/QEBNVLBI"],"itemData":{"id":342,"type":"article-journal","abstract":"The ability to predict the mechanisms and the associated rate constants of protein</w:instrText>
      </w:r>
      <w:r>
        <w:rPr>
          <w:rFonts w:hint="eastAsia"/>
        </w:rPr>
        <w:instrText>–</w:instrText>
      </w:r>
      <w:r>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Pr>
          <w:rFonts w:hint="eastAsia"/>
        </w:rPr>
        <w:instrText>–</w:instrText>
      </w:r>
      <w:r>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Pr>
          <w:rFonts w:hint="eastAsia"/>
        </w:rPr>
        <w:instrText>–</w:instrText>
      </w:r>
      <w:r>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Pr>
          <w:rFonts w:hint="eastAsia"/>
        </w:rPr>
        <w:instrText>–</w:instrText>
      </w:r>
      <w:r>
        <w:instrText>ligand unbinding: Predicting pathways, rates, and rate-limiting steps","title-short":"Kinetics of protein</w:instrText>
      </w:r>
      <w:r>
        <w:rPr>
          <w:rFonts w:hint="eastAsia"/>
        </w:rPr>
        <w:instrText>–</w:instrText>
      </w:r>
      <w:r>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Pr>
          <w:rFonts w:hint="eastAsia"/>
        </w:rPr>
        <w:instrText>–</w:instrText>
      </w:r>
      <w:r>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Pr>
          <w:rFonts w:hint="eastAsia"/>
        </w:rPr>
        <w:instrText>–</w:instrText>
      </w:r>
      <w:r>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fldChar w:fldCharType="separate"/>
      </w:r>
      <w:r>
        <w:rPr>
          <w:rFonts w:cs="Mangal"/>
          <w:szCs w:val="24"/>
          <w:vertAlign w:val="superscript"/>
          <w:lang w:bidi="hi-IN"/>
        </w:rPr>
        <w:t>80–82</w:t>
      </w:r>
      <w:r>
        <w:fldChar w:fldCharType="end"/>
        <w:t xml:space="preserve"> and machine learning.</w:t>
        <w:fldChar w:fldCharType="begin"/>
        <w:instrText xml:space="preserve"> ADDIN ZOTERO_ITEM CSL_CITATION {"citationID":"QwpykdhK","properties":{"unsorted":false,"formattedCitation":"\\super 83\\uc0\\u8211{}85\\nosupersub{}","plainCitation":"83</w:instrText>
      </w:r>
      <w:r>
        <w:rPr>
          <w:rFonts w:hint="eastAsia"/>
        </w:rPr>
        <w:instrText>–</w:instrText>
      </w:r>
      <w:r>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Pr>
          <w:rFonts w:hint="eastAsia"/>
        </w:rPr>
        <w:instrText>ä</w:instrText>
      </w:r>
      <w:r>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Pr>
          <w:rFonts w:hint="eastAsia"/>
        </w:rPr>
        <w:instrText>–</w:instrText>
      </w:r>
      <w:r>
        <w:instrText>protein binding affinity. Crucially, it achieves strong correlation with experimental readouts on many benchmarks, while being at least 1000</w:instrText>
      </w:r>
      <w:r>
        <w:rPr>
          <w:rFonts w:hint="eastAsia"/>
        </w:rPr>
        <w:instrText>×</w:instrText>
      </w:r>
      <w:r>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fldChar w:fldCharType="separate"/>
      </w:r>
      <w:r>
        <w:rPr>
          <w:rFonts w:cs="Mangal"/>
          <w:szCs w:val="24"/>
          <w:vertAlign w:val="superscript"/>
          <w:lang w:bidi="hi-IN"/>
        </w:rPr>
        <w:t>83–85</w:t>
      </w:r>
      <w:r>
        <w:fldChar w:fldCharType="end"/>
      </w:r>
    </w:p>
    <w:p>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ΔEelec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592EF9B4"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orcid.org/0000-0001-8731-1271</w:t>
      </w:r>
    </w:p>
    <w:p w14:paraId="33AC7385" w14:textId="6529ACEB"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orcid.org/0000-0003-2513-2643</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395FAEF9" w14:textId="77777777" w:rsidR="008A2546" w:rsidRPr="008A2546" w:rsidRDefault="00574C6E" w:rsidP="008A2546">
      <w:pPr>
        <w:pStyle w:val="Bibliography"/>
        <w:rPr>
          <w:lang w:bidi="hi-IN"/>
        </w:rPr>
      </w:pPr>
      <w:r>
        <w:fldChar w:fldCharType="begin"/>
        <w:instrText xml:space="preserve"> ADDIN ZOTERO_BIBL {"uncited":[],"omitted":[],"custom":[]} CSL_BIBLIOGRAPHY </w:instrText>
        <w:fldChar w:fldCharType="separate"/>
      </w:r>
      <w:r>
        <w:rPr>
          <w:lang w:bidi="hi-IN"/>
        </w:rPr>
        <w:t>(1)</w:t>
        <w:tab/>
        <w:t xml:space="preserve">Kohlstaedt, L. A.; Wang, J.; Friedman, J. M.; Rice, P. A.; Steitz, T. A. Crystal Structure at 3.5 Å Resolution of HIV-1 Reverse Transcriptase Complexed with an Inhibitor. </w:t>
      </w:r>
      <w:r>
        <w:rPr>
          <w:i/>
          <w:iCs/>
          <w:lang w:bidi="hi-IN"/>
        </w:rPr>
        <w:t>Science</w:t>
      </w:r>
      <w:r>
        <w:rPr>
          <w:lang w:bidi="hi-IN"/>
        </w:rPr>
        <w:t xml:space="preserve"> </w:t>
      </w:r>
      <w:r>
        <w:rPr>
          <w:b/>
          <w:bCs/>
          <w:lang w:bidi="hi-IN"/>
        </w:rPr>
        <w:t>1992</w:t>
      </w:r>
      <w:r>
        <w:rPr>
          <w:lang w:bidi="hi-IN"/>
        </w:rPr>
        <w:t xml:space="preserve">, </w:t>
      </w:r>
      <w:r>
        <w:rPr>
          <w:i/>
          <w:iCs/>
          <w:lang w:bidi="hi-IN"/>
        </w:rPr>
        <w:t>256</w:t>
      </w:r>
      <w:r>
        <w:rPr>
          <w:lang w:bidi="hi-IN"/>
        </w:rPr>
        <w:t xml:space="preserve"> (5065), 1783–1790. https://doi.org/10.1126/science.1377403</w:t>
      </w:r>
    </w:p>
    <w:p w14:paraId="26C85030" w14:textId="77777777" w:rsidR="008A2546" w:rsidRPr="008A2546" w:rsidRDefault="008A2546" w:rsidP="008A2546">
      <w:pPr>
        <w:pStyle w:val="Bibliography"/>
        <w:rPr>
          <w:lang w:bidi="hi-IN"/>
        </w:rPr>
      </w:pPr>
      <w:r>
        <w:rPr>
          <w:lang w:bidi="hi-IN"/>
        </w:rPr>
        <w:t>(2)</w:t>
        <w:tab/>
        <w:t xml:space="preserve">Spence, R. A.; Kati, W. M.; Anderson, K. S.; Johnson, K. A. Mechanism of Inhibition of HIV-1 Reverse Transcriptase by Nonnucleoside Inhibitors. </w:t>
      </w:r>
      <w:r>
        <w:rPr>
          <w:i/>
          <w:iCs/>
          <w:lang w:bidi="hi-IN"/>
        </w:rPr>
        <w:t>Science</w:t>
      </w:r>
      <w:r>
        <w:rPr>
          <w:lang w:bidi="hi-IN"/>
        </w:rPr>
        <w:t xml:space="preserve"> </w:t>
      </w:r>
      <w:r>
        <w:rPr>
          <w:b/>
          <w:bCs/>
          <w:lang w:bidi="hi-IN"/>
        </w:rPr>
        <w:t>1995</w:t>
      </w:r>
      <w:r>
        <w:rPr>
          <w:lang w:bidi="hi-IN"/>
        </w:rPr>
        <w:t xml:space="preserve">, </w:t>
      </w:r>
      <w:r>
        <w:rPr>
          <w:i/>
          <w:iCs/>
          <w:lang w:bidi="hi-IN"/>
        </w:rPr>
        <w:t>267</w:t>
      </w:r>
      <w:r>
        <w:rPr>
          <w:lang w:bidi="hi-IN"/>
        </w:rPr>
        <w:t xml:space="preserve"> (5200), 988–993. https://doi.org/10.1126/science.7532321</w:t>
      </w:r>
    </w:p>
    <w:p w14:paraId="6DB91115" w14:textId="77777777" w:rsidR="008A2546" w:rsidRPr="008A2546" w:rsidRDefault="008A2546" w:rsidP="008A2546">
      <w:pPr>
        <w:pStyle w:val="Bibliography"/>
        <w:rPr>
          <w:lang w:bidi="hi-IN"/>
        </w:rPr>
      </w:pPr>
      <w:r>
        <w:rPr>
          <w:lang w:bidi="hi-IN"/>
        </w:rPr>
        <w:t>(3)</w:t>
        <w:tab/>
        <w:t xml:space="preserve">Rodgers, D. W.; Gamblin, S. J.; Harris, B. A.; Ray, S.; Culp, J. S.; Hellmig, B.; Woolf, D. J.; Debouck, C.; Harrison, S. C. The Structure of Unliganded Reverse Transcriptase from the Human Immunodeficiency Virus Type 1. </w:t>
      </w:r>
      <w:r>
        <w:rPr>
          <w:i/>
          <w:iCs/>
          <w:lang w:bidi="hi-IN"/>
        </w:rPr>
        <w:t>Proceedings of the National Academy of Sciences</w:t>
      </w:r>
      <w:r>
        <w:rPr>
          <w:lang w:bidi="hi-IN"/>
        </w:rPr>
        <w:t xml:space="preserve"> </w:t>
      </w:r>
      <w:r>
        <w:rPr>
          <w:b/>
          <w:bCs/>
          <w:lang w:bidi="hi-IN"/>
        </w:rPr>
        <w:t>1995</w:t>
      </w:r>
      <w:r>
        <w:rPr>
          <w:lang w:bidi="hi-IN"/>
        </w:rPr>
        <w:t xml:space="preserve">, </w:t>
      </w:r>
      <w:r>
        <w:rPr>
          <w:i/>
          <w:iCs/>
          <w:lang w:bidi="hi-IN"/>
        </w:rPr>
        <w:t>92</w:t>
      </w:r>
      <w:r>
        <w:rPr>
          <w:lang w:bidi="hi-IN"/>
        </w:rPr>
        <w:t xml:space="preserve"> (4), 1222–1226. https://doi.org/10.1073/pnas.92.4.1222</w:t>
      </w:r>
    </w:p>
    <w:p w14:paraId="6FD1560D" w14:textId="77777777" w:rsidR="008A2546" w:rsidRPr="008A2546" w:rsidRDefault="008A2546" w:rsidP="008A2546">
      <w:pPr>
        <w:pStyle w:val="Bibliography"/>
        <w:rPr>
          <w:lang w:bidi="hi-IN"/>
        </w:rPr>
      </w:pPr>
      <w:r>
        <w:rPr>
          <w:lang w:bidi="hi-IN"/>
        </w:rPr>
        <w:t>(4)</w:t>
        <w:tab/>
        <w:t xml:space="preserve">Hsiou, Y.; Ding, J.; Das, K.; AD Clark, J.; Hughes, S. H.; Arnold, E. Structure of Unliganded HIV-1 Reverse Transcriptase at 2.7 å Resolution: Implications of Conformational Changes for Polymerization and Inhibition Mechanisms. </w:t>
      </w:r>
      <w:r>
        <w:rPr>
          <w:i/>
          <w:iCs/>
          <w:lang w:bidi="hi-IN"/>
        </w:rPr>
        <w:t>Structure</w:t>
      </w:r>
      <w:r>
        <w:rPr>
          <w:lang w:bidi="hi-IN"/>
        </w:rPr>
        <w:t xml:space="preserve"> </w:t>
      </w:r>
      <w:r>
        <w:rPr>
          <w:b/>
          <w:bCs/>
          <w:lang w:bidi="hi-IN"/>
        </w:rPr>
        <w:t>1996</w:t>
      </w:r>
      <w:r>
        <w:rPr>
          <w:lang w:bidi="hi-IN"/>
        </w:rPr>
        <w:t xml:space="preserve">, </w:t>
      </w:r>
      <w:r>
        <w:rPr>
          <w:i/>
          <w:iCs/>
          <w:lang w:bidi="hi-IN"/>
        </w:rPr>
        <w:t>4</w:t>
      </w:r>
      <w:r>
        <w:rPr>
          <w:lang w:bidi="hi-IN"/>
        </w:rPr>
        <w:t xml:space="preserve"> (7), 853–860. https://doi.org/10.1016/S0969-2126(96)00091-3</w:t>
      </w:r>
    </w:p>
    <w:p w14:paraId="4CDF217D" w14:textId="77777777" w:rsidR="008A2546" w:rsidRPr="008A2546" w:rsidRDefault="008A2546" w:rsidP="008A2546">
      <w:pPr>
        <w:pStyle w:val="Bibliography"/>
        <w:rPr>
          <w:lang w:bidi="hi-IN"/>
        </w:rPr>
      </w:pPr>
      <w:r>
        <w:rPr>
          <w:lang w:bidi="hi-IN"/>
        </w:rPr>
        <w:t>(5)</w:t>
        <w:tab/>
        <w:t xml:space="preserve">Arts, E. J.; Hazuda, D. J. HIV-1 Antiretroviral Drug Therapy. </w:t>
      </w:r>
      <w:r>
        <w:rPr>
          <w:i/>
          <w:iCs/>
          <w:lang w:bidi="hi-IN"/>
        </w:rPr>
        <w:t>Cold Spring Harb Perspect Med</w:t>
      </w:r>
      <w:r>
        <w:rPr>
          <w:lang w:bidi="hi-IN"/>
        </w:rPr>
        <w:t xml:space="preserve"> </w:t>
      </w:r>
      <w:r>
        <w:rPr>
          <w:b/>
          <w:bCs/>
          <w:lang w:bidi="hi-IN"/>
        </w:rPr>
        <w:t>2012</w:t>
      </w:r>
      <w:r>
        <w:rPr>
          <w:lang w:bidi="hi-IN"/>
        </w:rPr>
        <w:t xml:space="preserve">, </w:t>
      </w:r>
      <w:r>
        <w:rPr>
          <w:i/>
          <w:iCs/>
          <w:lang w:bidi="hi-IN"/>
        </w:rPr>
        <w:t>2</w:t>
      </w:r>
      <w:r>
        <w:rPr>
          <w:lang w:bidi="hi-IN"/>
        </w:rPr>
        <w:t xml:space="preserve"> (4), a007161. https://doi.org/10.1101/cshperspect.a007161</w:t>
      </w:r>
    </w:p>
    <w:p w14:paraId="2714A07D" w14:textId="77777777" w:rsidR="008A2546" w:rsidRPr="008A2546" w:rsidRDefault="008A2546" w:rsidP="008A2546">
      <w:pPr>
        <w:pStyle w:val="Bibliography"/>
        <w:rPr>
          <w:lang w:bidi="hi-IN"/>
        </w:rPr>
      </w:pPr>
      <w:r>
        <w:rPr>
          <w:lang w:bidi="hi-IN"/>
        </w:rPr>
        <w:t>(6)</w:t>
        <w:tab/>
        <w:t xml:space="preserve">Cilento, M. E.; Kirby, K. A.; Sarafianos, S. G. Avoiding Drug Resistance in HIV Reverse Transcriptase. </w:t>
      </w:r>
      <w:r>
        <w:rPr>
          <w:i/>
          <w:iCs/>
          <w:lang w:bidi="hi-IN"/>
        </w:rPr>
        <w:t>Chem. Rev.</w:t>
      </w:r>
      <w:r>
        <w:rPr>
          <w:lang w:bidi="hi-IN"/>
        </w:rPr>
        <w:t xml:space="preserve"> </w:t>
      </w:r>
      <w:r>
        <w:rPr>
          <w:b/>
          <w:bCs/>
          <w:lang w:bidi="hi-IN"/>
        </w:rPr>
        <w:t>2021</w:t>
      </w:r>
      <w:r>
        <w:rPr>
          <w:lang w:bidi="hi-IN"/>
        </w:rPr>
        <w:t xml:space="preserve">, </w:t>
      </w:r>
      <w:r>
        <w:rPr>
          <w:i/>
          <w:iCs/>
          <w:lang w:bidi="hi-IN"/>
        </w:rPr>
        <w:t>121</w:t>
      </w:r>
      <w:r>
        <w:rPr>
          <w:lang w:bidi="hi-IN"/>
        </w:rPr>
        <w:t xml:space="preserve"> (6), 3271–3296. https://doi.org/10.1021/acs.chemrev.0c00967</w:t>
      </w:r>
    </w:p>
    <w:p w14:paraId="5D5D9A59" w14:textId="77777777" w:rsidR="008A2546" w:rsidRPr="008A2546" w:rsidRDefault="008A2546" w:rsidP="008A2546">
      <w:pPr>
        <w:pStyle w:val="Bibliography"/>
        <w:rPr>
          <w:lang w:bidi="hi-IN"/>
        </w:rPr>
      </w:pPr>
      <w:r>
        <w:rPr>
          <w:lang w:bidi="hi-IN"/>
        </w:rPr>
        <w:t>(7)</w:t>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Pr>
          <w:i/>
          <w:iCs/>
          <w:lang w:bidi="hi-IN"/>
        </w:rPr>
        <w:t>Journal of Molecular Biology</w:t>
      </w:r>
      <w:r>
        <w:rPr>
          <w:lang w:bidi="hi-IN"/>
        </w:rPr>
        <w:t xml:space="preserve"> </w:t>
      </w:r>
      <w:r>
        <w:rPr>
          <w:b/>
          <w:bCs/>
          <w:lang w:bidi="hi-IN"/>
        </w:rPr>
        <w:t>1994</w:t>
      </w:r>
      <w:r>
        <w:rPr>
          <w:lang w:bidi="hi-IN"/>
        </w:rPr>
        <w:t xml:space="preserve">, </w:t>
      </w:r>
      <w:r>
        <w:rPr>
          <w:i/>
          <w:iCs/>
          <w:lang w:bidi="hi-IN"/>
        </w:rPr>
        <w:t>243</w:t>
      </w:r>
      <w:r>
        <w:rPr>
          <w:lang w:bidi="hi-IN"/>
        </w:rPr>
        <w:t xml:space="preserve"> (3), 369–387. https://doi.org/10.1006/jmbi.1994.1665</w:t>
      </w:r>
    </w:p>
    <w:p w14:paraId="6AF73859" w14:textId="77777777" w:rsidR="008A2546" w:rsidRPr="008A2546" w:rsidRDefault="008A2546" w:rsidP="008A2546">
      <w:pPr>
        <w:pStyle w:val="Bibliography"/>
        <w:rPr>
          <w:lang w:bidi="hi-IN"/>
        </w:rPr>
      </w:pPr>
      <w:r>
        <w:rPr>
          <w:lang w:bidi="hi-IN"/>
        </w:rPr>
        <w:t>(8)</w:t>
        <w:tab/>
        <w:t xml:space="preserve">Schauer, G. D.; Huber, K. D.; Leuba, S. H.; Sluis-Cremer, N. Mechanism of Allosteric Inhibition of HIV-1 Reverse Transcriptase Revealed by Single-Molecule and Ensemble Fluorescence. </w:t>
      </w:r>
      <w:r>
        <w:rPr>
          <w:i/>
          <w:iCs/>
          <w:lang w:bidi="hi-IN"/>
        </w:rPr>
        <w:t>Nucleic Acids Res</w:t>
      </w:r>
      <w:r>
        <w:rPr>
          <w:lang w:bidi="hi-IN"/>
        </w:rPr>
        <w:t xml:space="preserve"> </w:t>
      </w:r>
      <w:r>
        <w:rPr>
          <w:b/>
          <w:bCs/>
          <w:lang w:bidi="hi-IN"/>
        </w:rPr>
        <w:t>2014</w:t>
      </w:r>
      <w:r>
        <w:rPr>
          <w:lang w:bidi="hi-IN"/>
        </w:rPr>
        <w:t xml:space="preserve">, </w:t>
      </w:r>
      <w:r>
        <w:rPr>
          <w:i/>
          <w:iCs/>
          <w:lang w:bidi="hi-IN"/>
        </w:rPr>
        <w:t>42</w:t>
      </w:r>
      <w:r>
        <w:rPr>
          <w:lang w:bidi="hi-IN"/>
        </w:rPr>
        <w:t xml:space="preserve"> (18), 11687–11696. https://doi.org/10.1093/nar/gku819</w:t>
      </w:r>
    </w:p>
    <w:p w14:paraId="29399D61" w14:textId="77777777" w:rsidR="008A2546" w:rsidRPr="008A2546" w:rsidRDefault="008A2546" w:rsidP="008A2546">
      <w:pPr>
        <w:pStyle w:val="Bibliography"/>
        <w:rPr>
          <w:lang w:bidi="hi-IN"/>
        </w:rPr>
      </w:pPr>
      <w:r>
        <w:rPr>
          <w:lang w:bidi="hi-IN"/>
        </w:rPr>
        <w:lastRenderedPageBreak/>
        <w:t>(9)</w:t>
        <w:tab/>
        <w:t xml:space="preserve">Hsiou, Y.; Ding, J.; Das, K.; Clark, A. D.; Boyer, P. L.; Lewi, P.; Janssen, P. A. J.; Kleim, J.-P.; Rösner, M.; Hughes, S. H.; Arnold, E. The Lys103Asn Mutation of HIV-1 RT: A Novel Mechanism of Drug Resistance. </w:t>
      </w:r>
      <w:r>
        <w:rPr>
          <w:i/>
          <w:iCs/>
          <w:lang w:bidi="hi-IN"/>
        </w:rPr>
        <w:t>Journal of Molecular Biology</w:t>
      </w:r>
      <w:r>
        <w:rPr>
          <w:lang w:bidi="hi-IN"/>
        </w:rPr>
        <w:t xml:space="preserve"> </w:t>
      </w:r>
      <w:r>
        <w:rPr>
          <w:b/>
          <w:bCs/>
          <w:lang w:bidi="hi-IN"/>
        </w:rPr>
        <w:t>2001</w:t>
      </w:r>
      <w:r>
        <w:rPr>
          <w:lang w:bidi="hi-IN"/>
        </w:rPr>
        <w:t xml:space="preserve">, </w:t>
      </w:r>
      <w:r>
        <w:rPr>
          <w:i/>
          <w:iCs/>
          <w:lang w:bidi="hi-IN"/>
        </w:rPr>
        <w:t>309</w:t>
      </w:r>
      <w:r>
        <w:rPr>
          <w:lang w:bidi="hi-IN"/>
        </w:rPr>
        <w:t xml:space="preserve"> (2), 437–445. https://doi.org/10.1006/jmbi.2001.4648</w:t>
      </w:r>
    </w:p>
    <w:p w14:paraId="22574D0F" w14:textId="77777777" w:rsidR="008A2546" w:rsidRPr="008A2546" w:rsidRDefault="008A2546" w:rsidP="008A2546">
      <w:pPr>
        <w:pStyle w:val="Bibliography"/>
        <w:rPr>
          <w:lang w:bidi="hi-IN"/>
        </w:rPr>
      </w:pPr>
      <w:r>
        <w:rPr>
          <w:lang w:bidi="hi-IN"/>
        </w:rPr>
        <w:t>(10)</w:t>
        <w:tab/>
        <w:t xml:space="preserve">Lai, M.-T.; Munshi, V.; Lu, M.; Feng, M.; Hrin-Solt, R.; McKenna, P. M.; Hazuda, D. J.; Miller, M. D. Mechanistic Study of Common Non-Nucleoside Reverse Transcriptase Inhibitor-Resistant Mutations with K103N and Y181C Substitutions. </w:t>
      </w:r>
      <w:r>
        <w:rPr>
          <w:i/>
          <w:iCs/>
          <w:lang w:bidi="hi-IN"/>
        </w:rPr>
        <w:t>Viruses</w:t>
      </w:r>
      <w:r>
        <w:rPr>
          <w:lang w:bidi="hi-IN"/>
        </w:rPr>
        <w:t xml:space="preserve"> </w:t>
      </w:r>
      <w:r>
        <w:rPr>
          <w:b/>
          <w:bCs/>
          <w:lang w:bidi="hi-IN"/>
        </w:rPr>
        <w:t>2016</w:t>
      </w:r>
      <w:r>
        <w:rPr>
          <w:lang w:bidi="hi-IN"/>
        </w:rPr>
        <w:t xml:space="preserve">, </w:t>
      </w:r>
      <w:r>
        <w:rPr>
          <w:i/>
          <w:iCs/>
          <w:lang w:bidi="hi-IN"/>
        </w:rPr>
        <w:t>8</w:t>
      </w:r>
      <w:r>
        <w:rPr>
          <w:lang w:bidi="hi-IN"/>
        </w:rPr>
        <w:t xml:space="preserve"> (10), 263. https://doi.org/10.3390/v8100263</w:t>
      </w:r>
    </w:p>
    <w:p w14:paraId="0A34027B" w14:textId="77777777" w:rsidR="008A2546" w:rsidRPr="008A2546" w:rsidRDefault="008A2546" w:rsidP="008A2546">
      <w:pPr>
        <w:pStyle w:val="Bibliography"/>
        <w:rPr>
          <w:lang w:bidi="hi-IN"/>
        </w:rPr>
      </w:pPr>
      <w:r>
        <w:rPr>
          <w:lang w:bidi="hi-IN"/>
        </w:rPr>
        <w:t>(11)</w:t>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Pr>
          <w:i/>
          <w:iCs/>
          <w:lang w:bidi="hi-IN"/>
        </w:rPr>
        <w:t>Journal of Molecular Biology</w:t>
      </w:r>
      <w:r>
        <w:rPr>
          <w:lang w:bidi="hi-IN"/>
        </w:rPr>
        <w:t xml:space="preserve"> </w:t>
      </w:r>
      <w:r>
        <w:rPr>
          <w:b/>
          <w:bCs/>
          <w:lang w:bidi="hi-IN"/>
        </w:rPr>
        <w:t>2001</w:t>
      </w:r>
      <w:r>
        <w:rPr>
          <w:lang w:bidi="hi-IN"/>
        </w:rPr>
        <w:t xml:space="preserve">, </w:t>
      </w:r>
      <w:r>
        <w:rPr>
          <w:i/>
          <w:iCs/>
          <w:lang w:bidi="hi-IN"/>
        </w:rPr>
        <w:t>312</w:t>
      </w:r>
      <w:r>
        <w:rPr>
          <w:lang w:bidi="hi-IN"/>
        </w:rPr>
        <w:t xml:space="preserve"> (4), 795–805. https://doi.org/10.1006/jmbi.2001.4988</w:t>
      </w:r>
    </w:p>
    <w:p w14:paraId="084FEDD9" w14:textId="77777777" w:rsidR="008A2546" w:rsidRPr="008A2546" w:rsidRDefault="008A2546" w:rsidP="008A2546">
      <w:pPr>
        <w:pStyle w:val="Bibliography"/>
        <w:rPr>
          <w:lang w:bidi="hi-IN"/>
        </w:rPr>
      </w:pPr>
      <w:r>
        <w:rPr>
          <w:lang w:bidi="hi-IN"/>
        </w:rPr>
        <w:t>(12)</w:t>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(10), 2550–2560. https://doi.org/10.1021/jm030558s</w:t>
      </w:r>
    </w:p>
    <w:p w14:paraId="7D64440B" w14:textId="77777777" w:rsidR="008A2546" w:rsidRPr="008A2546" w:rsidRDefault="008A2546" w:rsidP="008A2546">
      <w:pPr>
        <w:pStyle w:val="Bibliography"/>
        <w:rPr>
          <w:lang w:bidi="hi-IN"/>
        </w:rPr>
      </w:pPr>
      <w:r>
        <w:rPr>
          <w:lang w:bidi="hi-IN"/>
        </w:rPr>
        <w:t>(13)</w:t>
        <w:tab/>
        <w:t xml:space="preserve">Das, K.; Bauman, J. D.; Clark, A. D.; Frenkel, Y. V.; Lewi, P. J.; Shatkin, A. J.; Hughes, S. H.; Arnold, E. High-Resolution Structures of HIV-1 Reverse Transcriptase/TMC278 Complexes: Strategic Flexibility Explains Potency against Resistance Mutations. </w:t>
      </w:r>
      <w:r>
        <w:rPr>
          <w:i/>
          <w:iCs/>
          <w:lang w:bidi="hi-IN"/>
        </w:rPr>
        <w:t>Proceedings of the National Academy of Sciences</w:t>
      </w:r>
      <w:r>
        <w:rPr>
          <w:lang w:bidi="hi-IN"/>
        </w:rPr>
        <w:t xml:space="preserve"> </w:t>
      </w:r>
      <w:r>
        <w:rPr>
          <w:b/>
          <w:bCs/>
          <w:lang w:bidi="hi-IN"/>
        </w:rPr>
        <w:t>2008</w:t>
      </w:r>
      <w:r>
        <w:rPr>
          <w:lang w:bidi="hi-IN"/>
        </w:rPr>
        <w:t xml:space="preserve">, </w:t>
      </w:r>
      <w:r>
        <w:rPr>
          <w:i/>
          <w:iCs/>
          <w:lang w:bidi="hi-IN"/>
        </w:rPr>
        <w:t>105</w:t>
      </w:r>
      <w:r>
        <w:rPr>
          <w:lang w:bidi="hi-IN"/>
        </w:rPr>
        <w:t xml:space="preserve"> (5), 1466–1471. https://doi.org/10.1073/pnas.0711209105</w:t>
      </w:r>
    </w:p>
    <w:p w14:paraId="0A934C44" w14:textId="77777777" w:rsidR="008A2546" w:rsidRPr="008A2546" w:rsidRDefault="008A2546" w:rsidP="008A2546">
      <w:pPr>
        <w:pStyle w:val="Bibliography"/>
        <w:rPr>
          <w:lang w:bidi="hi-IN"/>
        </w:rPr>
      </w:pPr>
      <w:r>
        <w:rPr>
          <w:lang w:bidi="hi-IN"/>
        </w:rPr>
        <w:t>(14)</w:t>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Pr>
          <w:i/>
          <w:iCs/>
          <w:lang w:bidi="hi-IN"/>
        </w:rPr>
        <w:t>Bioorganic &amp; Medicinal Chemistry Letters</w:t>
      </w:r>
      <w:r>
        <w:rPr>
          <w:lang w:bidi="hi-IN"/>
        </w:rPr>
        <w:t xml:space="preserve"> </w:t>
      </w:r>
      <w:r>
        <w:rPr>
          <w:b/>
          <w:bCs/>
          <w:lang w:bidi="hi-IN"/>
        </w:rPr>
        <w:t>2014</w:t>
      </w:r>
      <w:r>
        <w:rPr>
          <w:lang w:bidi="hi-IN"/>
        </w:rPr>
        <w:t xml:space="preserve">, </w:t>
      </w:r>
      <w:r>
        <w:rPr>
          <w:i/>
          <w:iCs/>
          <w:lang w:bidi="hi-IN"/>
        </w:rPr>
        <w:t>24</w:t>
      </w:r>
      <w:r>
        <w:rPr>
          <w:lang w:bidi="hi-IN"/>
        </w:rPr>
        <w:t xml:space="preserve"> (3), 917–922. https://doi.org/10.1016/j.bmcl.2013.12.070</w:t>
      </w:r>
    </w:p>
    <w:p w14:paraId="4FE18054" w14:textId="77777777" w:rsidR="008A2546" w:rsidRPr="008A2546" w:rsidRDefault="008A2546" w:rsidP="008A2546">
      <w:pPr>
        <w:pStyle w:val="Bibliography"/>
        <w:rPr>
          <w:lang w:bidi="hi-IN"/>
        </w:rPr>
      </w:pPr>
      <w:r>
        <w:rPr>
          <w:lang w:bidi="hi-IN"/>
        </w:rPr>
        <w:t>(15)</w:t>
        <w:tab/>
        <w:t xml:space="preserve">Hwang, C.; Lai, M.-T.; Hazuda, D. Rational Design of Doravirine: From Bench to Patients. </w:t>
      </w:r>
      <w:r>
        <w:rPr>
          <w:i/>
          <w:iCs/>
          <w:lang w:bidi="hi-IN"/>
        </w:rPr>
        <w:t>ACS Infect. Dis.</w:t>
      </w:r>
      <w:r>
        <w:rPr>
          <w:lang w:bidi="hi-IN"/>
        </w:rPr>
        <w:t xml:space="preserve"> </w:t>
      </w:r>
      <w:r>
        <w:rPr>
          <w:b/>
          <w:bCs/>
          <w:lang w:bidi="hi-IN"/>
        </w:rPr>
        <w:t>2020</w:t>
      </w:r>
      <w:r>
        <w:rPr>
          <w:lang w:bidi="hi-IN"/>
        </w:rPr>
        <w:t xml:space="preserve">, </w:t>
      </w:r>
      <w:r>
        <w:rPr>
          <w:i/>
          <w:iCs/>
          <w:lang w:bidi="hi-IN"/>
        </w:rPr>
        <w:t>6</w:t>
      </w:r>
      <w:r>
        <w:rPr>
          <w:lang w:bidi="hi-IN"/>
        </w:rPr>
        <w:t xml:space="preserve"> (1), 64–73. https://doi.org/10.1021/acsinfecdis.9b00178</w:t>
      </w:r>
    </w:p>
    <w:p w14:paraId="1904F620" w14:textId="77777777" w:rsidR="008A2546" w:rsidRPr="008A2546" w:rsidRDefault="008A2546" w:rsidP="008A2546">
      <w:pPr>
        <w:pStyle w:val="Bibliography"/>
        <w:rPr>
          <w:lang w:bidi="hi-IN"/>
        </w:rPr>
      </w:pPr>
      <w:r>
        <w:rPr>
          <w:lang w:bidi="hi-IN"/>
        </w:rPr>
        <w:t>(16)</w:t>
        <w:tab/>
        <w:t xml:space="preserve">Feng, M.; Wang, D.; Grobler, J. A.; Hazuda, D. J.; Miller, M. D.; Lai, M.-T. In Vitro Resistance Selection with Doravirine (MK-1439), a Novel Nonnucleoside Reverse Transcriptase Inhibitor with Distinct Mutation Development Pathways. </w:t>
      </w:r>
      <w:r>
        <w:rPr>
          <w:i/>
          <w:iCs/>
          <w:lang w:bidi="hi-IN"/>
        </w:rPr>
        <w:t>Antimicrobial Agents and Chemotherapy</w:t>
      </w:r>
      <w:r>
        <w:rPr>
          <w:lang w:bidi="hi-IN"/>
        </w:rPr>
        <w:t xml:space="preserve"> </w:t>
      </w:r>
      <w:r>
        <w:rPr>
          <w:b/>
          <w:bCs/>
          <w:lang w:bidi="hi-IN"/>
        </w:rPr>
        <w:t>2015</w:t>
      </w:r>
      <w:r>
        <w:rPr>
          <w:lang w:bidi="hi-IN"/>
        </w:rPr>
        <w:t xml:space="preserve">, </w:t>
      </w:r>
      <w:r>
        <w:rPr>
          <w:i/>
          <w:iCs/>
          <w:lang w:bidi="hi-IN"/>
        </w:rPr>
        <w:t>59</w:t>
      </w:r>
      <w:r>
        <w:rPr>
          <w:lang w:bidi="hi-IN"/>
        </w:rPr>
        <w:t xml:space="preserve"> (1), 590–598. https://doi.org/10.1128/aac.04201-14</w:t>
      </w:r>
    </w:p>
    <w:p w14:paraId="6E62FAC5" w14:textId="77777777" w:rsidR="008A2546" w:rsidRPr="008A2546" w:rsidRDefault="008A2546" w:rsidP="008A2546">
      <w:pPr>
        <w:pStyle w:val="Bibliography"/>
        <w:rPr>
          <w:lang w:bidi="hi-IN"/>
        </w:rPr>
      </w:pPr>
      <w:r>
        <w:rPr>
          <w:lang w:bidi="hi-IN"/>
        </w:rPr>
        <w:lastRenderedPageBreak/>
        <w:t>(17)</w:t>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Pr>
          <w:i/>
          <w:iCs/>
          <w:lang w:bidi="hi-IN"/>
        </w:rPr>
        <w:t>Antimicrobial Agents and Chemotherapy</w:t>
      </w:r>
      <w:r>
        <w:rPr>
          <w:lang w:bidi="hi-IN"/>
        </w:rPr>
        <w:t xml:space="preserve"> </w:t>
      </w:r>
      <w:r>
        <w:rPr>
          <w:b/>
          <w:bCs/>
          <w:lang w:bidi="hi-IN"/>
        </w:rPr>
        <w:t>2014</w:t>
      </w:r>
      <w:r>
        <w:rPr>
          <w:lang w:bidi="hi-IN"/>
        </w:rPr>
        <w:t xml:space="preserve">, </w:t>
      </w:r>
      <w:r>
        <w:rPr>
          <w:i/>
          <w:iCs/>
          <w:lang w:bidi="hi-IN"/>
        </w:rPr>
        <w:t>58</w:t>
      </w:r>
      <w:r>
        <w:rPr>
          <w:lang w:bidi="hi-IN"/>
        </w:rPr>
        <w:t xml:space="preserve"> (3), 1652–1663. https://doi.org/10.1128/aac.02403-13</w:t>
      </w:r>
    </w:p>
    <w:p w14:paraId="663B4CE7" w14:textId="77777777" w:rsidR="008A2546" w:rsidRPr="008A2546" w:rsidRDefault="008A2546" w:rsidP="008A2546">
      <w:pPr>
        <w:pStyle w:val="Bibliography"/>
        <w:rPr>
          <w:lang w:bidi="hi-IN"/>
        </w:rPr>
      </w:pPr>
      <w:r>
        <w:rPr>
          <w:lang w:bidi="hi-IN"/>
        </w:rPr>
        <w:t>(18)</w:t>
        <w:tab/>
        <w:t xml:space="preserve">Rhee, S.-Y.; Schapiro, J. M.; Saladini, F.; Zazzi, M.; Khoo, S.; Shafer, R. W. Potential Role of Doravirine for the Treatment of HIV-1-Infected Persons with Transmitted Drug Resistance. </w:t>
      </w:r>
      <w:r>
        <w:rPr>
          <w:i/>
          <w:iCs/>
          <w:lang w:bidi="hi-IN"/>
        </w:rPr>
        <w:t>AIDS Res Ther</w:t>
      </w:r>
      <w:r>
        <w:rPr>
          <w:lang w:bidi="hi-IN"/>
        </w:rPr>
        <w:t xml:space="preserve"> </w:t>
      </w:r>
      <w:r>
        <w:rPr>
          <w:b/>
          <w:bCs/>
          <w:lang w:bidi="hi-IN"/>
        </w:rPr>
        <w:t>2023</w:t>
      </w:r>
      <w:r>
        <w:rPr>
          <w:lang w:bidi="hi-IN"/>
        </w:rPr>
        <w:t xml:space="preserve">, </w:t>
      </w:r>
      <w:r>
        <w:rPr>
          <w:i/>
          <w:iCs/>
          <w:lang w:bidi="hi-IN"/>
        </w:rPr>
        <w:t>20</w:t>
      </w:r>
      <w:r>
        <w:rPr>
          <w:lang w:bidi="hi-IN"/>
        </w:rPr>
        <w:t xml:space="preserve"> (1), 8. https://doi.org/10.1186/s12981-023-00503-5</w:t>
      </w:r>
    </w:p>
    <w:p w14:paraId="0C0224FE" w14:textId="77777777" w:rsidR="008A2546" w:rsidRPr="008A2546" w:rsidRDefault="008A2546" w:rsidP="008A2546">
      <w:pPr>
        <w:pStyle w:val="Bibliography"/>
        <w:rPr>
          <w:lang w:bidi="hi-IN"/>
        </w:rPr>
      </w:pPr>
      <w:r>
        <w:rPr>
          <w:lang w:bidi="hi-IN"/>
        </w:rPr>
        <w:t>(19)</w:t>
        <w:tab/>
        <w:t xml:space="preserve">Calza, L.; Colangeli, V.; Pensalfine, G.; Appolloni, L.; Vitale, S.; Bon, I.; Viale, P. Doravirine/Lamivudine/Tenofovir Disoproxil Fumarate in Virologically Suppressed People Living with HIV: A Real-Life Experience. </w:t>
      </w:r>
      <w:r>
        <w:rPr>
          <w:i/>
          <w:iCs/>
          <w:lang w:bidi="hi-IN"/>
        </w:rPr>
        <w:t>Int J STD AIDS</w:t>
      </w:r>
      <w:r>
        <w:rPr>
          <w:lang w:bidi="hi-IN"/>
        </w:rPr>
        <w:t xml:space="preserve"> </w:t>
      </w:r>
      <w:r>
        <w:rPr>
          <w:b/>
          <w:bCs/>
          <w:lang w:bidi="hi-IN"/>
        </w:rPr>
        <w:t>2023</w:t>
      </w:r>
      <w:r>
        <w:rPr>
          <w:lang w:bidi="hi-IN"/>
        </w:rPr>
        <w:t xml:space="preserve">, </w:t>
      </w:r>
      <w:r>
        <w:rPr>
          <w:i/>
          <w:iCs/>
          <w:lang w:bidi="hi-IN"/>
        </w:rPr>
        <w:t>34</w:t>
      </w:r>
      <w:r>
        <w:rPr>
          <w:lang w:bidi="hi-IN"/>
        </w:rPr>
        <w:t xml:space="preserve"> (14), 1018–1023. https://doi.org/10.1177/09564624231195084</w:t>
      </w:r>
    </w:p>
    <w:p w14:paraId="4951ED67" w14:textId="77777777" w:rsidR="008A2546" w:rsidRPr="008A2546" w:rsidRDefault="008A2546" w:rsidP="008A2546">
      <w:pPr>
        <w:pStyle w:val="Bibliography"/>
        <w:rPr>
          <w:lang w:bidi="hi-IN"/>
        </w:rPr>
      </w:pPr>
      <w:r>
        <w:rPr>
          <w:lang w:bidi="hi-IN"/>
        </w:rPr>
        <w:t>(20)</w:t>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Pr>
          <w:i/>
          <w:iCs/>
          <w:lang w:bidi="hi-IN"/>
        </w:rPr>
        <w:t>Microbiology Spectrum</w:t>
      </w:r>
      <w:r>
        <w:rPr>
          <w:lang w:bidi="hi-IN"/>
        </w:rPr>
        <w:t xml:space="preserve"> </w:t>
      </w:r>
      <w:r>
        <w:rPr>
          <w:b/>
          <w:bCs/>
          <w:lang w:bidi="hi-IN"/>
        </w:rPr>
        <w:t>2024</w:t>
      </w:r>
      <w:r>
        <w:rPr>
          <w:lang w:bidi="hi-IN"/>
        </w:rPr>
        <w:t xml:space="preserve">, </w:t>
      </w:r>
      <w:r>
        <w:rPr>
          <w:i/>
          <w:iCs/>
          <w:lang w:bidi="hi-IN"/>
        </w:rPr>
        <w:t>12</w:t>
      </w:r>
      <w:r>
        <w:rPr>
          <w:lang w:bidi="hi-IN"/>
        </w:rPr>
        <w:t xml:space="preserve"> (8), e00654-24. https://doi.org/10.1128/spectrum.00654-24</w:t>
      </w:r>
    </w:p>
    <w:p w14:paraId="670D6D0B" w14:textId="77777777" w:rsidR="008A2546" w:rsidRPr="008A2546" w:rsidRDefault="008A2546" w:rsidP="008A2546">
      <w:pPr>
        <w:pStyle w:val="Bibliography"/>
        <w:rPr>
          <w:lang w:bidi="hi-IN"/>
        </w:rPr>
      </w:pPr>
      <w:r>
        <w:rPr>
          <w:lang w:bidi="hi-IN"/>
        </w:rPr>
        <w:t>(21)</w:t>
        <w:tab/>
        <w:t xml:space="preserve">Yang, H.; Li, M.; Liu, Q.; Zeng, Q.; Yuan, J. The Efficacy and Safety of Doravirine/Lamivudine/Tenofovir Disoproxil Fumarate in Treatment-Naïve and Treatment-Experienced Patients with HIV. </w:t>
      </w:r>
      <w:r>
        <w:rPr>
          <w:i/>
          <w:iCs/>
          <w:lang w:bidi="hi-IN"/>
        </w:rPr>
        <w:t>Annals of Medicine</w:t>
      </w:r>
      <w:r>
        <w:rPr>
          <w:lang w:bidi="hi-IN"/>
        </w:rPr>
        <w:t xml:space="preserve"> </w:t>
      </w:r>
      <w:r>
        <w:rPr>
          <w:b/>
          <w:bCs/>
          <w:lang w:bidi="hi-IN"/>
        </w:rPr>
        <w:t>2025</w:t>
      </w:r>
      <w:r>
        <w:rPr>
          <w:lang w:bidi="hi-IN"/>
        </w:rPr>
        <w:t xml:space="preserve">, </w:t>
      </w:r>
      <w:r>
        <w:rPr>
          <w:i/>
          <w:iCs/>
          <w:lang w:bidi="hi-IN"/>
        </w:rPr>
        <w:t>57</w:t>
      </w:r>
      <w:r>
        <w:rPr>
          <w:lang w:bidi="hi-IN"/>
        </w:rPr>
        <w:t xml:space="preserve"> (1), 2564286. https://doi.org/10.1080/07853890.2025.2564286</w:t>
      </w:r>
    </w:p>
    <w:p w14:paraId="091D3D07" w14:textId="77777777" w:rsidR="008A2546" w:rsidRPr="008A2546" w:rsidRDefault="008A2546" w:rsidP="008A2546">
      <w:pPr>
        <w:pStyle w:val="Bibliography"/>
        <w:rPr>
          <w:lang w:bidi="hi-IN"/>
        </w:rPr>
      </w:pPr>
      <w:r>
        <w:rPr>
          <w:lang w:bidi="hi-IN"/>
        </w:rPr>
        <w:t>(22)</w:t>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Pr>
          <w:i/>
          <w:iCs/>
          <w:lang w:bidi="hi-IN"/>
        </w:rPr>
        <w:t>The Lancet</w:t>
      </w:r>
      <w:r>
        <w:rPr>
          <w:lang w:bidi="hi-IN"/>
        </w:rPr>
        <w:t xml:space="preserve"> </w:t>
      </w:r>
      <w:r>
        <w:rPr>
          <w:b/>
          <w:bCs/>
          <w:lang w:bidi="hi-IN"/>
        </w:rPr>
        <w:t>2026</w:t>
      </w:r>
      <w:r>
        <w:rPr>
          <w:lang w:bidi="hi-IN"/>
        </w:rPr>
        <w:t xml:space="preserve">, </w:t>
      </w:r>
      <w:r>
        <w:rPr>
          <w:i/>
          <w:iCs/>
          <w:lang w:bidi="hi-IN"/>
        </w:rPr>
        <w:t>407</w:t>
      </w:r>
      <w:r>
        <w:rPr>
          <w:lang w:bidi="hi-IN"/>
        </w:rPr>
        <w:t xml:space="preserve"> (10528), 599–610. https://doi.org/10.1016/S0140-6736(25)01945-2</w:t>
      </w:r>
    </w:p>
    <w:p w14:paraId="41BAFCF3" w14:textId="77777777" w:rsidR="008A2546" w:rsidRPr="008A2546" w:rsidRDefault="008A2546" w:rsidP="008A2546">
      <w:pPr>
        <w:pStyle w:val="Bibliography"/>
        <w:rPr>
          <w:lang w:bidi="hi-IN"/>
        </w:rPr>
      </w:pPr>
      <w:r>
        <w:rPr>
          <w:lang w:bidi="hi-IN"/>
        </w:rPr>
        <w:t>(23)</w:t>
        <w:tab/>
        <w:t xml:space="preserve">Rizzo, R. C.; Wang, D.-P.; Tirado-Rives, J.; Jorgensen, W. L. Validation of a Model for the Complex of HIV-1 Reverse Transcriptase with Sustiva through Computation of Resistance Profiles. </w:t>
      </w:r>
      <w:r>
        <w:rPr>
          <w:i/>
          <w:iCs/>
          <w:lang w:bidi="hi-IN"/>
        </w:rPr>
        <w:t>Journal American Chemical Society</w:t>
      </w:r>
      <w:r>
        <w:rPr>
          <w:lang w:bidi="hi-IN"/>
        </w:rPr>
        <w:t xml:space="preserve"> </w:t>
      </w:r>
      <w:r>
        <w:rPr>
          <w:b/>
          <w:bCs/>
          <w:lang w:bidi="hi-IN"/>
        </w:rPr>
        <w:t>2000</w:t>
      </w:r>
      <w:r>
        <w:rPr>
          <w:lang w:bidi="hi-IN"/>
        </w:rPr>
        <w:t xml:space="preserve">, </w:t>
      </w:r>
      <w:r>
        <w:rPr>
          <w:i/>
          <w:iCs/>
          <w:lang w:bidi="hi-IN"/>
        </w:rPr>
        <w:t>122</w:t>
      </w:r>
      <w:r>
        <w:rPr>
          <w:lang w:bidi="hi-IN"/>
        </w:rPr>
        <w:t xml:space="preserve"> (51), 12898–12900. https://doi.org/10.1021/ja003113r</w:t>
      </w:r>
    </w:p>
    <w:p w14:paraId="3D86D417" w14:textId="77777777" w:rsidR="008A2546" w:rsidRPr="008A2546" w:rsidRDefault="008A2546" w:rsidP="008A2546">
      <w:pPr>
        <w:pStyle w:val="Bibliography"/>
        <w:rPr>
          <w:lang w:bidi="hi-IN"/>
        </w:rPr>
      </w:pPr>
      <w:r>
        <w:rPr>
          <w:lang w:bidi="hi-IN"/>
        </w:rPr>
        <w:t>(24)</w:t>
        <w:tab/>
        <w:t xml:space="preserve">Wang, D.-P.; Rizzo, R. C.; Tirado-Rives, J.; Jorgensen, W. L. Antiviral Drug Design: Computational Analyses of the Effects of the L100I Mutation for HIV-RT on the Binding of NNRTIs. </w:t>
      </w:r>
      <w:r>
        <w:rPr>
          <w:i/>
          <w:iCs/>
          <w:lang w:bidi="hi-IN"/>
        </w:rPr>
        <w:t>Bioorganic &amp; Medicinal Chemistry Letters</w:t>
      </w:r>
      <w:r>
        <w:rPr>
          <w:lang w:bidi="hi-IN"/>
        </w:rPr>
        <w:t xml:space="preserve"> </w:t>
      </w:r>
      <w:r>
        <w:rPr>
          <w:b/>
          <w:bCs/>
          <w:lang w:bidi="hi-IN"/>
        </w:rPr>
        <w:t>2001</w:t>
      </w:r>
      <w:r>
        <w:rPr>
          <w:lang w:bidi="hi-IN"/>
        </w:rPr>
        <w:t xml:space="preserve">, </w:t>
      </w:r>
      <w:r>
        <w:rPr>
          <w:i/>
          <w:iCs/>
          <w:lang w:bidi="hi-IN"/>
        </w:rPr>
        <w:t>11</w:t>
      </w:r>
      <w:r>
        <w:rPr>
          <w:lang w:bidi="hi-IN"/>
        </w:rPr>
        <w:t xml:space="preserve"> (21), 2799–2802. https://doi.org/10.1016/S0960-894X(01)00510-8</w:t>
      </w:r>
    </w:p>
    <w:p w14:paraId="788339B6" w14:textId="77777777" w:rsidR="008A2546" w:rsidRPr="008A2546" w:rsidRDefault="008A2546" w:rsidP="008A2546">
      <w:pPr>
        <w:pStyle w:val="Bibliography"/>
        <w:rPr>
          <w:lang w:bidi="hi-IN"/>
        </w:rPr>
      </w:pPr>
      <w:r>
        <w:rPr>
          <w:lang w:bidi="hi-IN"/>
        </w:rPr>
        <w:t>(25)</w:t>
        <w:tab/>
        <w:t xml:space="preserve">Udier-Blagović, M.; Tirado-Rives, J.; Jorgensen, W. L. Validation of a Model for the Complex of HIV-1 Reverse Transcriptase with Nonnucleoside Inhibitor TMC125. </w:t>
      </w:r>
      <w:r>
        <w:rPr>
          <w:i/>
          <w:iCs/>
          <w:lang w:bidi="hi-IN"/>
        </w:rPr>
        <w:t>Journal American Chemical Society</w:t>
      </w:r>
      <w:r>
        <w:rPr>
          <w:lang w:bidi="hi-IN"/>
        </w:rPr>
        <w:t xml:space="preserve"> </w:t>
      </w:r>
      <w:r>
        <w:rPr>
          <w:b/>
          <w:bCs/>
          <w:lang w:bidi="hi-IN"/>
        </w:rPr>
        <w:t>2003</w:t>
      </w:r>
      <w:r>
        <w:rPr>
          <w:lang w:bidi="hi-IN"/>
        </w:rPr>
        <w:t xml:space="preserve">, </w:t>
      </w:r>
      <w:r>
        <w:rPr>
          <w:i/>
          <w:iCs/>
          <w:lang w:bidi="hi-IN"/>
        </w:rPr>
        <w:t>125</w:t>
      </w:r>
      <w:r>
        <w:rPr>
          <w:lang w:bidi="hi-IN"/>
        </w:rPr>
        <w:t xml:space="preserve"> (20), 6016–6017. https://doi.org/10.1021/ja034308c</w:t>
      </w:r>
    </w:p>
    <w:p w14:paraId="5D4A06A2" w14:textId="77777777" w:rsidR="008A2546" w:rsidRPr="008A2546" w:rsidRDefault="008A2546" w:rsidP="008A2546">
      <w:pPr>
        <w:pStyle w:val="Bibliography"/>
        <w:rPr>
          <w:lang w:bidi="hi-IN"/>
        </w:rPr>
      </w:pPr>
      <w:r>
        <w:rPr>
          <w:lang w:bidi="hi-IN"/>
        </w:rPr>
        <w:lastRenderedPageBreak/>
        <w:t>(26)</w:t>
        <w:tab/>
        <w:t xml:space="preserve">Udier-Blagović, M.; Tirado-Rives, J.; Jorgensen, W. L. Structural and Energetic Analyses of the Effects of the K103N Mutation of HIV-1 Reverse Transcriptase on Efavirenz Analogues.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(9), 2389–2392. https://doi.org/10.1021/jm0303507</w:t>
      </w:r>
    </w:p>
    <w:p w14:paraId="7BED56EE" w14:textId="77777777" w:rsidR="008A2546" w:rsidRPr="008A2546" w:rsidRDefault="008A2546" w:rsidP="008A2546">
      <w:pPr>
        <w:pStyle w:val="Bibliography"/>
        <w:rPr>
          <w:lang w:bidi="hi-IN"/>
        </w:rPr>
      </w:pPr>
      <w:r>
        <w:rPr>
          <w:lang w:bidi="hi-IN"/>
        </w:rPr>
        <w:t>(27)</w:t>
        <w:tab/>
        <w:t xml:space="preserve">Rodríguez-Barrios, F.; Balzarini, J.; Gago, F. The Molecular Basis of Resilience to the Effect of the Lys103Asn Mutation in Non-Nucleoside HIV-1 Reverse Transcriptase Inhibitors Studied by Targeted Molecular Dynamics Simulations. </w:t>
      </w:r>
      <w:r>
        <w:rPr>
          <w:i/>
          <w:iCs/>
          <w:lang w:bidi="hi-IN"/>
        </w:rPr>
        <w:t>Journal American Chemical Society</w:t>
      </w:r>
      <w:r>
        <w:rPr>
          <w:lang w:bidi="hi-IN"/>
        </w:rPr>
        <w:t xml:space="preserve"> </w:t>
      </w:r>
      <w:r>
        <w:rPr>
          <w:b/>
          <w:bCs/>
          <w:lang w:bidi="hi-IN"/>
        </w:rPr>
        <w:t>2005</w:t>
      </w:r>
      <w:r>
        <w:rPr>
          <w:lang w:bidi="hi-IN"/>
        </w:rPr>
        <w:t xml:space="preserve">, </w:t>
      </w:r>
      <w:r>
        <w:rPr>
          <w:i/>
          <w:iCs/>
          <w:lang w:bidi="hi-IN"/>
        </w:rPr>
        <w:t>127</w:t>
      </w:r>
      <w:r>
        <w:rPr>
          <w:lang w:bidi="hi-IN"/>
        </w:rPr>
        <w:t xml:space="preserve"> (20), 7570–7578. https://doi.org/10.1021/ja042289g</w:t>
      </w:r>
    </w:p>
    <w:p w14:paraId="5B2CDFBF" w14:textId="77777777" w:rsidR="008A2546" w:rsidRPr="008A2546" w:rsidRDefault="008A2546" w:rsidP="008A2546">
      <w:pPr>
        <w:pStyle w:val="Bibliography"/>
        <w:rPr>
          <w:lang w:bidi="hi-IN"/>
        </w:rPr>
      </w:pPr>
      <w:r>
        <w:rPr>
          <w:lang w:bidi="hi-IN"/>
        </w:rPr>
        <w:t>(28)</w:t>
        <w:tab/>
        <w:t xml:space="preserve">Zhou, Z.; Madrid, M.; Evanseck, J. D.; Madura, J. D. Effect of a Bound Non-Nucleoside RT Inhibitor on the Dynamics of Wild-Type and Mutant HIV-1 Reverse Transcriptase. </w:t>
      </w:r>
      <w:r>
        <w:rPr>
          <w:i/>
          <w:iCs/>
          <w:lang w:bidi="hi-IN"/>
        </w:rPr>
        <w:t>J. Am. Chem. Soc.</w:t>
      </w:r>
      <w:r>
        <w:rPr>
          <w:lang w:bidi="hi-IN"/>
        </w:rPr>
        <w:t xml:space="preserve"> </w:t>
      </w:r>
      <w:r>
        <w:rPr>
          <w:b/>
          <w:bCs/>
          <w:lang w:bidi="hi-IN"/>
        </w:rPr>
        <w:t>2005</w:t>
      </w:r>
      <w:r>
        <w:rPr>
          <w:lang w:bidi="hi-IN"/>
        </w:rPr>
        <w:t xml:space="preserve">, </w:t>
      </w:r>
      <w:r>
        <w:rPr>
          <w:i/>
          <w:iCs/>
          <w:lang w:bidi="hi-IN"/>
        </w:rPr>
        <w:t>127</w:t>
      </w:r>
      <w:r>
        <w:rPr>
          <w:lang w:bidi="hi-IN"/>
        </w:rPr>
        <w:t xml:space="preserve"> (49), 17253–17260. https://doi.org/10.1021/ja053973d</w:t>
      </w:r>
    </w:p>
    <w:p w14:paraId="639082D1" w14:textId="77777777" w:rsidR="008A2546" w:rsidRPr="008A2546" w:rsidRDefault="008A2546" w:rsidP="008A2546">
      <w:pPr>
        <w:pStyle w:val="Bibliography"/>
        <w:rPr>
          <w:lang w:bidi="hi-IN"/>
        </w:rPr>
      </w:pPr>
      <w:r>
        <w:rPr>
          <w:lang w:bidi="hi-IN"/>
        </w:rPr>
        <w:t>(29)</w:t>
        <w:tab/>
        <w:t xml:space="preserve">Vijayan, R. S. K.; Arnold, E.; Das, K. Molecular Dynamics Study of HIV-1 RT-DNA-Nevirapine Complexes Explains NNRTI Inhibition and Resistance by Connection Mutations. </w:t>
      </w:r>
      <w:r>
        <w:rPr>
          <w:i/>
          <w:iCs/>
          <w:lang w:bidi="hi-IN"/>
        </w:rPr>
        <w:t>Proteins: Structure, Function, and Bioinformatics</w:t>
      </w:r>
      <w:r>
        <w:rPr>
          <w:lang w:bidi="hi-IN"/>
        </w:rPr>
        <w:t xml:space="preserve"> </w:t>
      </w:r>
      <w:r>
        <w:rPr>
          <w:b/>
          <w:bCs/>
          <w:lang w:bidi="hi-IN"/>
        </w:rPr>
        <w:t>2014</w:t>
      </w:r>
      <w:r>
        <w:rPr>
          <w:lang w:bidi="hi-IN"/>
        </w:rPr>
        <w:t xml:space="preserve">, </w:t>
      </w:r>
      <w:r>
        <w:rPr>
          <w:i/>
          <w:iCs/>
          <w:lang w:bidi="hi-IN"/>
        </w:rPr>
        <w:t>82</w:t>
      </w:r>
      <w:r>
        <w:rPr>
          <w:lang w:bidi="hi-IN"/>
        </w:rPr>
        <w:t xml:space="preserve"> (5), 815–829. https://doi.org/10.1002/prot.24460</w:t>
      </w:r>
    </w:p>
    <w:p w14:paraId="39F7835D" w14:textId="77777777" w:rsidR="008A2546" w:rsidRPr="008A2546" w:rsidRDefault="008A2546" w:rsidP="008A2546">
      <w:pPr>
        <w:pStyle w:val="Bibliography"/>
        <w:rPr>
          <w:lang w:bidi="hi-IN"/>
        </w:rPr>
      </w:pPr>
      <w:r>
        <w:rPr>
          <w:lang w:bidi="hi-IN"/>
        </w:rPr>
        <w:t>(30)</w:t>
        <w:tab/>
        <w:t xml:space="preserve">Geitmann, M.; Unge, T.; Danielson, U. H. Interaction Kinetic Characterization of HIV-1 Reverse Transcriptase Non-Nucleoside Inhibitor Resistance. </w:t>
      </w:r>
      <w:r>
        <w:rPr>
          <w:i/>
          <w:iCs/>
          <w:lang w:bidi="hi-IN"/>
        </w:rPr>
        <w:t>J. Med. Chem.</w:t>
      </w:r>
      <w:r>
        <w:rPr>
          <w:lang w:bidi="hi-IN"/>
        </w:rPr>
        <w:t xml:space="preserve"> </w:t>
      </w:r>
      <w:r>
        <w:rPr>
          <w:b/>
          <w:bCs/>
          <w:lang w:bidi="hi-IN"/>
        </w:rPr>
        <w:t>2006</w:t>
      </w:r>
      <w:r>
        <w:rPr>
          <w:lang w:bidi="hi-IN"/>
        </w:rPr>
        <w:t xml:space="preserve">, </w:t>
      </w:r>
      <w:r>
        <w:rPr>
          <w:i/>
          <w:iCs/>
          <w:lang w:bidi="hi-IN"/>
        </w:rPr>
        <w:t>49</w:t>
      </w:r>
      <w:r>
        <w:rPr>
          <w:lang w:bidi="hi-IN"/>
        </w:rPr>
        <w:t xml:space="preserve"> (8), 2375–2387. https://doi.org/10.1021/jm0504050</w:t>
      </w:r>
    </w:p>
    <w:p w14:paraId="67774ECA" w14:textId="77777777" w:rsidR="008A2546" w:rsidRPr="008A2546" w:rsidRDefault="008A2546" w:rsidP="008A2546">
      <w:pPr>
        <w:pStyle w:val="Bibliography"/>
        <w:rPr>
          <w:lang w:bidi="hi-IN"/>
        </w:rPr>
      </w:pPr>
      <w:r>
        <w:rPr>
          <w:lang w:bidi="hi-IN"/>
        </w:rPr>
        <w:t>(31)</w:t>
        <w:tab/>
        <w:t xml:space="preserve">Ghidini, A.; Serra, E.; Cavalli, A. On Free Energy Calculations in Drug Discovery. </w:t>
      </w:r>
      <w:r>
        <w:rPr>
          <w:i/>
          <w:iCs/>
          <w:lang w:bidi="hi-IN"/>
        </w:rPr>
        <w:t>Acc. Chem. Res.</w:t>
      </w:r>
      <w:r>
        <w:rPr>
          <w:lang w:bidi="hi-IN"/>
        </w:rPr>
        <w:t xml:space="preserve"> </w:t>
      </w:r>
      <w:r>
        <w:rPr>
          <w:b/>
          <w:bCs/>
          <w:lang w:bidi="hi-IN"/>
        </w:rPr>
        <w:t>2025</w:t>
      </w:r>
      <w:r>
        <w:rPr>
          <w:lang w:bidi="hi-IN"/>
        </w:rPr>
        <w:t xml:space="preserve">, </w:t>
      </w:r>
      <w:r>
        <w:rPr>
          <w:i/>
          <w:iCs/>
          <w:lang w:bidi="hi-IN"/>
        </w:rPr>
        <w:t>58</w:t>
      </w:r>
      <w:r>
        <w:rPr>
          <w:lang w:bidi="hi-IN"/>
        </w:rPr>
        <w:t xml:space="preserve"> (20), 3137–3145. https://doi.org/10.1021/acs.accounts.5c00465</w:t>
      </w:r>
    </w:p>
    <w:p w14:paraId="67168A93" w14:textId="77777777" w:rsidR="008A2546" w:rsidRPr="008A2546" w:rsidRDefault="008A2546" w:rsidP="008A2546">
      <w:pPr>
        <w:pStyle w:val="Bibliography"/>
        <w:rPr>
          <w:lang w:bidi="hi-IN"/>
        </w:rPr>
      </w:pPr>
      <w:r>
        <w:rPr>
          <w:lang w:bidi="hi-IN"/>
        </w:rPr>
        <w:t>(32)</w:t>
        <w:tab/>
        <w:t xml:space="preserve">Gapsys, V.; Pérez-Benito, L.; Aldeghi, M.; Seeliger, D.; van Vlijmen, H.; Tresadern, G.; de Groot, B. L. Large Scale Relative Protein Ligand Binding Affinities Using Non-Equilibrium Alchemy. </w:t>
      </w:r>
      <w:r>
        <w:rPr>
          <w:i/>
          <w:iCs/>
          <w:lang w:bidi="hi-IN"/>
        </w:rPr>
        <w:t>Chem. Sci.</w:t>
      </w:r>
      <w:r>
        <w:rPr>
          <w:lang w:bidi="hi-IN"/>
        </w:rPr>
        <w:t xml:space="preserve"> </w:t>
      </w:r>
      <w:r>
        <w:rPr>
          <w:b/>
          <w:bCs/>
          <w:lang w:bidi="hi-IN"/>
        </w:rPr>
        <w:t>2020</w:t>
      </w:r>
      <w:r>
        <w:rPr>
          <w:lang w:bidi="hi-IN"/>
        </w:rPr>
        <w:t xml:space="preserve">, </w:t>
      </w:r>
      <w:r>
        <w:rPr>
          <w:i/>
          <w:iCs/>
          <w:lang w:bidi="hi-IN"/>
        </w:rPr>
        <w:t>11</w:t>
      </w:r>
      <w:r>
        <w:rPr>
          <w:lang w:bidi="hi-IN"/>
        </w:rPr>
        <w:t xml:space="preserve"> (4), 1140–1152. https://doi.org/10.1039/c9sc03754c</w:t>
      </w:r>
    </w:p>
    <w:p w14:paraId="66CF1885" w14:textId="77777777" w:rsidR="008A2546" w:rsidRPr="008A2546" w:rsidRDefault="008A2546" w:rsidP="008A2546">
      <w:pPr>
        <w:pStyle w:val="Bibliography"/>
        <w:rPr>
          <w:lang w:bidi="hi-IN"/>
        </w:rPr>
      </w:pPr>
      <w:r>
        <w:rPr>
          <w:lang w:bidi="hi-IN"/>
        </w:rPr>
        <w:t>(33)</w:t>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Pr>
          <w:i/>
          <w:iCs/>
          <w:lang w:bidi="hi-IN"/>
        </w:rPr>
        <w:t>Acc. Chem. Res.</w:t>
      </w:r>
      <w:r>
        <w:rPr>
          <w:lang w:bidi="hi-IN"/>
        </w:rPr>
        <w:t xml:space="preserve"> </w:t>
      </w:r>
      <w:r>
        <w:rPr>
          <w:b/>
          <w:bCs/>
          <w:lang w:bidi="hi-IN"/>
        </w:rPr>
        <w:t>2000</w:t>
      </w:r>
      <w:r>
        <w:rPr>
          <w:lang w:bidi="hi-IN"/>
        </w:rPr>
        <w:t xml:space="preserve">, </w:t>
      </w:r>
      <w:r>
        <w:rPr>
          <w:i/>
          <w:iCs/>
          <w:lang w:bidi="hi-IN"/>
        </w:rPr>
        <w:t>33</w:t>
      </w:r>
      <w:r>
        <w:rPr>
          <w:lang w:bidi="hi-IN"/>
        </w:rPr>
        <w:t xml:space="preserve"> (12), 889–897. https://doi.org/10.1021/ar000033j</w:t>
      </w:r>
    </w:p>
    <w:p w14:paraId="31EC8E78" w14:textId="77777777" w:rsidR="008A2546" w:rsidRPr="008A2546" w:rsidRDefault="008A2546" w:rsidP="008A2546">
      <w:pPr>
        <w:pStyle w:val="Bibliography"/>
        <w:rPr>
          <w:lang w:bidi="hi-IN"/>
        </w:rPr>
      </w:pPr>
      <w:r>
        <w:rPr>
          <w:lang w:bidi="hi-IN"/>
        </w:rPr>
        <w:t>(34)</w:t>
        <w:tab/>
        <w:t xml:space="preserve">Genheden, S.; Ryde, U. The MM/PBSA and MM/GBSA Methods to Estimate Ligand-Binding Affinities. </w:t>
      </w:r>
      <w:r>
        <w:rPr>
          <w:i/>
          <w:iCs/>
          <w:lang w:bidi="hi-IN"/>
        </w:rPr>
        <w:t>Expert Opinion on Drug Discovery</w:t>
      </w:r>
      <w:r>
        <w:rPr>
          <w:lang w:bidi="hi-IN"/>
        </w:rPr>
        <w:t xml:space="preserve"> </w:t>
      </w:r>
      <w:r>
        <w:rPr>
          <w:b/>
          <w:bCs/>
          <w:lang w:bidi="hi-IN"/>
        </w:rPr>
        <w:t>2015</w:t>
      </w:r>
      <w:r>
        <w:rPr>
          <w:lang w:bidi="hi-IN"/>
        </w:rPr>
        <w:t xml:space="preserve">, </w:t>
      </w:r>
      <w:r>
        <w:rPr>
          <w:i/>
          <w:iCs/>
          <w:lang w:bidi="hi-IN"/>
        </w:rPr>
        <w:t>10</w:t>
      </w:r>
      <w:r>
        <w:rPr>
          <w:lang w:bidi="hi-IN"/>
        </w:rPr>
        <w:t xml:space="preserve"> (5), 449–461. https://doi.org/10.1517/17460441.2015.1032936</w:t>
      </w:r>
    </w:p>
    <w:p w14:paraId="5B225780" w14:textId="77777777" w:rsidR="008A2546" w:rsidRPr="008A2546" w:rsidRDefault="008A2546" w:rsidP="008A2546">
      <w:pPr>
        <w:pStyle w:val="Bibliography"/>
        <w:rPr>
          <w:lang w:bidi="hi-IN"/>
        </w:rPr>
      </w:pPr>
      <w:r>
        <w:rPr>
          <w:lang w:bidi="hi-IN"/>
        </w:rPr>
        <w:t>(35)</w:t>
        <w:tab/>
        <w:t xml:space="preserve">Kabsch, W. A Solution for the Best Rotation to Relate Two Sets of Vectors. </w:t>
      </w:r>
      <w:r>
        <w:rPr>
          <w:i/>
          <w:iCs/>
          <w:lang w:bidi="hi-IN"/>
        </w:rPr>
        <w:t>Acta Crystallographica Section A</w:t>
      </w:r>
      <w:r>
        <w:rPr>
          <w:lang w:bidi="hi-IN"/>
        </w:rPr>
        <w:t xml:space="preserve"> </w:t>
      </w:r>
      <w:r>
        <w:rPr>
          <w:b/>
          <w:bCs/>
          <w:lang w:bidi="hi-IN"/>
        </w:rPr>
        <w:t>1976</w:t>
      </w:r>
      <w:r>
        <w:rPr>
          <w:lang w:bidi="hi-IN"/>
        </w:rPr>
        <w:t xml:space="preserve">, </w:t>
      </w:r>
      <w:r>
        <w:rPr>
          <w:i/>
          <w:iCs/>
          <w:lang w:bidi="hi-IN"/>
        </w:rPr>
        <w:t>32</w:t>
      </w:r>
      <w:r>
        <w:rPr>
          <w:lang w:bidi="hi-IN"/>
        </w:rPr>
        <w:t xml:space="preserve"> (5), 922–923. https://doi.org/10.1107/S0567739476001873</w:t>
      </w:r>
    </w:p>
    <w:p w14:paraId="4F83B565" w14:textId="77777777" w:rsidR="008A2546" w:rsidRPr="008A2546" w:rsidRDefault="008A2546" w:rsidP="008A2546">
      <w:pPr>
        <w:pStyle w:val="Bibliography"/>
        <w:rPr>
          <w:lang w:bidi="hi-IN"/>
        </w:rPr>
      </w:pPr>
      <w:r>
        <w:rPr>
          <w:lang w:bidi="hi-IN"/>
        </w:rPr>
        <w:t>(36)</w:t>
        <w:tab/>
        <w:t xml:space="preserve">Eastman, P.; Swails, J.; Chodera, J. D.; McGibbon, R. T.; Zhao, Y.; Beauchamp, K. A.; Wang, L.-P.; Simmonett, A. C.; Harrigan, M. P.; Stern, C. D.; Wiewiora, R. P.; Brooks, B. R.; Pande, V. S. OpenMM 7: Rapid Development of High Performance Algorithms for Molecular Dynamics. </w:t>
      </w:r>
      <w:r>
        <w:rPr>
          <w:i/>
          <w:iCs/>
          <w:lang w:bidi="hi-IN"/>
        </w:rPr>
        <w:t>PLOS Computational Biology</w:t>
      </w:r>
      <w:r>
        <w:rPr>
          <w:lang w:bidi="hi-IN"/>
        </w:rPr>
        <w:t xml:space="preserve"> </w:t>
      </w:r>
      <w:r>
        <w:rPr>
          <w:b/>
          <w:bCs/>
          <w:lang w:bidi="hi-IN"/>
        </w:rPr>
        <w:t>2017</w:t>
      </w:r>
      <w:r>
        <w:rPr>
          <w:lang w:bidi="hi-IN"/>
        </w:rPr>
        <w:t xml:space="preserve">, </w:t>
      </w:r>
      <w:r>
        <w:rPr>
          <w:i/>
          <w:iCs/>
          <w:lang w:bidi="hi-IN"/>
        </w:rPr>
        <w:t>13</w:t>
      </w:r>
      <w:r>
        <w:rPr>
          <w:lang w:bidi="hi-IN"/>
        </w:rPr>
        <w:t xml:space="preserve"> (7), e1005659. https://doi.org/10.1371/journal.pcbi.1005659</w:t>
      </w:r>
    </w:p>
    <w:p w14:paraId="0AD2D31D" w14:textId="77777777" w:rsidR="008A2546" w:rsidRPr="008A2546" w:rsidRDefault="008A2546" w:rsidP="008A2546">
      <w:pPr>
        <w:pStyle w:val="Bibliography"/>
        <w:rPr>
          <w:lang w:bidi="hi-IN"/>
        </w:rPr>
      </w:pPr>
      <w:r>
        <w:rPr>
          <w:lang w:bidi="hi-IN"/>
        </w:rPr>
        <w:lastRenderedPageBreak/>
        <w:t>(37)</w:t>
        <w:tab/>
        <w:t xml:space="preserve">Maier, J. A.; Martinez, C.; Kasavajhala, K.; Wickstrom, L.; Hauser, K. E.; Simmerling, C. ff14SB: Improving the Accuracy of Protein Side Chain and Backbone Parameters from ff99SB. </w:t>
      </w:r>
      <w:r>
        <w:rPr>
          <w:i/>
          <w:iCs/>
          <w:lang w:bidi="hi-IN"/>
        </w:rPr>
        <w:t>J. Chem. Theory Comput.</w:t>
      </w:r>
      <w:r>
        <w:rPr>
          <w:lang w:bidi="hi-IN"/>
        </w:rPr>
        <w:t xml:space="preserve"> </w:t>
      </w:r>
      <w:r>
        <w:rPr>
          <w:b/>
          <w:bCs/>
          <w:lang w:bidi="hi-IN"/>
        </w:rPr>
        <w:t>2015</w:t>
      </w:r>
      <w:r>
        <w:rPr>
          <w:lang w:bidi="hi-IN"/>
        </w:rPr>
        <w:t xml:space="preserve">, </w:t>
      </w:r>
      <w:r>
        <w:rPr>
          <w:i/>
          <w:iCs/>
          <w:lang w:bidi="hi-IN"/>
        </w:rPr>
        <w:t>11</w:t>
      </w:r>
      <w:r>
        <w:rPr>
          <w:lang w:bidi="hi-IN"/>
        </w:rPr>
        <w:t xml:space="preserve"> (8), 3696–3713. https://doi.org/10.1021/acs.jctc.5b00255</w:t>
      </w:r>
    </w:p>
    <w:p w14:paraId="54F9B6D5" w14:textId="77777777" w:rsidR="008A2546" w:rsidRPr="008A2546" w:rsidRDefault="008A2546" w:rsidP="008A2546">
      <w:pPr>
        <w:pStyle w:val="Bibliography"/>
        <w:rPr>
          <w:lang w:bidi="hi-IN"/>
        </w:rPr>
      </w:pPr>
      <w:r>
        <w:rPr>
          <w:lang w:bidi="hi-IN"/>
        </w:rPr>
        <w:t>(38)</w:t>
        <w:tab/>
        <w:t xml:space="preserve">Jorgensen, W. L.; Chandrasekhar, J.; Madura, J. D.; Impey, R. W.; Klein, M. L. Comparison of Simple Potential Functions for Simulating Liquid Water. </w:t>
      </w:r>
      <w:r>
        <w:rPr>
          <w:i/>
          <w:iCs/>
          <w:lang w:bidi="hi-IN"/>
        </w:rPr>
        <w:t>J. Chem. Phys.</w:t>
      </w:r>
      <w:r>
        <w:rPr>
          <w:lang w:bidi="hi-IN"/>
        </w:rPr>
        <w:t xml:space="preserve"> </w:t>
      </w:r>
      <w:r>
        <w:rPr>
          <w:b/>
          <w:bCs/>
          <w:lang w:bidi="hi-IN"/>
        </w:rPr>
        <w:t>1983</w:t>
      </w:r>
      <w:r>
        <w:rPr>
          <w:lang w:bidi="hi-IN"/>
        </w:rPr>
        <w:t xml:space="preserve">, </w:t>
      </w:r>
      <w:r>
        <w:rPr>
          <w:i/>
          <w:iCs/>
          <w:lang w:bidi="hi-IN"/>
        </w:rPr>
        <w:t>79</w:t>
      </w:r>
      <w:r>
        <w:rPr>
          <w:lang w:bidi="hi-IN"/>
        </w:rPr>
        <w:t xml:space="preserve"> (2), 926–935. https://doi.org/10.1063/1.445869</w:t>
      </w:r>
    </w:p>
    <w:p w14:paraId="0AE7E52B" w14:textId="77777777" w:rsidR="008A2546" w:rsidRPr="008A2546" w:rsidRDefault="008A2546" w:rsidP="008A2546">
      <w:pPr>
        <w:pStyle w:val="Bibliography"/>
        <w:rPr>
          <w:lang w:bidi="hi-IN"/>
        </w:rPr>
      </w:pPr>
      <w:r>
        <w:rPr>
          <w:lang w:bidi="hi-IN"/>
        </w:rPr>
        <w:t>(39)</w:t>
        <w:tab/>
        <w:t xml:space="preserve">Mobley, D. L.; Bannan, C. C.; Rizzi, A.; Bayly, C. I.; Chodera, J. D.; Lim, V. T.; Lim, N. M.; Beauchamp, K. A.; Slochower, D. R.; Shirts, M. R.; Gilson, M. K.; Eastman, P. K. Escaping Atom Types in Force Fields Using Direct Chemical Perception.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(11), 6076–6092. https://doi.org/10.1021/acs.jctc.8b00640</w:t>
      </w:r>
    </w:p>
    <w:p w14:paraId="7D4F69A6" w14:textId="77777777" w:rsidR="008A2546" w:rsidRPr="008A2546" w:rsidRDefault="008A2546" w:rsidP="008A2546">
      <w:pPr>
        <w:pStyle w:val="Bibliography"/>
        <w:rPr>
          <w:lang w:bidi="hi-IN"/>
        </w:rPr>
      </w:pPr>
      <w:r>
        <w:rPr>
          <w:lang w:bidi="hi-IN"/>
        </w:rPr>
        <w:t>(40)</w:t>
        <w:tab/>
        <w:t xml:space="preserve">Gasteiger, J.; Marsili, M. Iterative Partial Equalization of Orbital Electronegativity—a Rapid Access to Atomic Charges. </w:t>
      </w:r>
      <w:r>
        <w:rPr>
          <w:i/>
          <w:iCs/>
          <w:lang w:bidi="hi-IN"/>
        </w:rPr>
        <w:t>Tetrahedron</w:t>
      </w:r>
      <w:r>
        <w:rPr>
          <w:lang w:bidi="hi-IN"/>
        </w:rPr>
        <w:t xml:space="preserve"> </w:t>
      </w:r>
      <w:r>
        <w:rPr>
          <w:b/>
          <w:bCs/>
          <w:lang w:bidi="hi-IN"/>
        </w:rPr>
        <w:t>1980</w:t>
      </w:r>
      <w:r>
        <w:rPr>
          <w:lang w:bidi="hi-IN"/>
        </w:rPr>
        <w:t xml:space="preserve">, </w:t>
      </w:r>
      <w:r>
        <w:rPr>
          <w:i/>
          <w:iCs/>
          <w:lang w:bidi="hi-IN"/>
        </w:rPr>
        <w:t>36</w:t>
      </w:r>
      <w:r>
        <w:rPr>
          <w:lang w:bidi="hi-IN"/>
        </w:rPr>
        <w:t xml:space="preserve"> (22), 3219–3228. https://doi.org/10.1016/0040-4020(80)80168-2</w:t>
      </w:r>
    </w:p>
    <w:p w14:paraId="6A950CFF" w14:textId="77777777" w:rsidR="008A2546" w:rsidRPr="008A2546" w:rsidRDefault="008A2546" w:rsidP="008A2546">
      <w:pPr>
        <w:pStyle w:val="Bibliography"/>
        <w:rPr>
          <w:lang w:bidi="hi-IN"/>
        </w:rPr>
      </w:pPr>
      <w:r>
        <w:rPr>
          <w:lang w:bidi="hi-IN"/>
        </w:rPr>
        <w:t>(41)</w:t>
        <w:tab/>
        <w:t>Darden, T.; York, D.; Pedersen, L. Particle Mesh Ewald: An N</w:t>
      </w:r>
      <w:r>
        <w:rPr>
          <w:rFonts w:ascii="Cambria Math" w:hAnsi="Cambria Math" w:cs="Cambria Math"/>
          <w:lang w:bidi="hi-IN"/>
        </w:rPr>
        <w:t>⋅</w:t>
      </w:r>
      <w:r>
        <w:rPr>
          <w:lang w:bidi="hi-IN"/>
        </w:rPr>
        <w:t xml:space="preserve">log(N) Method for Ewald Sums in Large Systems. </w:t>
      </w:r>
      <w:r>
        <w:rPr>
          <w:i/>
          <w:iCs/>
          <w:lang w:bidi="hi-IN"/>
        </w:rPr>
        <w:t>J. Chem. Phys.</w:t>
      </w:r>
      <w:r>
        <w:rPr>
          <w:lang w:bidi="hi-IN"/>
        </w:rPr>
        <w:t xml:space="preserve"> </w:t>
      </w:r>
      <w:r>
        <w:rPr>
          <w:b/>
          <w:bCs/>
          <w:lang w:bidi="hi-IN"/>
        </w:rPr>
        <w:t>1993</w:t>
      </w:r>
      <w:r>
        <w:rPr>
          <w:lang w:bidi="hi-IN"/>
        </w:rPr>
        <w:t xml:space="preserve">, </w:t>
      </w:r>
      <w:r>
        <w:rPr>
          <w:i/>
          <w:iCs/>
          <w:lang w:bidi="hi-IN"/>
        </w:rPr>
        <w:t>98</w:t>
      </w:r>
      <w:r>
        <w:rPr>
          <w:lang w:bidi="hi-IN"/>
        </w:rPr>
        <w:t xml:space="preserve"> (12), 10089–10092. https://doi.org/10.1063/1.464397</w:t>
      </w:r>
    </w:p>
    <w:p w14:paraId="7320910A" w14:textId="77777777" w:rsidR="008A2546" w:rsidRPr="008A2546" w:rsidRDefault="008A2546" w:rsidP="008A2546">
      <w:pPr>
        <w:pStyle w:val="Bibliography"/>
        <w:rPr>
          <w:lang w:bidi="hi-IN"/>
        </w:rPr>
      </w:pPr>
      <w:r>
        <w:rPr>
          <w:lang w:bidi="hi-IN"/>
        </w:rPr>
        <w:t>(42)</w:t>
        <w:tab/>
        <w:t xml:space="preserve">Michaud-Agrawal, N.; Denning, E. J.; Woolf, T. B.; Beckstein, O. MDAnalysis: A Toolkit for the Analysis of Molecular Dynamics Simulations. </w:t>
      </w:r>
      <w:r>
        <w:rPr>
          <w:i/>
          <w:iCs/>
          <w:lang w:bidi="hi-IN"/>
        </w:rPr>
        <w:t>Journal of Computational Chemistry</w:t>
      </w:r>
      <w:r>
        <w:rPr>
          <w:lang w:bidi="hi-IN"/>
        </w:rPr>
        <w:t xml:space="preserve"> </w:t>
      </w:r>
      <w:r>
        <w:rPr>
          <w:b/>
          <w:bCs/>
          <w:lang w:bidi="hi-IN"/>
        </w:rPr>
        <w:t>2011</w:t>
      </w:r>
      <w:r>
        <w:rPr>
          <w:lang w:bidi="hi-IN"/>
        </w:rPr>
        <w:t xml:space="preserve">, </w:t>
      </w:r>
      <w:r>
        <w:rPr>
          <w:i/>
          <w:iCs/>
          <w:lang w:bidi="hi-IN"/>
        </w:rPr>
        <w:t>32</w:t>
      </w:r>
      <w:r>
        <w:rPr>
          <w:lang w:bidi="hi-IN"/>
        </w:rPr>
        <w:t xml:space="preserve"> (10), 2319–2327. https://doi.org/10.1002/jcc.21787</w:t>
      </w:r>
    </w:p>
    <w:p w14:paraId="436916E2" w14:textId="77777777" w:rsidR="008A2546" w:rsidRPr="008A2546" w:rsidRDefault="008A2546" w:rsidP="008A2546">
      <w:pPr>
        <w:pStyle w:val="Bibliography"/>
        <w:rPr>
          <w:lang w:bidi="hi-IN"/>
        </w:rPr>
      </w:pPr>
      <w:r>
        <w:rPr>
          <w:lang w:bidi="hi-IN"/>
        </w:rPr>
        <w:t>(43)</w:t>
        <w:tab/>
        <w:t xml:space="preserve">McGibbon, R. T.; Beauchamp, K. A.; Harrigan, M. P.; Klein, C.; Swails, J. M.; Hernández, C. X.; Schwantes, C. R.; Wang, L.-P.; Lane, T. J.; Pande, V. S. MDTraj: A Modern Open Library for the Analysis of Molecular Dynamics Trajectories. </w:t>
      </w:r>
      <w:r>
        <w:rPr>
          <w:i/>
          <w:iCs/>
          <w:lang w:bidi="hi-IN"/>
        </w:rPr>
        <w:t>Biophysical Journal</w:t>
      </w:r>
      <w:r>
        <w:rPr>
          <w:lang w:bidi="hi-IN"/>
        </w:rPr>
        <w:t xml:space="preserve"> </w:t>
      </w:r>
      <w:r>
        <w:rPr>
          <w:b/>
          <w:bCs/>
          <w:lang w:bidi="hi-IN"/>
        </w:rPr>
        <w:t>2015</w:t>
      </w:r>
      <w:r>
        <w:rPr>
          <w:lang w:bidi="hi-IN"/>
        </w:rPr>
        <w:t xml:space="preserve">, </w:t>
      </w:r>
      <w:r>
        <w:rPr>
          <w:i/>
          <w:iCs/>
          <w:lang w:bidi="hi-IN"/>
        </w:rPr>
        <w:t>109</w:t>
      </w:r>
      <w:r>
        <w:rPr>
          <w:lang w:bidi="hi-IN"/>
        </w:rPr>
        <w:t xml:space="preserve"> (8), 1528–1532. https://doi.org/10.1016/j.bpj.2015.08.015</w:t>
      </w:r>
    </w:p>
    <w:p w14:paraId="319FA54F" w14:textId="77777777" w:rsidR="008A2546" w:rsidRPr="008A2546" w:rsidRDefault="008A2546" w:rsidP="008A2546">
      <w:pPr>
        <w:pStyle w:val="Bibliography"/>
        <w:rPr>
          <w:lang w:bidi="hi-IN"/>
        </w:rPr>
      </w:pPr>
      <w:r>
        <w:rPr>
          <w:lang w:bidi="hi-IN"/>
        </w:rPr>
        <w:t>(44)</w:t>
        <w:tab/>
        <w:t xml:space="preserve">Massova, I.; Kollman, P. A. Combined Molecular Mechanical and Continuum Solvent Approach (MM-PBSA/GBSA) to Predict Ligand Binding. </w:t>
      </w:r>
      <w:r>
        <w:rPr>
          <w:i/>
          <w:iCs/>
          <w:lang w:bidi="hi-IN"/>
        </w:rPr>
        <w:t>Perspectives in Drug Discovery and Design</w:t>
      </w:r>
      <w:r>
        <w:rPr>
          <w:lang w:bidi="hi-IN"/>
        </w:rPr>
        <w:t xml:space="preserve"> </w:t>
      </w:r>
      <w:r>
        <w:rPr>
          <w:b/>
          <w:bCs/>
          <w:lang w:bidi="hi-IN"/>
        </w:rPr>
        <w:t>2000</w:t>
      </w:r>
      <w:r>
        <w:rPr>
          <w:lang w:bidi="hi-IN"/>
        </w:rPr>
        <w:t xml:space="preserve">, </w:t>
      </w:r>
      <w:r>
        <w:rPr>
          <w:i/>
          <w:iCs/>
          <w:lang w:bidi="hi-IN"/>
        </w:rPr>
        <w:t>18</w:t>
      </w:r>
      <w:r>
        <w:rPr>
          <w:lang w:bidi="hi-IN"/>
        </w:rPr>
        <w:t xml:space="preserve"> (1), 113–135. https://doi.org/10.1023/A:1008763014207</w:t>
      </w:r>
    </w:p>
    <w:p w14:paraId="54958CEF" w14:textId="77777777" w:rsidR="008A2546" w:rsidRPr="008A2546" w:rsidRDefault="008A2546" w:rsidP="008A2546">
      <w:pPr>
        <w:pStyle w:val="Bibliography"/>
        <w:rPr>
          <w:lang w:bidi="hi-IN"/>
        </w:rPr>
      </w:pPr>
      <w:r>
        <w:rPr>
          <w:lang w:bidi="hi-IN"/>
        </w:rPr>
        <w:t>(45)</w:t>
        <w:tab/>
        <w:t xml:space="preserve">Onufriev, A.; Bashford, D.; Case, D. A. Exploring Protein Native States and Large-Scale Conformational Changes with a Modified Generalized Born Model. </w:t>
      </w:r>
      <w:r>
        <w:rPr>
          <w:i/>
          <w:iCs/>
          <w:lang w:bidi="hi-IN"/>
        </w:rPr>
        <w:t>Proteins: Structure, Function, and Bioinformatics</w:t>
      </w:r>
      <w:r>
        <w:rPr>
          <w:lang w:bidi="hi-IN"/>
        </w:rPr>
        <w:t xml:space="preserve"> </w:t>
      </w:r>
      <w:r>
        <w:rPr>
          <w:b/>
          <w:bCs/>
          <w:lang w:bidi="hi-IN"/>
        </w:rPr>
        <w:t>2004</w:t>
      </w:r>
      <w:r>
        <w:rPr>
          <w:lang w:bidi="hi-IN"/>
        </w:rPr>
        <w:t xml:space="preserve">, </w:t>
      </w:r>
      <w:r>
        <w:rPr>
          <w:i/>
          <w:iCs/>
          <w:lang w:bidi="hi-IN"/>
        </w:rPr>
        <w:t>55</w:t>
      </w:r>
      <w:r>
        <w:rPr>
          <w:lang w:bidi="hi-IN"/>
        </w:rPr>
        <w:t xml:space="preserve"> (2), 383–394. https://doi.org/10.1002/prot.20033</w:t>
      </w:r>
    </w:p>
    <w:p w14:paraId="084C805F" w14:textId="77777777" w:rsidR="008A2546" w:rsidRPr="008A2546" w:rsidRDefault="008A2546" w:rsidP="008A2546">
      <w:pPr>
        <w:pStyle w:val="Bibliography"/>
        <w:rPr>
          <w:lang w:bidi="hi-IN"/>
        </w:rPr>
      </w:pPr>
      <w:r>
        <w:rPr>
          <w:lang w:bidi="hi-IN"/>
        </w:rPr>
        <w:t>(46)</w:t>
        <w:tab/>
        <w:t xml:space="preserve">Gapsys, V.; Michielssens, S.; Seeliger, D.; de Groot, B. L. Pmx: Automated Protein Structure and Topology Generation for Alchemical Perturbations. </w:t>
      </w:r>
      <w:r>
        <w:rPr>
          <w:i/>
          <w:iCs/>
          <w:lang w:bidi="hi-IN"/>
        </w:rPr>
        <w:t>Journal of Computational Chemistry</w:t>
      </w:r>
      <w:r>
        <w:rPr>
          <w:lang w:bidi="hi-IN"/>
        </w:rPr>
        <w:t xml:space="preserve"> </w:t>
      </w:r>
      <w:r>
        <w:rPr>
          <w:b/>
          <w:bCs/>
          <w:lang w:bidi="hi-IN"/>
        </w:rPr>
        <w:t>2015</w:t>
      </w:r>
      <w:r>
        <w:rPr>
          <w:lang w:bidi="hi-IN"/>
        </w:rPr>
        <w:t xml:space="preserve">, </w:t>
      </w:r>
      <w:r>
        <w:rPr>
          <w:i/>
          <w:iCs/>
          <w:lang w:bidi="hi-IN"/>
        </w:rPr>
        <w:t>36</w:t>
      </w:r>
      <w:r>
        <w:rPr>
          <w:lang w:bidi="hi-IN"/>
        </w:rPr>
        <w:t xml:space="preserve"> (5), 348–354. https://doi.org/10.1002/jcc.23804</w:t>
      </w:r>
    </w:p>
    <w:p w14:paraId="79E5844A" w14:textId="77777777" w:rsidR="008A2546" w:rsidRPr="008A2546" w:rsidRDefault="008A2546" w:rsidP="008A2546">
      <w:pPr>
        <w:pStyle w:val="Bibliography"/>
        <w:rPr>
          <w:lang w:bidi="hi-IN"/>
        </w:rPr>
      </w:pPr>
      <w:r>
        <w:rPr>
          <w:lang w:bidi="hi-IN"/>
        </w:rPr>
        <w:t>(47)</w:t>
        <w:tab/>
        <w:t xml:space="preserve">Abraham, M. J.; Murtola, T.; Schulz, R.; Páll, S.; Smith, J. C.; Hess, B.; Lindahl, E. GROMACS: High Performance Molecular Simulations through Multi-Level Parallelism from Laptops to Supercomputers. </w:t>
      </w:r>
      <w:r>
        <w:rPr>
          <w:i/>
          <w:iCs/>
          <w:lang w:bidi="hi-IN"/>
        </w:rPr>
        <w:t>SoftwareX</w:t>
      </w:r>
      <w:r>
        <w:rPr>
          <w:lang w:bidi="hi-IN"/>
        </w:rPr>
        <w:t xml:space="preserve"> </w:t>
      </w:r>
      <w:r>
        <w:rPr>
          <w:b/>
          <w:bCs/>
          <w:lang w:bidi="hi-IN"/>
        </w:rPr>
        <w:t>2015</w:t>
      </w:r>
      <w:r>
        <w:rPr>
          <w:lang w:bidi="hi-IN"/>
        </w:rPr>
        <w:t xml:space="preserve">, </w:t>
      </w:r>
      <w:r>
        <w:rPr>
          <w:i/>
          <w:iCs/>
          <w:lang w:bidi="hi-IN"/>
        </w:rPr>
        <w:t>1–2</w:t>
      </w:r>
      <w:r>
        <w:rPr>
          <w:lang w:bidi="hi-IN"/>
        </w:rPr>
        <w:t>, 19–25. https://doi.org/10.1016/j.softx.2015.06.001</w:t>
      </w:r>
    </w:p>
    <w:p w14:paraId="75110B88" w14:textId="77777777" w:rsidR="008A2546" w:rsidRPr="008A2546" w:rsidRDefault="008A2546" w:rsidP="008A2546">
      <w:pPr>
        <w:pStyle w:val="Bibliography"/>
        <w:rPr>
          <w:lang w:bidi="hi-IN"/>
        </w:rPr>
      </w:pPr>
      <w:r>
        <w:rPr>
          <w:lang w:bidi="hi-IN"/>
        </w:rPr>
        <w:lastRenderedPageBreak/>
        <w:t>(48)</w:t>
        <w:tab/>
        <w:t xml:space="preserve">Gapsys, V.; Seeliger, D.; de Groot, B. L. New Soft-Core Potential Function for Molecular Dynamics Based Alchemical Free Energy Calculations. </w:t>
      </w:r>
      <w:r>
        <w:rPr>
          <w:i/>
          <w:iCs/>
          <w:lang w:bidi="hi-IN"/>
        </w:rPr>
        <w:t>J. Chem. Theory Comput.</w:t>
      </w:r>
      <w:r>
        <w:rPr>
          <w:lang w:bidi="hi-IN"/>
        </w:rPr>
        <w:t xml:space="preserve"> </w:t>
      </w:r>
      <w:r>
        <w:rPr>
          <w:b/>
          <w:bCs/>
          <w:lang w:bidi="hi-IN"/>
        </w:rPr>
        <w:t>2012</w:t>
      </w:r>
      <w:r>
        <w:rPr>
          <w:lang w:bidi="hi-IN"/>
        </w:rPr>
        <w:t xml:space="preserve">, </w:t>
      </w:r>
      <w:r>
        <w:rPr>
          <w:i/>
          <w:iCs/>
          <w:lang w:bidi="hi-IN"/>
        </w:rPr>
        <w:t>8</w:t>
      </w:r>
      <w:r>
        <w:rPr>
          <w:lang w:bidi="hi-IN"/>
        </w:rPr>
        <w:t xml:space="preserve"> (7), 2373–2382. https://doi.org/10.1021/ct300220p</w:t>
      </w:r>
    </w:p>
    <w:p w14:paraId="29F45BF7" w14:textId="77777777" w:rsidR="008A2546" w:rsidRPr="008A2546" w:rsidRDefault="008A2546" w:rsidP="008A2546">
      <w:pPr>
        <w:pStyle w:val="Bibliography"/>
        <w:rPr>
          <w:lang w:bidi="hi-IN"/>
        </w:rPr>
      </w:pPr>
      <w:r>
        <w:rPr>
          <w:lang w:bidi="hi-IN"/>
        </w:rPr>
        <w:t>(49)</w:t>
        <w:tab/>
        <w:t xml:space="preserve">Jarzynski, C. Nonequilibrium Equality for Free Energy Differences. </w:t>
      </w:r>
      <w:r>
        <w:rPr>
          <w:i/>
          <w:iCs/>
          <w:lang w:bidi="hi-IN"/>
        </w:rPr>
        <w:t>Phys. Rev. Lett.</w:t>
      </w:r>
      <w:r>
        <w:rPr>
          <w:lang w:bidi="hi-IN"/>
        </w:rPr>
        <w:t xml:space="preserve"> </w:t>
      </w:r>
      <w:r>
        <w:rPr>
          <w:b/>
          <w:bCs/>
          <w:lang w:bidi="hi-IN"/>
        </w:rPr>
        <w:t>1997</w:t>
      </w:r>
      <w:r>
        <w:rPr>
          <w:lang w:bidi="hi-IN"/>
        </w:rPr>
        <w:t xml:space="preserve">, </w:t>
      </w:r>
      <w:r>
        <w:rPr>
          <w:i/>
          <w:iCs/>
          <w:lang w:bidi="hi-IN"/>
        </w:rPr>
        <w:t>78</w:t>
      </w:r>
      <w:r>
        <w:rPr>
          <w:lang w:bidi="hi-IN"/>
        </w:rPr>
        <w:t xml:space="preserve"> (14), 2690–2693. https://doi.org/10.1103/PhysRevLett.78.2690</w:t>
      </w:r>
    </w:p>
    <w:p w14:paraId="1E78DA70" w14:textId="77777777" w:rsidR="008A2546" w:rsidRPr="008A2546" w:rsidRDefault="008A2546" w:rsidP="008A2546">
      <w:pPr>
        <w:pStyle w:val="Bibliography"/>
        <w:rPr>
          <w:lang w:bidi="hi-IN"/>
        </w:rPr>
      </w:pPr>
      <w:r>
        <w:rPr>
          <w:lang w:bidi="hi-IN"/>
        </w:rPr>
        <w:t>(50)</w:t>
        <w:tab/>
        <w:t xml:space="preserve">Crooks, G. E. Entropy Production Fluctuation Theorem and the Nonequilibrium Work Relation for Free Energy Differences. </w:t>
      </w:r>
      <w:r>
        <w:rPr>
          <w:i/>
          <w:iCs/>
          <w:lang w:bidi="hi-IN"/>
        </w:rPr>
        <w:t>Phys. Rev. E</w:t>
      </w:r>
      <w:r>
        <w:rPr>
          <w:lang w:bidi="hi-IN"/>
        </w:rPr>
        <w:t xml:space="preserve"> </w:t>
      </w:r>
      <w:r>
        <w:rPr>
          <w:b/>
          <w:bCs/>
          <w:lang w:bidi="hi-IN"/>
        </w:rPr>
        <w:t>1999</w:t>
      </w:r>
      <w:r>
        <w:rPr>
          <w:lang w:bidi="hi-IN"/>
        </w:rPr>
        <w:t xml:space="preserve">, </w:t>
      </w:r>
      <w:r>
        <w:rPr>
          <w:i/>
          <w:iCs/>
          <w:lang w:bidi="hi-IN"/>
        </w:rPr>
        <w:t>60</w:t>
      </w:r>
      <w:r>
        <w:rPr>
          <w:lang w:bidi="hi-IN"/>
        </w:rPr>
        <w:t xml:space="preserve"> (3), 2721–2726. https://doi.org/10.1103/PhysRevE.60.2721</w:t>
      </w:r>
    </w:p>
    <w:p w14:paraId="1D60CE03" w14:textId="77777777" w:rsidR="008A2546" w:rsidRPr="008A2546" w:rsidRDefault="008A2546" w:rsidP="008A2546">
      <w:pPr>
        <w:pStyle w:val="Bibliography"/>
        <w:rPr>
          <w:lang w:bidi="hi-IN"/>
        </w:rPr>
      </w:pPr>
      <w:r>
        <w:rPr>
          <w:lang w:bidi="hi-IN"/>
        </w:rPr>
        <w:t>(51)</w:t>
        <w:tab/>
        <w:t xml:space="preserve">Bernetti, M.; Bussi, G. Pressure Control Using Stochastic Cell Rescaling. </w:t>
      </w:r>
      <w:r>
        <w:rPr>
          <w:i/>
          <w:iCs/>
          <w:lang w:bidi="hi-IN"/>
        </w:rPr>
        <w:t>J. Chem. Phys.</w:t>
      </w:r>
      <w:r>
        <w:rPr>
          <w:lang w:bidi="hi-IN"/>
        </w:rPr>
        <w:t xml:space="preserve"> </w:t>
      </w:r>
      <w:r>
        <w:rPr>
          <w:b/>
          <w:bCs/>
          <w:lang w:bidi="hi-IN"/>
        </w:rPr>
        <w:t>2020</w:t>
      </w:r>
      <w:r>
        <w:rPr>
          <w:lang w:bidi="hi-IN"/>
        </w:rPr>
        <w:t xml:space="preserve">, </w:t>
      </w:r>
      <w:r>
        <w:rPr>
          <w:i/>
          <w:iCs/>
          <w:lang w:bidi="hi-IN"/>
        </w:rPr>
        <w:t>153</w:t>
      </w:r>
      <w:r>
        <w:rPr>
          <w:lang w:bidi="hi-IN"/>
        </w:rPr>
        <w:t xml:space="preserve"> (11), 114107. https://doi.org/10.1063/5.0020514</w:t>
      </w:r>
    </w:p>
    <w:p w14:paraId="25CBFBF8" w14:textId="77777777" w:rsidR="008A2546" w:rsidRPr="008A2546" w:rsidRDefault="008A2546" w:rsidP="008A2546">
      <w:pPr>
        <w:pStyle w:val="Bibliography"/>
        <w:rPr>
          <w:lang w:bidi="hi-IN"/>
        </w:rPr>
      </w:pPr>
      <w:r>
        <w:rPr>
          <w:lang w:bidi="hi-IN"/>
        </w:rPr>
        <w:t>(52)</w:t>
        <w:tab/>
        <w:t xml:space="preserve">Bennett, C. H. Efficient Estimation of Free Energy Differences from Monte Carlo Data. </w:t>
      </w:r>
      <w:r>
        <w:rPr>
          <w:i/>
          <w:iCs/>
          <w:lang w:bidi="hi-IN"/>
        </w:rPr>
        <w:t>Journal of Computational Physics</w:t>
      </w:r>
      <w:r>
        <w:rPr>
          <w:lang w:bidi="hi-IN"/>
        </w:rPr>
        <w:t xml:space="preserve"> </w:t>
      </w:r>
      <w:r>
        <w:rPr>
          <w:b/>
          <w:bCs/>
          <w:lang w:bidi="hi-IN"/>
        </w:rPr>
        <w:t>1976</w:t>
      </w:r>
      <w:r>
        <w:rPr>
          <w:lang w:bidi="hi-IN"/>
        </w:rPr>
        <w:t xml:space="preserve">, </w:t>
      </w:r>
      <w:r>
        <w:rPr>
          <w:i/>
          <w:iCs/>
          <w:lang w:bidi="hi-IN"/>
        </w:rPr>
        <w:t>22</w:t>
      </w:r>
      <w:r>
        <w:rPr>
          <w:lang w:bidi="hi-IN"/>
        </w:rPr>
        <w:t xml:space="preserve"> (2), 245–268. https://doi.org/10.1016/0021-9991(76)90078-4</w:t>
      </w:r>
    </w:p>
    <w:p w14:paraId="1D8E1962" w14:textId="77777777" w:rsidR="008A2546" w:rsidRPr="008A2546" w:rsidRDefault="008A2546" w:rsidP="008A2546">
      <w:pPr>
        <w:pStyle w:val="Bibliography"/>
        <w:rPr>
          <w:lang w:bidi="hi-IN"/>
        </w:rPr>
      </w:pPr>
      <w:r>
        <w:rPr>
          <w:lang w:bidi="hi-IN"/>
        </w:rPr>
        <w:t>(53)</w:t>
        <w:tab/>
        <w:t xml:space="preserve">Rocklin, G. J.; Mobley, D. L.; Dill, K. A.; Hünenberger, P. H. Calculating the Binding Free Energies of Charged Species Based on Explicit-Solvent Simulations Employing Lattice-Sum Methods: An Accurate Correction Scheme for Electrostatic Finite-Size Effects. </w:t>
      </w:r>
      <w:r>
        <w:rPr>
          <w:i/>
          <w:iCs/>
          <w:lang w:bidi="hi-IN"/>
        </w:rPr>
        <w:t>J. Chem. Phys.</w:t>
      </w:r>
      <w:r>
        <w:rPr>
          <w:lang w:bidi="hi-IN"/>
        </w:rPr>
        <w:t xml:space="preserve"> </w:t>
      </w:r>
      <w:r>
        <w:rPr>
          <w:b/>
          <w:bCs/>
          <w:lang w:bidi="hi-IN"/>
        </w:rPr>
        <w:t>2013</w:t>
      </w:r>
      <w:r>
        <w:rPr>
          <w:lang w:bidi="hi-IN"/>
        </w:rPr>
        <w:t xml:space="preserve">, </w:t>
      </w:r>
      <w:r>
        <w:rPr>
          <w:i/>
          <w:iCs/>
          <w:lang w:bidi="hi-IN"/>
        </w:rPr>
        <w:t>139</w:t>
      </w:r>
      <w:r>
        <w:rPr>
          <w:lang w:bidi="hi-IN"/>
        </w:rPr>
        <w:t xml:space="preserve"> (18), 184103. https://doi.org/10.1063/1.4826261</w:t>
      </w:r>
    </w:p>
    <w:p w14:paraId="6F709898" w14:textId="77777777" w:rsidR="008A2546" w:rsidRPr="008A2546" w:rsidRDefault="008A2546" w:rsidP="008A2546">
      <w:pPr>
        <w:pStyle w:val="Bibliography"/>
        <w:rPr>
          <w:lang w:bidi="hi-IN"/>
        </w:rPr>
      </w:pPr>
      <w:r>
        <w:rPr>
          <w:lang w:bidi="hi-IN"/>
        </w:rPr>
        <w:t>(54)</w:t>
        <w:tab/>
        <w:t xml:space="preserve">Orkin, C.; Kuritzkes, D. R.; Katlama, C.; Su, F.-H.; Plank, R. M.; Lahoulou, R.; Asante-Appiah, E. Doravirine Resistance Patterns Identified Through Week 192 in the DRIVE-FORWARD and DRIVE-AHEAD Phase 3 Clinical Trials. </w:t>
      </w:r>
      <w:r>
        <w:rPr>
          <w:i/>
          <w:iCs/>
          <w:lang w:bidi="hi-IN"/>
        </w:rPr>
        <w:t>J Acquir Immune Defic Syndr</w:t>
      </w:r>
      <w:r>
        <w:rPr>
          <w:lang w:bidi="hi-IN"/>
        </w:rPr>
        <w:t xml:space="preserve"> </w:t>
      </w:r>
      <w:r>
        <w:rPr>
          <w:b/>
          <w:bCs/>
          <w:lang w:bidi="hi-IN"/>
        </w:rPr>
        <w:t>2026</w:t>
      </w:r>
      <w:r>
        <w:rPr>
          <w:lang w:bidi="hi-IN"/>
        </w:rPr>
        <w:t xml:space="preserve">, </w:t>
      </w:r>
      <w:r>
        <w:rPr>
          <w:i/>
          <w:iCs/>
          <w:lang w:bidi="hi-IN"/>
        </w:rPr>
        <w:t>101</w:t>
      </w:r>
      <w:r>
        <w:rPr>
          <w:lang w:bidi="hi-IN"/>
        </w:rPr>
        <w:t xml:space="preserve"> (3), 308–315. https://doi.org/10.1097/QAI.0000000000003787</w:t>
      </w:r>
    </w:p>
    <w:p w14:paraId="4D9AF0CF" w14:textId="77777777" w:rsidR="008A2546" w:rsidRPr="008A2546" w:rsidRDefault="008A2546" w:rsidP="008A2546">
      <w:pPr>
        <w:pStyle w:val="Bibliography"/>
        <w:rPr>
          <w:lang w:bidi="hi-IN"/>
        </w:rPr>
      </w:pPr>
      <w:r>
        <w:rPr>
          <w:lang w:bidi="hi-IN"/>
        </w:rPr>
        <w:t>(55)</w:t>
        <w:tab/>
        <w:t xml:space="preserve">Asante-Appiah, E.; Lai, J.; Wan, H.; Yang, D.; Martin, E. A.; Sklar, P.; Hazuda, D.; Petropoulos, C. J.; Walworth, C.; Grobler, J. A. Impact of HIV-1 Resistance-Associated Mutations on Susceptibility to Doravirine: Analysis of Real-World Clinical Isolates. </w:t>
      </w:r>
      <w:r>
        <w:rPr>
          <w:i/>
          <w:iCs/>
          <w:lang w:bidi="hi-IN"/>
        </w:rPr>
        <w:t>Antimicrobial Agents and Chemotherapy</w:t>
      </w:r>
      <w:r>
        <w:rPr>
          <w:lang w:bidi="hi-IN"/>
        </w:rPr>
        <w:t xml:space="preserve"> </w:t>
      </w:r>
      <w:r>
        <w:rPr>
          <w:b/>
          <w:bCs/>
          <w:lang w:bidi="hi-IN"/>
        </w:rPr>
        <w:t>2021</w:t>
      </w:r>
      <w:r>
        <w:rPr>
          <w:lang w:bidi="hi-IN"/>
        </w:rPr>
        <w:t xml:space="preserve">, </w:t>
      </w:r>
      <w:r>
        <w:rPr>
          <w:i/>
          <w:iCs/>
          <w:lang w:bidi="hi-IN"/>
        </w:rPr>
        <w:t>65</w:t>
      </w:r>
      <w:r>
        <w:rPr>
          <w:lang w:bidi="hi-IN"/>
        </w:rPr>
        <w:t xml:space="preserve"> (12), 10.1128/aac.01216-21. https://doi.org/10.1128/aac.01216-21</w:t>
      </w:r>
    </w:p>
    <w:p w14:paraId="4C151D20" w14:textId="77777777" w:rsidR="008A2546" w:rsidRPr="008A2546" w:rsidRDefault="008A2546" w:rsidP="008A2546">
      <w:pPr>
        <w:pStyle w:val="Bibliography"/>
        <w:rPr>
          <w:lang w:bidi="hi-IN"/>
        </w:rPr>
      </w:pPr>
      <w:r>
        <w:rPr>
          <w:lang w:bidi="hi-IN"/>
        </w:rPr>
        <w:t>(56)</w:t>
        <w:tab/>
        <w:t xml:space="preserve">Lai, M.-T.; Xu, M.; Ngo, W.; Feng, M.; Graham, D.; Wang, J.; Hazuda, D. J.; Hanna, G. J.; Kumar, S.; Xu, X.; Martin, E.; Hwang, C. </w:t>
      </w:r>
      <w:r>
        <w:rPr>
          <w:i/>
          <w:iCs/>
          <w:lang w:bidi="hi-IN"/>
        </w:rPr>
        <w:t>Characterization of Doravirine-Selected Resistance Patterns From Participants in Treatment-Naïve Phase 3 Clinical Trials</w:t>
      </w:r>
      <w:r>
        <w:rPr>
          <w:lang w:bidi="hi-IN"/>
        </w:rPr>
        <w:t>. https://www.natap.org/2018/IAC/IAC_54.htm (accessed 2026-05-24)</w:t>
      </w:r>
    </w:p>
    <w:p w14:paraId="610B2BFD" w14:textId="77777777" w:rsidR="008A2546" w:rsidRPr="008A2546" w:rsidRDefault="008A2546" w:rsidP="008A2546">
      <w:pPr>
        <w:pStyle w:val="Bibliography"/>
        <w:rPr>
          <w:lang w:bidi="hi-IN"/>
        </w:rPr>
      </w:pPr>
      <w:r>
        <w:rPr>
          <w:lang w:bidi="hi-IN"/>
        </w:rPr>
        <w:t>(57)</w:t>
        <w:tab/>
        <w:t xml:space="preserve">Hazuda, D. J.; Xu, M.; Ngo, W.; Feng, M.; Hwang, C.; Grobler, J. A.; Lai, M.-T. </w:t>
      </w:r>
      <w:r>
        <w:rPr>
          <w:i/>
          <w:iCs/>
          <w:lang w:bidi="hi-IN"/>
        </w:rPr>
        <w:t>Understanding the Resistance Profile of the HIV-1 NNRTI Doravirine in Combination With the Novel NRTTI MK-8591</w:t>
      </w:r>
      <w:r>
        <w:rPr>
          <w:lang w:bidi="hi-IN"/>
        </w:rPr>
        <w:t>. https://www.natap.org/2018/IAC/IAC_48.htm (accessed 2026-05-24)</w:t>
      </w:r>
    </w:p>
    <w:p w14:paraId="04A3812D" w14:textId="77777777" w:rsidR="008A2546" w:rsidRPr="008A2546" w:rsidRDefault="008A2546" w:rsidP="008A2546">
      <w:pPr>
        <w:pStyle w:val="Bibliography"/>
        <w:rPr>
          <w:lang w:bidi="hi-IN"/>
        </w:rPr>
      </w:pPr>
      <w:r>
        <w:rPr>
          <w:lang w:bidi="hi-IN"/>
        </w:rPr>
        <w:t>(58)</w:t>
        <w:tab/>
        <w:t xml:space="preserve">Smith, S. J.; Pauly, G. T.; Akram, A.; Melody, K.; Ambrose, Z.; Schneider, J. P.; Hughes, S. H. Rilpivirine and Doravirine Have Complementary Efficacies Against NNRTI-Resistant HIV-1 Mutants. </w:t>
      </w:r>
      <w:r>
        <w:rPr>
          <w:i/>
          <w:iCs/>
          <w:lang w:bidi="hi-IN"/>
        </w:rPr>
        <w:t>JAIDS Journal of Acquired Immune Deficiency Syndromes</w:t>
      </w:r>
      <w:r>
        <w:rPr>
          <w:lang w:bidi="hi-IN"/>
        </w:rPr>
        <w:t xml:space="preserve"> </w:t>
      </w:r>
      <w:r>
        <w:rPr>
          <w:b/>
          <w:bCs/>
          <w:lang w:bidi="hi-IN"/>
        </w:rPr>
        <w:t>2016</w:t>
      </w:r>
      <w:r>
        <w:rPr>
          <w:lang w:bidi="hi-IN"/>
        </w:rPr>
        <w:t xml:space="preserve">, </w:t>
      </w:r>
      <w:r>
        <w:rPr>
          <w:i/>
          <w:iCs/>
          <w:lang w:bidi="hi-IN"/>
        </w:rPr>
        <w:t>72</w:t>
      </w:r>
      <w:r>
        <w:rPr>
          <w:lang w:bidi="hi-IN"/>
        </w:rPr>
        <w:t xml:space="preserve"> (5), 485. https://doi.org/10.1097/QAI.0000000000001031</w:t>
      </w:r>
    </w:p>
    <w:p w14:paraId="0F9F3CEB" w14:textId="77777777" w:rsidR="008A2546" w:rsidRPr="008A2546" w:rsidRDefault="008A2546" w:rsidP="008A2546">
      <w:pPr>
        <w:pStyle w:val="Bibliography"/>
        <w:rPr>
          <w:lang w:bidi="hi-IN"/>
        </w:rPr>
      </w:pPr>
      <w:r>
        <w:rPr>
          <w:lang w:bidi="hi-IN"/>
        </w:rPr>
        <w:lastRenderedPageBreak/>
        <w:t>(59)</w:t>
        <w:tab/>
        <w:t xml:space="preserve">Kellinger, M. W.; Johnson, K. A. Nucleotide-Dependent Conformational Change Governs Specificity and Analog Discrimination by HIV Reverse Transcriptase. </w:t>
      </w:r>
      <w:r>
        <w:rPr>
          <w:i/>
          <w:iCs/>
          <w:lang w:bidi="hi-IN"/>
        </w:rPr>
        <w:t>Proceedings of the National Academy of Sciences</w:t>
      </w:r>
      <w:r>
        <w:rPr>
          <w:lang w:bidi="hi-IN"/>
        </w:rPr>
        <w:t xml:space="preserve"> </w:t>
      </w:r>
      <w:r>
        <w:rPr>
          <w:b/>
          <w:bCs/>
          <w:lang w:bidi="hi-IN"/>
        </w:rPr>
        <w:t>2010</w:t>
      </w:r>
      <w:r>
        <w:rPr>
          <w:lang w:bidi="hi-IN"/>
        </w:rPr>
        <w:t xml:space="preserve">, </w:t>
      </w:r>
      <w:r>
        <w:rPr>
          <w:i/>
          <w:iCs/>
          <w:lang w:bidi="hi-IN"/>
        </w:rPr>
        <w:t>107</w:t>
      </w:r>
      <w:r>
        <w:rPr>
          <w:lang w:bidi="hi-IN"/>
        </w:rPr>
        <w:t xml:space="preserve"> (17), 7734–7739. https://doi.org/10.1073/pnas.0913946107</w:t>
      </w:r>
    </w:p>
    <w:p w14:paraId="6AF0C53B" w14:textId="77777777" w:rsidR="008A2546" w:rsidRPr="008A2546" w:rsidRDefault="008A2546" w:rsidP="008A2546">
      <w:pPr>
        <w:pStyle w:val="Bibliography"/>
        <w:rPr>
          <w:lang w:bidi="hi-IN"/>
        </w:rPr>
      </w:pPr>
      <w:r>
        <w:rPr>
          <w:lang w:bidi="hi-IN"/>
        </w:rPr>
        <w:t>(60)</w:t>
        <w:tab/>
        <w:t xml:space="preserve">Chachra, R.; Rizzo, R. C. Origins of Resistance Conferred by the R292K Neuraminidase Mutation via Molecular Dynamics and Free Energy Calculations. </w:t>
      </w:r>
      <w:r>
        <w:rPr>
          <w:i/>
          <w:iCs/>
          <w:lang w:bidi="hi-IN"/>
        </w:rPr>
        <w:t>J. Chem. Theory Comput.</w:t>
      </w:r>
      <w:r>
        <w:rPr>
          <w:lang w:bidi="hi-IN"/>
        </w:rPr>
        <w:t xml:space="preserve"> </w:t>
      </w:r>
      <w:r>
        <w:rPr>
          <w:b/>
          <w:bCs/>
          <w:lang w:bidi="hi-IN"/>
        </w:rPr>
        <w:t>2008</w:t>
      </w:r>
      <w:r>
        <w:rPr>
          <w:lang w:bidi="hi-IN"/>
        </w:rPr>
        <w:t xml:space="preserve">, </w:t>
      </w:r>
      <w:r>
        <w:rPr>
          <w:i/>
          <w:iCs/>
          <w:lang w:bidi="hi-IN"/>
        </w:rPr>
        <w:t>4</w:t>
      </w:r>
      <w:r>
        <w:rPr>
          <w:lang w:bidi="hi-IN"/>
        </w:rPr>
        <w:t xml:space="preserve"> (9), 1526–1540. https://doi.org/10.1021/ct800068v</w:t>
      </w:r>
    </w:p>
    <w:p w14:paraId="31CB5BAD" w14:textId="77777777" w:rsidR="008A2546" w:rsidRPr="008A2546" w:rsidRDefault="008A2546" w:rsidP="008A2546">
      <w:pPr>
        <w:pStyle w:val="Bibliography"/>
        <w:rPr>
          <w:lang w:bidi="hi-IN"/>
        </w:rPr>
      </w:pPr>
      <w:r>
        <w:rPr>
          <w:lang w:bidi="hi-IN"/>
        </w:rPr>
        <w:t>(61)</w:t>
        <w:tab/>
        <w:t xml:space="preserve">Ripoll, D. R.; Khavrutskii, I. V.; Chaudhury, S.; Liu, J.; Kuschner, R. A.; Wallqvist, A.; Reifman, J. Quantitative Predictions of Binding Free Energy Changes in Drug-Resistant Influenza Neuraminidase. </w:t>
      </w:r>
      <w:r>
        <w:rPr>
          <w:i/>
          <w:iCs/>
          <w:lang w:bidi="hi-IN"/>
        </w:rPr>
        <w:t>PLOS Computational Biology</w:t>
      </w:r>
      <w:r>
        <w:rPr>
          <w:lang w:bidi="hi-IN"/>
        </w:rPr>
        <w:t xml:space="preserve"> </w:t>
      </w:r>
      <w:r>
        <w:rPr>
          <w:b/>
          <w:bCs/>
          <w:lang w:bidi="hi-IN"/>
        </w:rPr>
        <w:t>2012</w:t>
      </w:r>
      <w:r>
        <w:rPr>
          <w:lang w:bidi="hi-IN"/>
        </w:rPr>
        <w:t xml:space="preserve">, </w:t>
      </w:r>
      <w:r>
        <w:rPr>
          <w:i/>
          <w:iCs/>
          <w:lang w:bidi="hi-IN"/>
        </w:rPr>
        <w:t>8</w:t>
      </w:r>
      <w:r>
        <w:rPr>
          <w:lang w:bidi="hi-IN"/>
        </w:rPr>
        <w:t xml:space="preserve"> (8), e1002665. https://doi.org/10.1371/journal.pcbi.1002665</w:t>
      </w:r>
    </w:p>
    <w:p w14:paraId="6188BD42" w14:textId="77777777" w:rsidR="008A2546" w:rsidRPr="008A2546" w:rsidRDefault="008A2546" w:rsidP="008A2546">
      <w:pPr>
        <w:pStyle w:val="Bibliography"/>
        <w:rPr>
          <w:lang w:bidi="hi-IN"/>
        </w:rPr>
      </w:pPr>
      <w:r>
        <w:rPr>
          <w:lang w:bidi="hi-IN"/>
        </w:rPr>
        <w:t>(62)</w:t>
        <w:tab/>
        <w:t xml:space="preserve">Havranek, B.; Demissie, R.; Lee, H.; Lan, S.; Zhang, H.; Sarafianos, S.; Ayitou, A. J.-L.; Islam, S. M. Discovery of Nirmatrelvir Resistance Mutations in SARS-CoV‑2 3CLpro: A Computational-Experimental Approach. </w:t>
      </w:r>
      <w:r>
        <w:rPr>
          <w:i/>
          <w:iCs/>
          <w:lang w:bidi="hi-IN"/>
        </w:rPr>
        <w:t>J. Chem. Inf. Model.</w:t>
      </w:r>
      <w:r>
        <w:rPr>
          <w:lang w:bidi="hi-IN"/>
        </w:rPr>
        <w:t xml:space="preserve"> </w:t>
      </w:r>
      <w:r>
        <w:rPr>
          <w:b/>
          <w:bCs/>
          <w:lang w:bidi="hi-IN"/>
        </w:rPr>
        <w:t>2023</w:t>
      </w:r>
      <w:r>
        <w:rPr>
          <w:lang w:bidi="hi-IN"/>
        </w:rPr>
        <w:t xml:space="preserve">, </w:t>
      </w:r>
      <w:r>
        <w:rPr>
          <w:i/>
          <w:iCs/>
          <w:lang w:bidi="hi-IN"/>
        </w:rPr>
        <w:t>63</w:t>
      </w:r>
      <w:r>
        <w:rPr>
          <w:lang w:bidi="hi-IN"/>
        </w:rPr>
        <w:t xml:space="preserve"> (22), 7180–7188. https://doi.org/10.1021/acs.jcim.3c01269</w:t>
      </w:r>
    </w:p>
    <w:p w14:paraId="55D17CC5" w14:textId="77777777" w:rsidR="008A2546" w:rsidRPr="008A2546" w:rsidRDefault="008A2546" w:rsidP="008A2546">
      <w:pPr>
        <w:pStyle w:val="Bibliography"/>
        <w:rPr>
          <w:lang w:bidi="hi-IN"/>
        </w:rPr>
      </w:pPr>
      <w:r>
        <w:rPr>
          <w:lang w:bidi="hi-IN"/>
        </w:rPr>
        <w:t>(63)</w:t>
        <w:tab/>
        <w:t xml:space="preserve">Cai, Y.; Schiffer, C. A. Decomposing the Energetic Impact of Drug Resistant Mutations in HIV-1 Protease on Binding DRV. </w:t>
      </w:r>
      <w:r>
        <w:rPr>
          <w:i/>
          <w:iCs/>
          <w:lang w:bidi="hi-IN"/>
        </w:rPr>
        <w:t>J. Chem. Theory Comput.</w:t>
      </w:r>
      <w:r>
        <w:rPr>
          <w:lang w:bidi="hi-IN"/>
        </w:rPr>
        <w:t xml:space="preserve"> </w:t>
      </w:r>
      <w:r>
        <w:rPr>
          <w:b/>
          <w:bCs/>
          <w:lang w:bidi="hi-IN"/>
        </w:rPr>
        <w:t>2010</w:t>
      </w:r>
      <w:r>
        <w:rPr>
          <w:lang w:bidi="hi-IN"/>
        </w:rPr>
        <w:t xml:space="preserve">, </w:t>
      </w:r>
      <w:r>
        <w:rPr>
          <w:i/>
          <w:iCs/>
          <w:lang w:bidi="hi-IN"/>
        </w:rPr>
        <w:t>6</w:t>
      </w:r>
      <w:r>
        <w:rPr>
          <w:lang w:bidi="hi-IN"/>
        </w:rPr>
        <w:t xml:space="preserve"> (4), 1358–1368. https://doi.org/10.1021/ct9004678</w:t>
      </w:r>
    </w:p>
    <w:p w14:paraId="60AC6BB4" w14:textId="77777777" w:rsidR="008A2546" w:rsidRPr="008A2546" w:rsidRDefault="008A2546" w:rsidP="008A2546">
      <w:pPr>
        <w:pStyle w:val="Bibliography"/>
        <w:rPr>
          <w:lang w:bidi="hi-IN"/>
        </w:rPr>
      </w:pPr>
      <w:r>
        <w:rPr>
          <w:lang w:bidi="hi-IN"/>
        </w:rPr>
        <w:t>(64)</w:t>
        <w:tab/>
        <w:t xml:space="preserve">Bastys, T.; Gapsys, V.; Doncheva, N. T.; Kaiser, R.; de Groot, B. L.; Kalinina, O. V. Consistent Prediction of Mutation Effect on Drug Binding in HIV‑1 Protease Using Alchemical Calculations.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(7), 3397–3408. https://doi.org/10.1021/acs.jctc.7b01109</w:t>
      </w:r>
    </w:p>
    <w:p w14:paraId="51ACC5EF" w14:textId="77777777" w:rsidR="008A2546" w:rsidRPr="008A2546" w:rsidRDefault="008A2546" w:rsidP="008A2546">
      <w:pPr>
        <w:pStyle w:val="Bibliography"/>
        <w:rPr>
          <w:lang w:bidi="hi-IN"/>
        </w:rPr>
      </w:pPr>
      <w:r>
        <w:rPr>
          <w:lang w:bidi="hi-IN"/>
        </w:rPr>
        <w:t>(65)</w:t>
        <w:tab/>
        <w:t xml:space="preserve">Bastys, T.; Gapsys, V.; Walter, H.; Heger, E.; Doncheva, N. T.; Kaiser, R.; de Groot, B. L.; Kalinina, O. V. Non-Active Site Mutants of HIV-1 Protease Influence Resistance and Sensitisation towards Protease Inhibitors. </w:t>
      </w:r>
      <w:r>
        <w:rPr>
          <w:i/>
          <w:iCs/>
          <w:lang w:bidi="hi-IN"/>
        </w:rPr>
        <w:t>Retrovirology</w:t>
      </w:r>
      <w:r>
        <w:rPr>
          <w:lang w:bidi="hi-IN"/>
        </w:rPr>
        <w:t xml:space="preserve"> </w:t>
      </w:r>
      <w:r>
        <w:rPr>
          <w:b/>
          <w:bCs/>
          <w:lang w:bidi="hi-IN"/>
        </w:rPr>
        <w:t>2020</w:t>
      </w:r>
      <w:r>
        <w:rPr>
          <w:lang w:bidi="hi-IN"/>
        </w:rPr>
        <w:t xml:space="preserve">, </w:t>
      </w:r>
      <w:r>
        <w:rPr>
          <w:i/>
          <w:iCs/>
          <w:lang w:bidi="hi-IN"/>
        </w:rPr>
        <w:t>17</w:t>
      </w:r>
      <w:r>
        <w:rPr>
          <w:lang w:bidi="hi-IN"/>
        </w:rPr>
        <w:t xml:space="preserve"> (1), 13. https://doi.org/10.1186/s12977-020-00520-6</w:t>
      </w:r>
    </w:p>
    <w:p w14:paraId="6C325117" w14:textId="77777777" w:rsidR="008A2546" w:rsidRPr="008A2546" w:rsidRDefault="008A2546" w:rsidP="008A2546">
      <w:pPr>
        <w:pStyle w:val="Bibliography"/>
        <w:rPr>
          <w:lang w:bidi="hi-IN"/>
        </w:rPr>
      </w:pPr>
      <w:r>
        <w:rPr>
          <w:lang w:bidi="hi-IN"/>
        </w:rPr>
        <w:t>(66)</w:t>
        <w:tab/>
        <w:t xml:space="preserve">Sun, Q.; Levy, R. M.; Kirby, K. A.; Wang, Z.; Sarafianos, S. G.; Deng, N. Molecular Dynamics Free Energy Simulations Reveal the Mechanism for the Antiviral Resistance of the M66I HIV-1 Capsid Mutation. </w:t>
      </w:r>
      <w:r>
        <w:rPr>
          <w:i/>
          <w:iCs/>
          <w:lang w:bidi="hi-IN"/>
        </w:rPr>
        <w:t>Viruses</w:t>
      </w:r>
      <w:r>
        <w:rPr>
          <w:lang w:bidi="hi-IN"/>
        </w:rPr>
        <w:t xml:space="preserve"> </w:t>
      </w:r>
      <w:r>
        <w:rPr>
          <w:b/>
          <w:bCs/>
          <w:lang w:bidi="hi-IN"/>
        </w:rPr>
        <w:t>2021</w:t>
      </w:r>
      <w:r>
        <w:rPr>
          <w:lang w:bidi="hi-IN"/>
        </w:rPr>
        <w:t xml:space="preserve">, </w:t>
      </w:r>
      <w:r>
        <w:rPr>
          <w:i/>
          <w:iCs/>
          <w:lang w:bidi="hi-IN"/>
        </w:rPr>
        <w:t>13</w:t>
      </w:r>
      <w:r>
        <w:rPr>
          <w:lang w:bidi="hi-IN"/>
        </w:rPr>
        <w:t xml:space="preserve"> (5), 920. https://doi.org/10.3390/v13050920</w:t>
      </w:r>
    </w:p>
    <w:p w14:paraId="615DD571" w14:textId="77777777" w:rsidR="008A2546" w:rsidRPr="008A2546" w:rsidRDefault="008A2546" w:rsidP="008A2546">
      <w:pPr>
        <w:pStyle w:val="Bibliography"/>
        <w:rPr>
          <w:lang w:bidi="hi-IN"/>
        </w:rPr>
      </w:pPr>
      <w:r>
        <w:rPr>
          <w:lang w:bidi="hi-IN"/>
        </w:rPr>
        <w:t>(67)</w:t>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Pr>
          <w:i/>
          <w:iCs/>
          <w:lang w:bidi="hi-IN"/>
        </w:rPr>
        <w:t>Science Advances</w:t>
      </w:r>
      <w:r>
        <w:rPr>
          <w:lang w:bidi="hi-IN"/>
        </w:rPr>
        <w:t xml:space="preserve"> </w:t>
      </w:r>
      <w:r>
        <w:rPr>
          <w:b/>
          <w:bCs/>
          <w:lang w:bidi="hi-IN"/>
        </w:rPr>
        <w:t>2023</w:t>
      </w:r>
      <w:r>
        <w:rPr>
          <w:lang w:bidi="hi-IN"/>
        </w:rPr>
        <w:t xml:space="preserve">, </w:t>
      </w:r>
      <w:r>
        <w:rPr>
          <w:i/>
          <w:iCs/>
          <w:lang w:bidi="hi-IN"/>
        </w:rPr>
        <w:t>9</w:t>
      </w:r>
      <w:r>
        <w:rPr>
          <w:lang w:bidi="hi-IN"/>
        </w:rPr>
        <w:t xml:space="preserve"> (29), eadg5953. https://doi.org/10.1126/sciadv.adg5953</w:t>
      </w:r>
    </w:p>
    <w:p w14:paraId="67D23414" w14:textId="77777777" w:rsidR="008A2546" w:rsidRPr="008A2546" w:rsidRDefault="008A2546" w:rsidP="008A2546">
      <w:pPr>
        <w:pStyle w:val="Bibliography"/>
        <w:rPr>
          <w:lang w:bidi="hi-IN"/>
        </w:rPr>
      </w:pPr>
      <w:r>
        <w:rPr>
          <w:lang w:bidi="hi-IN"/>
        </w:rPr>
        <w:t>(68)</w:t>
        <w:tab/>
        <w:t xml:space="preserve">Hauser, K.; Negron, C.; Albanese, S. K.; Ray, S.; Steinbrecher, T.; Abel, R.; Chodera, J. D.; Wang, L. Predicting Resistance of Clinical Abl Mutations to Targeted Kinase Inhibitors Using Alchemical Free-Energy Calculations. </w:t>
      </w:r>
      <w:r>
        <w:rPr>
          <w:i/>
          <w:iCs/>
          <w:lang w:bidi="hi-IN"/>
        </w:rPr>
        <w:t>Commun Biol</w:t>
      </w:r>
      <w:r>
        <w:rPr>
          <w:lang w:bidi="hi-IN"/>
        </w:rPr>
        <w:t xml:space="preserve"> </w:t>
      </w:r>
      <w:r>
        <w:rPr>
          <w:b/>
          <w:bCs/>
          <w:lang w:bidi="hi-IN"/>
        </w:rPr>
        <w:t>2018</w:t>
      </w:r>
      <w:r>
        <w:rPr>
          <w:lang w:bidi="hi-IN"/>
        </w:rPr>
        <w:t xml:space="preserve">, </w:t>
      </w:r>
      <w:r>
        <w:rPr>
          <w:i/>
          <w:iCs/>
          <w:lang w:bidi="hi-IN"/>
        </w:rPr>
        <w:t>1</w:t>
      </w:r>
      <w:r>
        <w:rPr>
          <w:lang w:bidi="hi-IN"/>
        </w:rPr>
        <w:t xml:space="preserve"> (1), 70. https://doi.org/10.1038/s42003-018-0075-x</w:t>
      </w:r>
    </w:p>
    <w:p w14:paraId="0624CFEA" w14:textId="77777777" w:rsidR="008A2546" w:rsidRPr="008A2546" w:rsidRDefault="008A2546" w:rsidP="008A2546">
      <w:pPr>
        <w:pStyle w:val="Bibliography"/>
        <w:rPr>
          <w:lang w:bidi="hi-IN"/>
        </w:rPr>
      </w:pPr>
      <w:r>
        <w:rPr>
          <w:lang w:bidi="hi-IN"/>
        </w:rPr>
        <w:lastRenderedPageBreak/>
        <w:t>(69)</w:t>
        <w:tab/>
        <w:t xml:space="preserve">Nagarajan, A.; Amberg-Johnson, K.; Paull, E.; Huang, K.; Ghanakota, P.; Chandrasinghe, A.; Chief Elk, J.; Sampson, J. M.; Wang, L.; Abel, R.; Albanese, S. K. Predicting Resistance to Small Molecule Kinase Inhibitors. </w:t>
      </w:r>
      <w:r>
        <w:rPr>
          <w:i/>
          <w:iCs/>
          <w:lang w:bidi="hi-IN"/>
        </w:rPr>
        <w:t>J. Chem. Inf. Model.</w:t>
      </w:r>
      <w:r>
        <w:rPr>
          <w:lang w:bidi="hi-IN"/>
        </w:rPr>
        <w:t xml:space="preserve"> </w:t>
      </w:r>
      <w:r>
        <w:rPr>
          <w:b/>
          <w:bCs/>
          <w:lang w:bidi="hi-IN"/>
        </w:rPr>
        <w:t>2025</w:t>
      </w:r>
      <w:r>
        <w:rPr>
          <w:lang w:bidi="hi-IN"/>
        </w:rPr>
        <w:t xml:space="preserve">, </w:t>
      </w:r>
      <w:r>
        <w:rPr>
          <w:i/>
          <w:iCs/>
          <w:lang w:bidi="hi-IN"/>
        </w:rPr>
        <w:t>65</w:t>
      </w:r>
      <w:r>
        <w:rPr>
          <w:lang w:bidi="hi-IN"/>
        </w:rPr>
        <w:t xml:space="preserve"> (5), 2543–2557. https://doi.org/10.1021/acs.jcim.4c02313</w:t>
      </w:r>
    </w:p>
    <w:p w14:paraId="4D490605" w14:textId="77777777" w:rsidR="008A2546" w:rsidRPr="008A2546" w:rsidRDefault="008A2546" w:rsidP="008A2546">
      <w:pPr>
        <w:pStyle w:val="Bibliography"/>
        <w:rPr>
          <w:lang w:bidi="hi-IN"/>
        </w:rPr>
      </w:pPr>
      <w:r>
        <w:rPr>
          <w:lang w:bidi="hi-IN"/>
        </w:rPr>
        <w:t>(70)</w:t>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Pr>
          <w:i/>
          <w:iCs/>
          <w:lang w:bidi="hi-IN"/>
        </w:rPr>
        <w:t>Journal American Chemical Society</w:t>
      </w:r>
      <w:r>
        <w:rPr>
          <w:lang w:bidi="hi-IN"/>
        </w:rPr>
        <w:t xml:space="preserve"> </w:t>
      </w:r>
      <w:r>
        <w:rPr>
          <w:b/>
          <w:bCs/>
          <w:lang w:bidi="hi-IN"/>
        </w:rPr>
        <w:t>2015</w:t>
      </w:r>
      <w:r>
        <w:rPr>
          <w:lang w:bidi="hi-IN"/>
        </w:rPr>
        <w:t xml:space="preserve">, </w:t>
      </w:r>
      <w:r>
        <w:rPr>
          <w:i/>
          <w:iCs/>
          <w:lang w:bidi="hi-IN"/>
        </w:rPr>
        <w:t>137</w:t>
      </w:r>
      <w:r>
        <w:rPr>
          <w:lang w:bidi="hi-IN"/>
        </w:rPr>
        <w:t xml:space="preserve"> (7), 2695–2703. https://doi.org/10.1021/ja512751q</w:t>
      </w:r>
    </w:p>
    <w:p w14:paraId="0578C8A2" w14:textId="77777777" w:rsidR="008A2546" w:rsidRPr="008A2546" w:rsidRDefault="008A2546" w:rsidP="008A2546">
      <w:pPr>
        <w:pStyle w:val="Bibliography"/>
        <w:rPr>
          <w:lang w:bidi="hi-IN"/>
        </w:rPr>
      </w:pPr>
      <w:r>
        <w:rPr>
          <w:lang w:bidi="hi-IN"/>
        </w:rPr>
        <w:t>(71)</w:t>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Pr>
          <w:i/>
          <w:iCs/>
          <w:lang w:bidi="hi-IN"/>
        </w:rPr>
        <w:t>J. Chem. Inf. Model.</w:t>
      </w:r>
      <w:r>
        <w:rPr>
          <w:lang w:bidi="hi-IN"/>
        </w:rPr>
        <w:t xml:space="preserve"> </w:t>
      </w:r>
      <w:r>
        <w:rPr>
          <w:b/>
          <w:bCs/>
          <w:lang w:bidi="hi-IN"/>
        </w:rPr>
        <w:t>2020</w:t>
      </w:r>
      <w:r>
        <w:rPr>
          <w:lang w:bidi="hi-IN"/>
        </w:rPr>
        <w:t xml:space="preserve">, </w:t>
      </w:r>
      <w:r>
        <w:rPr>
          <w:i/>
          <w:iCs/>
          <w:lang w:bidi="hi-IN"/>
        </w:rPr>
        <w:t>60</w:t>
      </w:r>
      <w:r>
        <w:rPr>
          <w:lang w:bidi="hi-IN"/>
        </w:rPr>
        <w:t xml:space="preserve"> (11), 5457–5474. https://doi.org/10.1021/acs.jcim.0c00900</w:t>
      </w:r>
    </w:p>
    <w:p w14:paraId="05B5A807" w14:textId="77777777" w:rsidR="008A2546" w:rsidRPr="008A2546" w:rsidRDefault="008A2546" w:rsidP="008A2546">
      <w:pPr>
        <w:pStyle w:val="Bibliography"/>
        <w:rPr>
          <w:lang w:bidi="hi-IN"/>
        </w:rPr>
      </w:pPr>
      <w:r>
        <w:rPr>
          <w:lang w:bidi="hi-IN"/>
        </w:rPr>
        <w:t>(72)</w:t>
        <w:tab/>
        <w:t xml:space="preserve">Ren, J.; Stammers, D. K. Structural Basis for Drug Resistance Mechanisms for Non-Nucleoside Inhibitors of HIV Reverse Transcriptase. </w:t>
      </w:r>
      <w:r>
        <w:rPr>
          <w:i/>
          <w:iCs/>
          <w:lang w:bidi="hi-IN"/>
        </w:rPr>
        <w:t>Virus Research</w:t>
      </w:r>
      <w:r>
        <w:rPr>
          <w:lang w:bidi="hi-IN"/>
        </w:rPr>
        <w:t xml:space="preserve"> </w:t>
      </w:r>
      <w:r>
        <w:rPr>
          <w:b/>
          <w:bCs/>
          <w:lang w:bidi="hi-IN"/>
        </w:rPr>
        <w:t>2008</w:t>
      </w:r>
      <w:r>
        <w:rPr>
          <w:lang w:bidi="hi-IN"/>
        </w:rPr>
        <w:t xml:space="preserve">, </w:t>
      </w:r>
      <w:r>
        <w:rPr>
          <w:i/>
          <w:iCs/>
          <w:lang w:bidi="hi-IN"/>
        </w:rPr>
        <w:t>134</w:t>
      </w:r>
      <w:r>
        <w:rPr>
          <w:lang w:bidi="hi-IN"/>
        </w:rPr>
        <w:t xml:space="preserve"> (1), 157–170. https://doi.org/10.1016/j.virusres.2007.12.018</w:t>
      </w:r>
    </w:p>
    <w:p w14:paraId="24FBB85C" w14:textId="77777777" w:rsidR="008A2546" w:rsidRPr="008A2546" w:rsidRDefault="008A2546" w:rsidP="008A2546">
      <w:pPr>
        <w:pStyle w:val="Bibliography"/>
        <w:rPr>
          <w:lang w:bidi="hi-IN"/>
        </w:rPr>
      </w:pPr>
      <w:r>
        <w:rPr>
          <w:lang w:bidi="hi-IN"/>
        </w:rPr>
        <w:t>(73)</w:t>
        <w:tab/>
        <w:t xml:space="preserve">Huang, W.; Gamarnik, A.; Limoli, K.; Petropoulos, C. J.; Whitcomb, J. M. Amino Acid Substitutions at Position 190 of Human Immunodeficiency Virus Type 1 Reverse Transcriptase Increase Susceptibility to Delavirdine and Impair Virus Replication. </w:t>
      </w:r>
      <w:r>
        <w:rPr>
          <w:i/>
          <w:iCs/>
          <w:lang w:bidi="hi-IN"/>
        </w:rPr>
        <w:t>Journal of Virology</w:t>
      </w:r>
      <w:r>
        <w:rPr>
          <w:lang w:bidi="hi-IN"/>
        </w:rPr>
        <w:t xml:space="preserve"> </w:t>
      </w:r>
      <w:r>
        <w:rPr>
          <w:b/>
          <w:bCs/>
          <w:lang w:bidi="hi-IN"/>
        </w:rPr>
        <w:t>2003</w:t>
      </w:r>
      <w:r>
        <w:rPr>
          <w:lang w:bidi="hi-IN"/>
        </w:rPr>
        <w:t xml:space="preserve">, </w:t>
      </w:r>
      <w:r>
        <w:rPr>
          <w:i/>
          <w:iCs/>
          <w:lang w:bidi="hi-IN"/>
        </w:rPr>
        <w:t>77</w:t>
      </w:r>
      <w:r>
        <w:rPr>
          <w:lang w:bidi="hi-IN"/>
        </w:rPr>
        <w:t xml:space="preserve"> (2), 1512–1523. https://doi.org/10.1128/jvi.77.2.1512-1523.2003</w:t>
      </w:r>
    </w:p>
    <w:p w14:paraId="67DC7484" w14:textId="77777777" w:rsidR="008A2546" w:rsidRPr="008A2546" w:rsidRDefault="008A2546" w:rsidP="008A2546">
      <w:pPr>
        <w:pStyle w:val="Bibliography"/>
        <w:rPr>
          <w:lang w:bidi="hi-IN"/>
        </w:rPr>
      </w:pPr>
      <w:r>
        <w:rPr>
          <w:lang w:bidi="hi-IN"/>
        </w:rPr>
        <w:t>(74)</w:t>
        <w:tab/>
        <w:t xml:space="preserve">Ren, J.; Nichols, C. E.; Chamberlain, P. P.; Weaver, K. L.; Short, S. A.; Stammers, D. K. Crystal Structures of HIV-1 Reverse Transcriptases Mutated at Codons 100, 106 and 108 and Mechanisms of Resistance to Non-Nucleoside Inhibitors. </w:t>
      </w:r>
      <w:r>
        <w:rPr>
          <w:i/>
          <w:iCs/>
          <w:lang w:bidi="hi-IN"/>
        </w:rPr>
        <w:t>Journal of Molecular Biology</w:t>
      </w:r>
      <w:r>
        <w:rPr>
          <w:lang w:bidi="hi-IN"/>
        </w:rPr>
        <w:t xml:space="preserve"> </w:t>
      </w:r>
      <w:r>
        <w:rPr>
          <w:b/>
          <w:bCs/>
          <w:lang w:bidi="hi-IN"/>
        </w:rPr>
        <w:t>2004</w:t>
      </w:r>
      <w:r>
        <w:rPr>
          <w:lang w:bidi="hi-IN"/>
        </w:rPr>
        <w:t xml:space="preserve">, </w:t>
      </w:r>
      <w:r>
        <w:rPr>
          <w:i/>
          <w:iCs/>
          <w:lang w:bidi="hi-IN"/>
        </w:rPr>
        <w:t>336</w:t>
      </w:r>
      <w:r>
        <w:rPr>
          <w:lang w:bidi="hi-IN"/>
        </w:rPr>
        <w:t xml:space="preserve"> (3), 569–578. https://doi.org/10.1016/j.jmb.2003.12.055</w:t>
      </w:r>
    </w:p>
    <w:p w14:paraId="0F6ED6A8" w14:textId="77777777" w:rsidR="008A2546" w:rsidRPr="008A2546" w:rsidRDefault="008A2546" w:rsidP="008A2546">
      <w:pPr>
        <w:pStyle w:val="Bibliography"/>
        <w:rPr>
          <w:lang w:bidi="hi-IN"/>
        </w:rPr>
      </w:pPr>
      <w:r>
        <w:rPr>
          <w:lang w:bidi="hi-IN"/>
        </w:rPr>
        <w:t>(75)</w:t>
        <w:tab/>
        <w:t xml:space="preserve">Reddy, N.; Papathanasopoulos, M.; Steegen, K.; Basson, A. E. K103N, V106M and Y188L Significantly Reduce HIV-1 Subtype C Phenotypic Susceptibility to Doravirine. </w:t>
      </w:r>
      <w:r>
        <w:rPr>
          <w:i/>
          <w:iCs/>
          <w:lang w:bidi="hi-IN"/>
        </w:rPr>
        <w:t>Viruses</w:t>
      </w:r>
      <w:r>
        <w:rPr>
          <w:lang w:bidi="hi-IN"/>
        </w:rPr>
        <w:t xml:space="preserve"> </w:t>
      </w:r>
      <w:r>
        <w:rPr>
          <w:b/>
          <w:bCs/>
          <w:lang w:bidi="hi-IN"/>
        </w:rPr>
        <w:t>2024</w:t>
      </w:r>
      <w:r>
        <w:rPr>
          <w:lang w:bidi="hi-IN"/>
        </w:rPr>
        <w:t xml:space="preserve">, </w:t>
      </w:r>
      <w:r>
        <w:rPr>
          <w:i/>
          <w:iCs/>
          <w:lang w:bidi="hi-IN"/>
        </w:rPr>
        <w:t>16</w:t>
      </w:r>
      <w:r>
        <w:rPr>
          <w:lang w:bidi="hi-IN"/>
        </w:rPr>
        <w:t xml:space="preserve"> (9), 1493. https://doi.org/10.3390/v16091493</w:t>
      </w:r>
    </w:p>
    <w:p w14:paraId="2A2D9152" w14:textId="77777777" w:rsidR="008A2546" w:rsidRPr="008A2546" w:rsidRDefault="008A2546" w:rsidP="008A2546">
      <w:pPr>
        <w:pStyle w:val="Bibliography"/>
        <w:rPr>
          <w:lang w:bidi="hi-IN"/>
        </w:rPr>
      </w:pPr>
      <w:r>
        <w:rPr>
          <w:lang w:bidi="hi-IN"/>
        </w:rPr>
        <w:t>(76)</w:t>
        <w:tab/>
        <w:t xml:space="preserve">Ghosh, M.; Jacques, P. S.; Rodgers, D. W.; Ottman, M.; Darlix, J.-L.; Le Grice, S. F. J. Alterations to the Primer Grip of P66 HIV-1 Reverse Transcriptase and Their Consequences for Template-Primer Utilization. </w:t>
      </w:r>
      <w:r>
        <w:rPr>
          <w:i/>
          <w:iCs/>
          <w:lang w:bidi="hi-IN"/>
        </w:rPr>
        <w:t>Biochemistry</w:t>
      </w:r>
      <w:r>
        <w:rPr>
          <w:lang w:bidi="hi-IN"/>
        </w:rPr>
        <w:t xml:space="preserve"> </w:t>
      </w:r>
      <w:r>
        <w:rPr>
          <w:b/>
          <w:bCs/>
          <w:lang w:bidi="hi-IN"/>
        </w:rPr>
        <w:t>1996</w:t>
      </w:r>
      <w:r>
        <w:rPr>
          <w:lang w:bidi="hi-IN"/>
        </w:rPr>
        <w:t xml:space="preserve">, </w:t>
      </w:r>
      <w:r>
        <w:rPr>
          <w:i/>
          <w:iCs/>
          <w:lang w:bidi="hi-IN"/>
        </w:rPr>
        <w:t>35</w:t>
      </w:r>
      <w:r>
        <w:rPr>
          <w:lang w:bidi="hi-IN"/>
        </w:rPr>
        <w:t xml:space="preserve"> (26), 8553–8562. https://doi.org/10.1021/bi952773j</w:t>
      </w:r>
    </w:p>
    <w:p w14:paraId="312CC9A9" w14:textId="77777777" w:rsidR="008A2546" w:rsidRPr="008A2546" w:rsidRDefault="008A2546" w:rsidP="008A2546">
      <w:pPr>
        <w:pStyle w:val="Bibliography"/>
        <w:rPr>
          <w:lang w:bidi="hi-IN"/>
        </w:rPr>
      </w:pPr>
      <w:r>
        <w:rPr>
          <w:lang w:bidi="hi-IN"/>
        </w:rPr>
        <w:t>(77)</w:t>
        <w:tab/>
        <w:t xml:space="preserve">Xu, H.-T.; Quan, Y.; Schader, S. M.; Oliveira, M.; Bar-Magen, T.; Wainberg, M. A. The M230L Nonnucleoside Reverse Transcriptase Inhibitor Resistance Mutation in HIV-1 Reverse Transcriptase Impairs Enzymatic Function and Viral Replicative Capacity. </w:t>
      </w:r>
      <w:r>
        <w:rPr>
          <w:i/>
          <w:iCs/>
          <w:lang w:bidi="hi-IN"/>
        </w:rPr>
        <w:lastRenderedPageBreak/>
        <w:t>Antimicrobial Agents and Chemotherapy</w:t>
      </w:r>
      <w:r>
        <w:rPr>
          <w:lang w:bidi="hi-IN"/>
        </w:rPr>
        <w:t xml:space="preserve"> </w:t>
      </w:r>
      <w:r>
        <w:rPr>
          <w:b/>
          <w:bCs/>
          <w:lang w:bidi="hi-IN"/>
        </w:rPr>
        <w:t>2010</w:t>
      </w:r>
      <w:r>
        <w:rPr>
          <w:lang w:bidi="hi-IN"/>
        </w:rPr>
        <w:t xml:space="preserve">, </w:t>
      </w:r>
      <w:r>
        <w:rPr>
          <w:i/>
          <w:iCs/>
          <w:lang w:bidi="hi-IN"/>
        </w:rPr>
        <w:t>54</w:t>
      </w:r>
      <w:r>
        <w:rPr>
          <w:lang w:bidi="hi-IN"/>
        </w:rPr>
        <w:t xml:space="preserve"> (6), 2401–2408. https://doi.org/10.1128/aac.01795-09</w:t>
      </w:r>
    </w:p>
    <w:p w14:paraId="1E412E31" w14:textId="77777777" w:rsidR="008A2546" w:rsidRPr="008A2546" w:rsidRDefault="008A2546" w:rsidP="008A2546">
      <w:pPr>
        <w:pStyle w:val="Bibliography"/>
        <w:rPr>
          <w:lang w:bidi="hi-IN"/>
        </w:rPr>
      </w:pPr>
      <w:r>
        <w:rPr>
          <w:lang w:bidi="hi-IN"/>
        </w:rPr>
        <w:t>(78)</w:t>
        <w:tab/>
        <w:t xml:space="preserve">van der Kamp, M. W.; Mulholland, A. J. Combined Quantum Mechanics/Molecular Mechanics (QM/MM) Methods in Computational Enzymology. </w:t>
      </w:r>
      <w:r>
        <w:rPr>
          <w:i/>
          <w:iCs/>
          <w:lang w:bidi="hi-IN"/>
        </w:rPr>
        <w:t>Biochemistry</w:t>
      </w:r>
      <w:r>
        <w:rPr>
          <w:lang w:bidi="hi-IN"/>
        </w:rPr>
        <w:t xml:space="preserve"> </w:t>
      </w:r>
      <w:r>
        <w:rPr>
          <w:b/>
          <w:bCs/>
          <w:lang w:bidi="hi-IN"/>
        </w:rPr>
        <w:t>2013</w:t>
      </w:r>
      <w:r>
        <w:rPr>
          <w:lang w:bidi="hi-IN"/>
        </w:rPr>
        <w:t xml:space="preserve">, </w:t>
      </w:r>
      <w:r>
        <w:rPr>
          <w:i/>
          <w:iCs/>
          <w:lang w:bidi="hi-IN"/>
        </w:rPr>
        <w:t>52</w:t>
      </w:r>
      <w:r>
        <w:rPr>
          <w:lang w:bidi="hi-IN"/>
        </w:rPr>
        <w:t xml:space="preserve"> (16), 2708–2728. https://doi.org/10.1021/bi400215w</w:t>
      </w:r>
    </w:p>
    <w:p w14:paraId="4595C074" w14:textId="77777777" w:rsidR="008A2546" w:rsidRPr="008A2546" w:rsidRDefault="008A2546" w:rsidP="008A2546">
      <w:pPr>
        <w:pStyle w:val="Bibliography"/>
        <w:rPr>
          <w:lang w:bidi="hi-IN"/>
        </w:rPr>
      </w:pPr>
      <w:r>
        <w:rPr>
          <w:lang w:bidi="hi-IN"/>
        </w:rPr>
        <w:t>(79)</w:t>
        <w:tab/>
        <w:t xml:space="preserve">Taguchi, M.; Oyama, R.; Kaneso, M.; Hayashi, S. Hybrid QM/MM Free-Energy Evaluation of Drug-Resistant Mutational Effect on the Binding of an Inhibitor Indinavir to HIV‑1 Protease. </w:t>
      </w:r>
      <w:r>
        <w:rPr>
          <w:i/>
          <w:iCs/>
          <w:lang w:bidi="hi-IN"/>
        </w:rPr>
        <w:t>J. Chem. Inf. Model.</w:t>
      </w:r>
      <w:r>
        <w:rPr>
          <w:lang w:bidi="hi-IN"/>
        </w:rPr>
        <w:t xml:space="preserve"> </w:t>
      </w:r>
      <w:r>
        <w:rPr>
          <w:b/>
          <w:bCs/>
          <w:lang w:bidi="hi-IN"/>
        </w:rPr>
        <w:t>2022</w:t>
      </w:r>
      <w:r>
        <w:rPr>
          <w:lang w:bidi="hi-IN"/>
        </w:rPr>
        <w:t xml:space="preserve">, </w:t>
      </w:r>
      <w:r>
        <w:rPr>
          <w:i/>
          <w:iCs/>
          <w:lang w:bidi="hi-IN"/>
        </w:rPr>
        <w:t>62</w:t>
      </w:r>
      <w:r>
        <w:rPr>
          <w:lang w:bidi="hi-IN"/>
        </w:rPr>
        <w:t xml:space="preserve"> (5), 1328–1344. https://doi.org/10.1021/acs.jcim.1c01193</w:t>
      </w:r>
    </w:p>
    <w:p w14:paraId="1D04F3E4" w14:textId="77777777" w:rsidR="008A2546" w:rsidRPr="008A2546" w:rsidRDefault="008A2546" w:rsidP="008A2546">
      <w:pPr>
        <w:pStyle w:val="Bibliography"/>
        <w:rPr>
          <w:lang w:bidi="hi-IN"/>
        </w:rPr>
      </w:pPr>
      <w:r>
        <w:rPr>
          <w:lang w:bidi="hi-IN"/>
        </w:rPr>
        <w:t>(80)</w:t>
        <w:tab/>
        <w:t xml:space="preserve">Plattner, N.; Noé, F. Protein Conformational Plasticity and Complex Ligand-Binding Kinetics Explored by Atomistic Simulations and Markov Models. </w:t>
      </w:r>
      <w:r>
        <w:rPr>
          <w:i/>
          <w:iCs/>
          <w:lang w:bidi="hi-IN"/>
        </w:rPr>
        <w:t>Nat Commun</w:t>
      </w:r>
      <w:r>
        <w:rPr>
          <w:lang w:bidi="hi-IN"/>
        </w:rPr>
        <w:t xml:space="preserve"> </w:t>
      </w:r>
      <w:r>
        <w:rPr>
          <w:b/>
          <w:bCs/>
          <w:lang w:bidi="hi-IN"/>
        </w:rPr>
        <w:t>2015</w:t>
      </w:r>
      <w:r>
        <w:rPr>
          <w:lang w:bidi="hi-IN"/>
        </w:rPr>
        <w:t xml:space="preserve">, </w:t>
      </w:r>
      <w:r>
        <w:rPr>
          <w:i/>
          <w:iCs/>
          <w:lang w:bidi="hi-IN"/>
        </w:rPr>
        <w:t>6</w:t>
      </w:r>
      <w:r>
        <w:rPr>
          <w:lang w:bidi="hi-IN"/>
        </w:rPr>
        <w:t xml:space="preserve"> (1), 7653. https://doi.org/10.1038/ncomms8653</w:t>
      </w:r>
    </w:p>
    <w:p w14:paraId="620D2BD2" w14:textId="77777777" w:rsidR="008A2546" w:rsidRPr="008A2546" w:rsidRDefault="008A2546" w:rsidP="008A2546">
      <w:pPr>
        <w:pStyle w:val="Bibliography"/>
        <w:rPr>
          <w:lang w:bidi="hi-IN"/>
        </w:rPr>
      </w:pPr>
      <w:r>
        <w:rPr>
          <w:lang w:bidi="hi-IN"/>
        </w:rPr>
        <w:t>(81)</w:t>
        <w:tab/>
        <w:t xml:space="preserve">Tiwary, P.; Limongelli, V.; Salvalaglio, M.; Parrinello, M. Kinetics of Protein–Ligand Unbinding: Predicting Pathways, Rates, and Rate-Limiting Steps. </w:t>
      </w:r>
      <w:r>
        <w:rPr>
          <w:i/>
          <w:iCs/>
          <w:lang w:bidi="hi-IN"/>
        </w:rPr>
        <w:t>Proceedings of the National Academy of Sciences</w:t>
      </w:r>
      <w:r>
        <w:rPr>
          <w:lang w:bidi="hi-IN"/>
        </w:rPr>
        <w:t xml:space="preserve"> </w:t>
      </w:r>
      <w:r>
        <w:rPr>
          <w:b/>
          <w:bCs/>
          <w:lang w:bidi="hi-IN"/>
        </w:rPr>
        <w:t>2015</w:t>
      </w:r>
      <w:r>
        <w:rPr>
          <w:lang w:bidi="hi-IN"/>
        </w:rPr>
        <w:t xml:space="preserve">, </w:t>
      </w:r>
      <w:r>
        <w:rPr>
          <w:i/>
          <w:iCs/>
          <w:lang w:bidi="hi-IN"/>
        </w:rPr>
        <w:t>112</w:t>
      </w:r>
      <w:r>
        <w:rPr>
          <w:lang w:bidi="hi-IN"/>
        </w:rPr>
        <w:t xml:space="preserve"> (5), E386–E391. https://doi.org/10.1073/pnas.1424461112</w:t>
      </w:r>
    </w:p>
    <w:p w14:paraId="2E5707C2" w14:textId="77777777" w:rsidR="008A2546" w:rsidRPr="008A2546" w:rsidRDefault="008A2546" w:rsidP="008A2546">
      <w:pPr>
        <w:pStyle w:val="Bibliography"/>
        <w:rPr>
          <w:lang w:bidi="hi-IN"/>
        </w:rPr>
      </w:pPr>
      <w:r>
        <w:rPr>
          <w:lang w:bidi="hi-IN"/>
        </w:rPr>
        <w:t>(82)</w:t>
        <w:tab/>
        <w:t xml:space="preserve">Jagger, B. R.; Ojha, A. A.; Amaro, R. E. Predicting Ligand Binding Kinetics Using a Markovian Milestoning with Voronoi Tessellations Multiscale Approach. </w:t>
      </w:r>
      <w:r>
        <w:rPr>
          <w:i/>
          <w:iCs/>
          <w:lang w:bidi="hi-IN"/>
        </w:rPr>
        <w:t>J. Chem. Theory Comput.</w:t>
      </w:r>
      <w:r>
        <w:rPr>
          <w:lang w:bidi="hi-IN"/>
        </w:rPr>
        <w:t xml:space="preserve"> </w:t>
      </w:r>
      <w:r>
        <w:rPr>
          <w:b/>
          <w:bCs/>
          <w:lang w:bidi="hi-IN"/>
        </w:rPr>
        <w:t>2020</w:t>
      </w:r>
      <w:r>
        <w:rPr>
          <w:lang w:bidi="hi-IN"/>
        </w:rPr>
        <w:t xml:space="preserve">, </w:t>
      </w:r>
      <w:r>
        <w:rPr>
          <w:i/>
          <w:iCs/>
          <w:lang w:bidi="hi-IN"/>
        </w:rPr>
        <w:t>16</w:t>
      </w:r>
      <w:r>
        <w:rPr>
          <w:lang w:bidi="hi-IN"/>
        </w:rPr>
        <w:t xml:space="preserve"> (8), 5348–5357. https://doi.org/10.1021/acs.jctc.0c00495</w:t>
      </w:r>
    </w:p>
    <w:p w14:paraId="5BD1699A" w14:textId="77777777" w:rsidR="008A2546" w:rsidRPr="008A2546" w:rsidRDefault="008A2546" w:rsidP="008A2546">
      <w:pPr>
        <w:pStyle w:val="Bibliography"/>
        <w:rPr>
          <w:lang w:bidi="hi-IN"/>
        </w:rPr>
      </w:pPr>
      <w:r>
        <w:rPr>
          <w:lang w:bidi="hi-IN"/>
        </w:rPr>
        <w:t>(83)</w:t>
        <w:tab/>
        <w:t>Corso, G.; Stärk, H.; Jing, B.; Barzilay, R.; Jaakkola, T. DiffDock: Diffusion Steps, Twists, and Turns for Molecular Docking. arXiv February 11, 2023. https://doi.org/10.48550/arXiv.2210.01776</w:t>
      </w:r>
    </w:p>
    <w:p w14:paraId="0BCD27C5" w14:textId="77777777" w:rsidR="008A2546" w:rsidRPr="008A2546" w:rsidRDefault="008A2546" w:rsidP="008A2546">
      <w:pPr>
        <w:pStyle w:val="Bibliography"/>
        <w:rPr>
          <w:lang w:bidi="hi-IN"/>
        </w:rPr>
      </w:pPr>
      <w:r>
        <w:rPr>
          <w:lang w:bidi="hi-IN"/>
        </w:rPr>
        <w:t>(84)</w:t>
        <w:tab/>
        <w:t>Wohlwend, J.; Corso, G.; Passaro, S.; Getz, N.; Reveiz, M.; Leidal, K.; Swiderski, W.; Atkinson, L.; Portnoi, T.; Chinn, I.; Silterra, J.; Jaakkola, T.; Barzilay, R. Boltz-1 Democratizing Biomolecular Interaction Modeling. bioRxiv May 6, 2025, p 2024.11.19.624167. https://doi.org/10.1101/2024.11.19.624167</w:t>
      </w:r>
    </w:p>
    <w:p w14:paraId="587B567B" w14:textId="77777777" w:rsidR="008A2546" w:rsidRPr="008A2546" w:rsidRDefault="008A2546" w:rsidP="008A2546">
      <w:pPr>
        <w:pStyle w:val="Bibliography"/>
        <w:rPr>
          <w:lang w:bidi="hi-IN"/>
        </w:rPr>
      </w:pPr>
      <w:r>
        <w:rPr>
          <w:lang w:bidi="hi-IN"/>
        </w:rPr>
        <w:t>(85)</w:t>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60D7124" w14:textId="0EB18314"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B0BAEB" w14:textId="77777777" w:rsidR="00362D9C" w:rsidRDefault="00362D9C">
      <w:pPr>
        <w:spacing w:after="0"/>
      </w:pPr>
      <w:r>
        <w:separator/>
      </w:r>
    </w:p>
  </w:endnote>
  <w:endnote w:type="continuationSeparator" w:id="0">
    <w:p w14:paraId="38A39A99" w14:textId="77777777" w:rsidR="00362D9C" w:rsidRDefault="00362D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E4C6C" w14:textId="77777777" w:rsidR="00000000"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6DA6BA6D" w14:textId="77777777" w:rsidR="00000000" w:rsidRDefault="0000000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C12B5" w14:textId="77777777" w:rsidR="00000000"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A0676A1" w14:textId="77777777" w:rsidR="00000000" w:rsidRDefault="00000000">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DFF7F0" w14:textId="77777777" w:rsidR="00362D9C" w:rsidRDefault="00362D9C">
      <w:pPr>
        <w:spacing w:after="0"/>
      </w:pPr>
      <w:r>
        <w:separator/>
      </w:r>
    </w:p>
  </w:footnote>
  <w:footnote w:type="continuationSeparator" w:id="0">
    <w:p w14:paraId="23A150A6" w14:textId="77777777" w:rsidR="00362D9C" w:rsidRDefault="00362D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39</Pages>
  <Words>57584</Words>
  <Characters>328235</Characters>
  <Application>Microsoft Office Word</Application>
  <DocSecurity>0</DocSecurity>
  <Lines>2735</Lines>
  <Paragraphs>770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309</cp:revision>
  <dcterms:created xsi:type="dcterms:W3CDTF">2026-08-29T02:32:00Z</dcterms:created>
  <dcterms:modified xsi:type="dcterms:W3CDTF">2026-09-03T20:39:00Z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