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rPr>
        <w:t xml:space="preserve">Response to Reviewers</w:t>
      </w:r>
    </w:p>
    <w:p>
      <w:pPr>
        <w:spacing w:after="120"/>
      </w:pPr>
      <w:r>
        <w:rPr>
          <w:b/>
          <w:bCs/>
        </w:rPr>
        <w:t xml:space="preserve">Manuscript ci-2026-030865 — “Molecular Simulation of Doravirine Resistance in HIV-1 Reverse Transcriptase”</w:t>
      </w:r>
    </w:p>
    <w:p>
      <w:pPr>
        <w:spacing w:after="260"/>
      </w:pPr>
      <w:r>
        <w:t xml:space="preserve">Rohit Satija, Kaiming Tao, Robert W. Shafer</w:t>
      </w:r>
    </w:p>
    <w:p>
      <w:pPr>
        <w:spacing w:after="160"/>
      </w:pPr>
      <w:r>
        <w:rPr>
          <w:b/>
          <w:bCs/>
          <w:color w:val="FF0000"/>
        </w:rPr>
        <w:t xml:space="preserve">Response: </w:t>
      </w:r>
      <w:r>
        <w:rPr>
          <w:color w:val="FF0000"/>
        </w:rPr>
        <w:t xml:space="preserve">We thank the editor and the three reviewers for a careful and constructive set of reports. The reviewers converge on one substantive point — that the sampled DOR-bound ensemble is treated as representative without that assumption being tested — and we have taken it seriously, both in new analysis and in how the claims are now framed. Reviewer comments are reproduced below in black; our responses are in red. All changes to the manuscript are marked in red in the revised file.</w:t>
      </w:r>
    </w:p>
    <w:p>
      <w:pPr>
        <w:pStyle w:val="Heading2"/>
        <w:spacing w:after="160" w:before="320"/>
      </w:pPr>
      <w:r>
        <w:rPr>
          <w:b/>
          <w:bCs/>
        </w:rPr>
        <w:t xml:space="preserve">Reviewer 1</w:t>
      </w:r>
    </w:p>
    <w:p>
      <w:pPr>
        <w:spacing w:after="140"/>
        <w:ind w:left="420"/>
      </w:pPr>
      <w:r>
        <w:rPr>
          <w:i/>
          <w:iCs/>
        </w:rPr>
        <w:t xml:space="preserve">Reviewer: 1</w:t>
      </w:r>
    </w:p>
    <w:p>
      <w:pPr>
        <w:spacing w:after="140"/>
        <w:ind w:left="420"/>
      </w:pPr>
      <w:r>
        <w:rPr>
          <w:i/>
          <w:iCs/>
        </w:rPr>
        <w:t xml:space="preserve">Comments:</w:t>
      </w:r>
    </w:p>
    <w:p>
      <w:pPr>
        <w:spacing w:after="140"/>
        <w:ind w:left="420"/>
      </w:pPr>
      <w:r>
        <w:rPr>
          <w:i/>
          <w:iCs/>
        </w:rPr>
        <w:t xml:space="preserve">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pPr>
        <w:spacing w:after="140"/>
        <w:ind w:left="420"/>
      </w:pPr>
      <w:r>
        <w:rPr>
          <w:i/>
          <w:iCs/>
        </w:rPr>
        <w:t xml:space="preserve">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p>
    <w:p>
      <w:pPr>
        <w:spacing w:after="140"/>
        <w:ind w:left="420"/>
      </w:pPr>
      <w:r>
        <w:rPr>
          <w:i/>
          <w:iCs/>
        </w:rPr>
        <w:t xml:space="preserve">simulated here, that assumption is precisely what the manuscript's own inconsistent results (Section 3, below) call into question.</w:t>
      </w:r>
    </w:p>
    <w:p>
      <w:pPr>
        <w:spacing w:after="160"/>
      </w:pPr>
      <w:r>
        <w:rPr>
          <w:b/>
          <w:bCs/>
          <w:color w:val="FF0000"/>
        </w:rPr>
        <w:t xml:space="preserve">Response: </w:t>
      </w:r>
      <w:r>
        <w:rPr>
          <w:color w:val="FF0000"/>
        </w:rPr>
        <w:t xml:space="preserve">We appreciate this framing, which identifies the central limitation more precisely than we had. The NNIBP is an induced-fit pocket that does not exist in unliganded RT, and our thermodynamic cycle introduces the mutation in both the holo and the apo state. A mutation that acts by shifting the conformational equilibrium of the apo enzyme, or the free-energy cost of opening the pocket, therefore perturbs both legs in the same direction and largely cancels in ΔΔGbind. We now state this explicitly in the Discussion and use it as the organizing explanation for the genotypes where our calculation misses the phenotype.</w:t>
      </w:r>
    </w:p>
    <w:p>
      <w:pPr>
        <w:pStyle w:val="Heading2"/>
        <w:spacing w:after="160" w:before="320"/>
      </w:pPr>
      <w:r>
        <w:rPr>
          <w:b/>
          <w:bCs/>
        </w:rPr>
        <w:t xml:space="preserve">Reviewer 1, comment 1 — weak correlation with phenotype</w:t>
      </w:r>
    </w:p>
    <w:p>
      <w:pPr>
        <w:spacing w:after="140"/>
        <w:ind w:left="420"/>
      </w:pPr>
      <w:r>
        <w:rPr>
          <w:i/>
          <w:iCs/>
        </w:rPr>
        <w:t xml:space="preserve">Major comments:</w:t>
      </w:r>
    </w:p>
    <w:p>
      <w:pPr>
        <w:spacing w:after="140"/>
        <w:ind w:left="420"/>
      </w:pPr>
      <w:r>
        <w:rPr>
          <w:i/>
          <w:iCs/>
        </w:rPr>
        <w:t xml:space="preserve">1. Weak correlation with phenotype.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p>
    <w:p>
      <w:pPr>
        <w:spacing w:after="140"/>
        <w:ind w:left="420"/>
      </w:pPr>
      <w:r>
        <w:rPr>
          <w:i/>
          <w:iCs/>
        </w:rPr>
        <w:t xml:space="preserve">of the free-energy calculation, but also resistance mechanisms involving mutation-induced changes in RT conformation and NNIBP formation.</w:t>
      </w:r>
    </w:p>
    <w:p>
      <w:pPr>
        <w:spacing w:after="160"/>
      </w:pPr>
      <w:r>
        <w:rPr>
          <w:b/>
          <w:bCs/>
          <w:color w:val="FF0000"/>
        </w:rPr>
        <w:t xml:space="preserve">Response: </w:t>
      </w:r>
      <w:r>
        <w:rPr>
          <w:color w:val="FF0000"/>
        </w:rPr>
        <w:t xml:space="preserve">We agree and have tempered the claim accordingly. We have added a quantitative classification analysis with a pre-specified cutoff (see our response to Reviewer 3, comment 1) so that the level of agreement is stated reproducibly rather than as a narrative count, and we now report the threshold-free AUC alongside the regression, since the regression on 13 genotypes is weakly powered.</w:t>
      </w:r>
    </w:p>
    <w:p>
      <w:pPr>
        <w:spacing w:after="160"/>
      </w:pPr>
      <w:r>
        <w:rPr>
          <w:color w:val="FF0000"/>
        </w:rPr>
        <w:t xml:space="preserve">On the substantive point, we agree that the weak correlation is unlikely to be purely a free-energy-calculation error. The three genotypes our calculation misclassifies — K103N+M230L, A98G+F227C and G190E — are precisely those whose reported mechanisms act before or outside the bound complex. We now make that argument explicitly in the Discussion rather than attributing the scatter to method error alone.</w:t>
      </w:r>
    </w:p>
    <w:p>
      <w:pPr>
        <w:pStyle w:val="Heading2"/>
        <w:spacing w:after="160" w:before="320"/>
      </w:pPr>
      <w:r>
        <w:rPr>
          <w:b/>
          <w:bCs/>
        </w:rPr>
        <w:t xml:space="preserve">Reviewer 1, comment 2 — convergence within a basin</w:t>
      </w:r>
    </w:p>
    <w:p>
      <w:pPr>
        <w:spacing w:after="140"/>
        <w:ind w:left="420"/>
      </w:pPr>
      <w:r>
        <w:rPr>
          <w:i/>
          <w:iCs/>
        </w:rPr>
        <w:t xml:space="preserve">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pPr>
        <w:spacing w:after="140"/>
        <w:ind w:left="420"/>
      </w:pPr>
      <w:r>
        <w:rPr>
          <w:i/>
          <w:iCs/>
        </w:rPr>
        <w:t xml:space="preserve">First, test representative systems from independent starting poses to determine whether the same DOR-bound state is recovered.</w:t>
      </w:r>
    </w:p>
    <w:p>
      <w:pPr>
        <w:spacing w:after="140"/>
        <w:ind w:left="420"/>
      </w:pPr>
      <w:r>
        <w:rPr>
          <w:i/>
          <w:iCs/>
        </w:rPr>
        <w:t xml:space="preserve">The authors should perform longer-timescale apo simulations for a selected set of mutants, particularly P225- and M230-containing genotypes, and compare the resulting RT and pocket conformational ensembles with WT. These mutations are located in loop-rich regions and could affect pocket formation through slower conformational remodeling that is not captured in the current simulations.</w:t>
      </w:r>
    </w:p>
    <w:p>
      <w:pPr>
        <w:spacing w:after="160"/>
      </w:pPr>
      <w:r>
        <w:rPr>
          <w:b/>
          <w:bCs/>
          <w:color w:val="FF0000"/>
        </w:rPr>
        <w:t xml:space="preserve">Response: </w:t>
      </w:r>
      <w:r>
        <w:rPr>
          <w:color w:val="FF0000"/>
        </w:rPr>
        <w:t xml:space="preserve">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pPr>
        <w:spacing w:after="160"/>
      </w:pPr>
      <w:r>
        <w:rPr>
          <w:color w:val="FF0000"/>
        </w:rPr>
        <w:t xml:space="preserve">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pPr>
        <w:spacing w:after="200"/>
        <w:ind w:left="420"/>
      </w:pPr>
      <w:r>
        <w:rPr>
          <w:b/>
          <w:bCs/>
          <w:color w:val="FF0000"/>
        </w:rPr>
        <w:t xml:space="preserve">[PENDING — apo-vs-holo ensemble comparison (pocket volume, RMSF, 225–230 and 100–110 loop conformations) and the independent-starting-pose test. Insert results and state which simulations were added, if any.]</w:t>
      </w:r>
    </w:p>
    <w:p>
      <w:pPr>
        <w:pStyle w:val="Heading2"/>
        <w:spacing w:after="160" w:before="320"/>
      </w:pPr>
      <w:r>
        <w:rPr>
          <w:b/>
          <w:bCs/>
        </w:rPr>
        <w:t xml:space="preserve">Reviewer 1, comment 3 — the mismatches suggest different mechanisms</w:t>
      </w:r>
    </w:p>
    <w:p>
      <w:pPr>
        <w:spacing w:after="140"/>
        <w:ind w:left="420"/>
      </w:pPr>
      <w:r>
        <w:rPr>
          <w:i/>
          <w:iCs/>
        </w:rPr>
        <w:t xml:space="preserve">3. The mismatches suggest different resistance mechanisms. The mismatches between calculated ΔΔGbind and the experimental phenotype are not simply random errors and should be discussed mechanistically. For example:</w:t>
      </w:r>
    </w:p>
    <w:p>
      <w:pPr>
        <w:spacing w:after="140"/>
        <w:ind w:left="420"/>
      </w:pPr>
      <w:r>
        <w:rPr>
          <w:i/>
          <w:iCs/>
        </w:rPr>
        <w:t xml:space="preserve">K103N+M230L shows only a small calculated binding penalty despite 36-fold resistance.</w:t>
      </w:r>
    </w:p>
    <w:p>
      <w:pPr>
        <w:spacing w:after="140"/>
        <w:ind w:left="420"/>
      </w:pPr>
      <w:r>
        <w:rPr>
          <w:i/>
          <w:iCs/>
        </w:rPr>
        <w:t xml:space="preserve">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pPr>
        <w:spacing w:after="160"/>
      </w:pPr>
      <w:r>
        <w:rPr>
          <w:b/>
          <w:bCs/>
          <w:color w:val="FF0000"/>
        </w:rPr>
        <w:t xml:space="preserve">Response: </w:t>
      </w:r>
      <w:r>
        <w:rPr>
          <w:color w:val="FF0000"/>
        </w:rPr>
        <w:t xml:space="preserve">We agree that these are not random errors, and the revised Discussion treats them as mechanistically informative. For G190E and A98G+F227C, the interface distortion is real in the holo state (ΔΔETotal = 1.94 ± 0.40 and 2.47 ± 0.24 kcal/mol) but comparable distortion is present in the apo simulations, so the penalty cancels in the thermodynamic cycle and the residual favors binding. That cancellation is the mechanism, not an artifact to be explained away, and it is exactly what the reviewer anticipates when asking whether the remodeling occurs in both apo and holo RT.</w:t>
      </w:r>
    </w:p>
    <w:p>
      <w:pPr>
        <w:spacing w:after="160"/>
      </w:pPr>
      <w:r>
        <w:rPr>
          <w:color w:val="FF0000"/>
        </w:rPr>
        <w:t xml:space="preserve">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pPr>
        <w:pStyle w:val="Heading2"/>
        <w:spacing w:after="160" w:before="320"/>
      </w:pPr>
      <w:r>
        <w:rPr>
          <w:b/>
          <w:bCs/>
        </w:rPr>
        <w:t xml:space="preserve">Reviewer 1, comment 4 — clearer summary of the structural analysis</w:t>
      </w:r>
    </w:p>
    <w:p>
      <w:pPr>
        <w:spacing w:after="140"/>
        <w:ind w:left="420"/>
      </w:pPr>
      <w:r>
        <w:rPr>
          <w:i/>
          <w:iCs/>
        </w:rPr>
        <w:t xml:space="preserve">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pPr>
        <w:spacing w:after="140"/>
        <w:ind w:left="420"/>
      </w:pPr>
      <w:r>
        <w:rPr>
          <w:i/>
          <w:iCs/>
        </w:rPr>
        <w:t xml:space="preserve">heatmap summarizing the structural metrics in Table 3 would also help identify patterns in DOR contacts, pocket size, and mutation-induced remodeling across genotypes.</w:t>
      </w:r>
    </w:p>
    <w:p>
      <w:pPr>
        <w:spacing w:after="140"/>
        <w:ind w:left="420"/>
      </w:pPr>
      <w:r>
        <w:rPr>
          <w:i/>
          <w:iCs/>
        </w:rPr>
        <w:t xml:space="preserve">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pPr>
        <w:spacing w:after="160"/>
      </w:pPr>
      <w:r>
        <w:rPr>
          <w:b/>
          <w:bCs/>
          <w:color w:val="FF0000"/>
        </w:rPr>
        <w:t xml:space="preserve">Response: </w:t>
      </w:r>
      <w:r>
        <w:rPr>
          <w:color w:val="FF0000"/>
        </w:rPr>
        <w:t xml:space="preserve">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pPr>
        <w:spacing w:after="200"/>
        <w:ind w:left="420"/>
      </w:pPr>
      <w:r>
        <w:rPr>
          <w:b/>
          <w:bCs/>
          <w:color w:val="FF0000"/>
        </w:rPr>
        <w:t xml:space="preserve">[PENDING — new mutation-map figure, WT-referenced heatmap, and RMSF / secondary-structure / pocket-distribution analyses. Insert figure numbers and findings.]</w:t>
      </w:r>
    </w:p>
    <w:p>
      <w:pPr>
        <w:pStyle w:val="Heading2"/>
        <w:spacing w:after="160" w:before="320"/>
      </w:pPr>
      <w:r>
        <w:rPr>
          <w:b/>
          <w:bCs/>
        </w:rPr>
        <w:t xml:space="preserve">Reviewer 2</w:t>
      </w:r>
    </w:p>
    <w:p>
      <w:pPr>
        <w:spacing w:after="140"/>
        <w:ind w:left="420"/>
      </w:pPr>
      <w:r>
        <w:rPr>
          <w:i/>
          <w:iCs/>
        </w:rPr>
        <w:t xml:space="preserve">Reviewer: 2</w:t>
      </w:r>
    </w:p>
    <w:p>
      <w:pPr>
        <w:spacing w:after="140"/>
        <w:ind w:left="420"/>
      </w:pPr>
      <w:r>
        <w:rPr>
          <w:i/>
          <w:iCs/>
        </w:rPr>
        <w:t xml:space="preserve">Comments:</w:t>
      </w:r>
    </w:p>
    <w:p>
      <w:pPr>
        <w:spacing w:after="140"/>
        <w:ind w:left="420"/>
      </w:pPr>
      <w:r>
        <w:rPr>
          <w:i/>
          <w:iCs/>
        </w:rPr>
        <w:t xml:space="preserve">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pPr>
        <w:spacing w:after="140"/>
        <w:ind w:left="420"/>
      </w:pPr>
      <w:r>
        <w:rPr>
          <w:i/>
          <w:iCs/>
        </w:rPr>
        <w:t xml:space="preserve">More comments:</w:t>
      </w:r>
    </w:p>
    <w:p>
      <w:pPr>
        <w:spacing w:after="160"/>
      </w:pPr>
      <w:r>
        <w:rPr>
          <w:b/>
          <w:bCs/>
          <w:color w:val="FF0000"/>
        </w:rPr>
        <w:t xml:space="preserve">Response: </w:t>
      </w:r>
      <w:r>
        <w:rPr>
          <w:color w:val="FF0000"/>
        </w:rPr>
        <w:t xml:space="preserve">We thank the reviewer for the accurate summary and for the methodological points below, several of which identified real gaps in what we reported.</w:t>
      </w:r>
    </w:p>
    <w:p>
      <w:pPr>
        <w:pStyle w:val="Heading2"/>
        <w:spacing w:after="160" w:before="320"/>
      </w:pPr>
      <w:r>
        <w:rPr>
          <w:b/>
          <w:bCs/>
        </w:rPr>
        <w:t xml:space="preserve">Reviewer 2, comment 1 — convergence diagnostics</w:t>
      </w:r>
    </w:p>
    <w:p>
      <w:pPr>
        <w:spacing w:after="140"/>
        <w:ind w:left="420"/>
      </w:pPr>
      <w:r>
        <w:rPr>
          <w:i/>
          <w:iCs/>
        </w:rPr>
        <w:t xml:space="preserve">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pPr>
        <w:spacing w:after="160"/>
      </w:pPr>
      <w:r>
        <w:rPr>
          <w:b/>
          <w:bCs/>
          <w:color w:val="FF0000"/>
        </w:rPr>
        <w:t xml:space="preserve">Response: </w:t>
      </w:r>
      <w:r>
        <w:rPr>
          <w:color w:val="FF0000"/>
        </w:rPr>
        <w:t xml:space="preserve">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pPr>
        <w:spacing w:after="200"/>
        <w:ind w:left="420"/>
      </w:pPr>
      <w:r>
        <w:rPr>
          <w:b/>
          <w:bCs/>
          <w:color w:val="FF0000"/>
        </w:rPr>
        <w:t xml:space="preserve">[PENDING — autocorrelation / effective-sample-size analysis. Insert the table and the resulting statement about sampling adequacy.]</w:t>
      </w:r>
    </w:p>
    <w:p>
      <w:pPr>
        <w:pStyle w:val="Heading2"/>
        <w:spacing w:after="160" w:before="320"/>
      </w:pPr>
      <w:r>
        <w:rPr>
          <w:b/>
          <w:bCs/>
        </w:rPr>
        <w:t xml:space="preserve">Reviewer 2, comment 2 — the binary RT–DOR system</w:t>
      </w:r>
    </w:p>
    <w:p>
      <w:pPr>
        <w:spacing w:after="140"/>
        <w:ind w:left="420"/>
      </w:pPr>
      <w:r>
        <w:rPr>
          <w:i/>
          <w:iCs/>
        </w:rPr>
        <w:t xml:space="preserve">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pPr>
        <w:spacing w:after="160"/>
      </w:pPr>
      <w:r>
        <w:rPr>
          <w:b/>
          <w:bCs/>
          <w:color w:val="FF0000"/>
        </w:rPr>
        <w:t xml:space="preserve">Response: </w:t>
      </w:r>
      <w:r>
        <w:rPr>
          <w:color w:val="FF0000"/>
        </w:rPr>
        <w:t xml:space="preserve">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pPr>
        <w:pStyle w:val="Heading2"/>
        <w:spacing w:after="160" w:before="320"/>
      </w:pPr>
      <w:r>
        <w:rPr>
          <w:b/>
          <w:bCs/>
        </w:rPr>
        <w:t xml:space="preserve">Reviewer 2, comment 3 — effect sizes and confidence intervals</w:t>
      </w:r>
    </w:p>
    <w:p>
      <w:pPr>
        <w:spacing w:after="140"/>
        <w:ind w:left="420"/>
      </w:pPr>
      <w:r>
        <w:rPr>
          <w:i/>
          <w:iCs/>
        </w:rPr>
        <w:t xml:space="preserve">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pPr>
        <w:spacing w:after="160"/>
      </w:pPr>
      <w:r>
        <w:rPr>
          <w:b/>
          <w:bCs/>
          <w:color w:val="FF0000"/>
        </w:rPr>
        <w:t xml:space="preserve">Response: </w:t>
      </w:r>
      <w:r>
        <w:rPr>
          <w:color w:val="FF0000"/>
        </w:rPr>
        <w:t xml:space="preserve">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pPr>
        <w:spacing w:after="200"/>
        <w:ind w:left="420"/>
      </w:pPr>
      <w:r>
        <w:rPr>
          <w:b/>
          <w:bCs/>
          <w:color w:val="FF0000"/>
        </w:rPr>
        <w:t xml:space="preserve">[PENDING — bootstrap confidence intervals and the DOR torsion analysis. Insert effect sizes with CIs and the torsion distributions.]</w:t>
      </w:r>
    </w:p>
    <w:p>
      <w:pPr>
        <w:pStyle w:val="Heading2"/>
        <w:spacing w:after="160" w:before="320"/>
      </w:pPr>
      <w:r>
        <w:rPr>
          <w:b/>
          <w:bCs/>
        </w:rPr>
        <w:t xml:space="preserve">Reviewer 2, comment 4 — charge-changing legs</w:t>
      </w:r>
    </w:p>
    <w:p>
      <w:pPr>
        <w:spacing w:after="140"/>
        <w:ind w:left="420"/>
      </w:pPr>
      <w:r>
        <w:rPr>
          <w:i/>
          <w:iCs/>
        </w:rPr>
        <w:t xml:space="preserve">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histidines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pPr>
        <w:spacing w:after="160"/>
      </w:pPr>
      <w:r>
        <w:rPr>
          <w:color w:val="FF0000"/>
        </w:rPr>
        <w:t xml:space="preserve">The Methods now also describe the hybrid residue topologies (pmx single-topology construction, with atoms unique to one end state present as non-interacting dummies at the other, bonded parameters interpolated linearly in λ, dummies relaxed during end-state minimization) and give the soft-core parameters as run: the linearized Gapsys form with α = 0.3, σ = 0.25 nm, soft-core power 1, applied to both Lennard-Jones and Coulomb interactions.</w:t>
      </w:r>
    </w:p>
    <w:p>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undersolvation and discrete-solvent — were not applied in the submitted work, and we now state this and report their estimated magnitude so the residual uncertainty on these two legs is visible to the reader.</w:t>
      </w:r>
    </w:p>
    <w:p>
      <w:pPr>
        <w:spacing w:after="200"/>
        <w:ind w:left="420"/>
      </w:pPr>
      <w:r>
        <w:rPr>
          <w:b/>
          <w:bCs/>
          <w:color w:val="FF0000"/>
        </w:rPr>
        <w:t xml:space="preserve">[PENDING — magnitude estimate for the omitted higher-order Rocklin terms, or their implementation. Insert the numbers for the K103N and G190E legs.]</w:t>
      </w:r>
    </w:p>
    <w:p>
      <w:pPr>
        <w:pStyle w:val="Heading2"/>
        <w:spacing w:after="160" w:before="320"/>
      </w:pPr>
      <w:r>
        <w:rPr>
          <w:b/>
          <w:bCs/>
        </w:rPr>
        <w:t xml:space="preserve">Reviewer 2, comment 5 — Gasteiger charges</w:t>
      </w:r>
    </w:p>
    <w:p>
      <w:pPr>
        <w:spacing w:after="140"/>
        <w:ind w:left="420"/>
      </w:pPr>
      <w:r>
        <w:rPr>
          <w:i/>
          <w:iCs/>
        </w:rPr>
        <w:t xml:space="preserve">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ΔEelec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pPr>
        <w:spacing w:after="200"/>
        <w:ind w:left="420"/>
      </w:pPr>
      <w:r>
        <w:rPr>
          <w:b/>
          <w:bCs/>
          <w:color w:val="FF0000"/>
        </w:rPr>
        <w:t xml:space="preserve">[PENDING — AM1-BCC MM/GBSA recomputation for a genotype subset. Insert the comparison.]</w:t>
      </w:r>
    </w:p>
    <w:p>
      <w:pPr>
        <w:pStyle w:val="Heading2"/>
        <w:spacing w:after="160" w:before="320"/>
      </w:pPr>
      <w:r>
        <w:rPr>
          <w:b/>
          <w:bCs/>
        </w:rPr>
        <w:t xml:space="preserve">Reviewer 3</w:t>
      </w:r>
    </w:p>
    <w:p>
      <w:pPr>
        <w:spacing w:after="140"/>
        <w:ind w:left="420"/>
      </w:pPr>
      <w:r>
        <w:rPr>
          <w:i/>
          <w:iCs/>
        </w:rPr>
        <w:t xml:space="preserve">Reviewer: 3</w:t>
      </w:r>
    </w:p>
    <w:p>
      <w:pPr>
        <w:spacing w:after="140"/>
        <w:ind w:left="420"/>
      </w:pPr>
      <w:r>
        <w:rPr>
          <w:i/>
          <w:iCs/>
        </w:rPr>
        <w:t xml:space="preserve">Comments:</w:t>
      </w:r>
    </w:p>
    <w:p>
      <w:pPr>
        <w:spacing w:after="140"/>
        <w:ind w:left="420"/>
      </w:pPr>
      <w:r>
        <w:rPr>
          <w:i/>
          <w:iCs/>
        </w:rPr>
        <w:t xml:space="preserve">The topic of this manuscript is timely and clinically relevant, the genotype panel is thoughtfully curated with transparent provenance (Stanford HIVDB, PhenoSense/Merck assays), and the use of open-source tooling (OpenMM, GROMACS, pmx, OpenFF)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pPr>
        <w:spacing w:after="160"/>
      </w:pPr>
      <w:r>
        <w:rPr>
          <w:b/>
          <w:bCs/>
          <w:color w:val="FF0000"/>
        </w:rPr>
        <w:t xml:space="preserve">Response: </w:t>
      </w:r>
      <w:r>
        <w:rPr>
          <w:color w:val="FF0000"/>
        </w:rPr>
        <w:t xml:space="preserve">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pPr>
        <w:pStyle w:val="Heading2"/>
        <w:spacing w:after="160" w:before="320"/>
      </w:pPr>
      <w:r>
        <w:rPr>
          <w:b/>
          <w:bCs/>
        </w:rPr>
        <w:t xml:space="preserve">Reviewer 3, comment 1 — define “correctly predicted”</w:t>
      </w:r>
    </w:p>
    <w:p>
      <w:pPr>
        <w:spacing w:after="140"/>
        <w:ind w:left="420"/>
      </w:pPr>
      <w:r>
        <w:rPr>
          <w:i/>
          <w:iCs/>
        </w:rPr>
        <w:t xml:space="preserve">1. The Abstract states "FEP correctly predicted little effect on DOR binding for 3 of 4 susceptible mutations and reduced binding for 7 of 9 resistant genotypes." Please define "correctly predicted" quantitatively — what threshold on ΔΔGbind constitutes "little effect" versus "reduced binding"? A stated cutoff (e.g., | ΔΔGbind| &gt; 1 kcal/mol) would make this claim reproducible.</w:t>
      </w:r>
    </w:p>
    <w:p>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ΔΔETotal.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pPr>
        <w:pStyle w:val="Heading2"/>
        <w:spacing w:after="160" w:before="320"/>
      </w:pPr>
      <w:r>
        <w:rPr>
          <w:b/>
          <w:bCs/>
        </w:rPr>
        <w:t xml:space="preserve">Reviewer 3, comment 2 — typographical issues</w:t>
      </w:r>
    </w:p>
    <w:p>
      <w:pPr>
        <w:spacing w:after="140"/>
        <w:ind w:left="420"/>
      </w:pPr>
      <w:r>
        <w:rPr>
          <w:i/>
          <w:iCs/>
        </w:rPr>
        <w:t xml:space="preserve">2. There are several minor typographical issues: "NRNTI-resistance mutations" (Page 16) should be "NNRTI-resistance mutations"; "hinges on" (Page 30) should be "hinges on" or "depends on"; "APPROVAL" section header (Page 35) is redundant with "Author Contributions." Please proofread carefully.</w:t>
      </w:r>
    </w:p>
    <w:p>
      <w:pPr>
        <w:spacing w:after="160"/>
      </w:pPr>
      <w:r>
        <w:rPr>
          <w:b/>
          <w:bCs/>
          <w:color w:val="FF0000"/>
        </w:rPr>
        <w:t xml:space="preserve">Response: </w:t>
      </w:r>
      <w:r>
        <w:rPr>
          <w:color w:val="FF0000"/>
        </w:rPr>
        <w:t xml:space="preserve">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pPr>
        <w:pStyle w:val="Heading2"/>
        <w:spacing w:after="160" w:before="320"/>
      </w:pPr>
      <w:r>
        <w:rPr>
          <w:b/>
          <w:bCs/>
        </w:rPr>
        <w:t xml:space="preserve">Reviewer 3, comment 3 — MM/GBSA minimization protocol</w:t>
      </w:r>
    </w:p>
    <w:p>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ΔEelec and ΔEGB. The authors should:</w:t>
      </w:r>
    </w:p>
    <w:p>
      <w:pPr>
        <w:spacing w:after="140"/>
        <w:ind w:left="420"/>
      </w:pPr>
      <w:r>
        <w:rPr>
          <w:i/>
          <w:iCs/>
        </w:rPr>
        <w:t xml:space="preserve">(a) Justify full minimization versus the more standard single-point or hydrogen-only relaxation protocol.</w:t>
      </w:r>
    </w:p>
    <w:p>
      <w:pPr>
        <w:spacing w:after="140"/>
        <w:ind w:left="420"/>
      </w:pPr>
      <w:r>
        <w:rPr>
          <w:i/>
          <w:iCs/>
        </w:rPr>
        <w:t xml:space="preserve">(b) Report how sensitive ΔΔETotal and its components are to this choice (e.g., by recomputing without minimization for a subset of genotypes).</w:t>
      </w:r>
    </w:p>
    <w:p>
      <w:pPr>
        <w:spacing w:after="160"/>
      </w:pPr>
      <w:r>
        <w:rPr>
          <w:b/>
          <w:bCs/>
          <w:color w:val="FF0000"/>
        </w:rPr>
        <w:t xml:space="preserve">Response: </w:t>
      </w:r>
      <w:r>
        <w:rPr>
          <w:color w:val="FF0000"/>
        </w:rPr>
        <w:t xml:space="preserve">(a) The justification is now given in the Methods, and it is specific to how these trajectories were produced. Production dynamics were propagated with bonds to hydrogen constrained. Constrained dynamics fixes bond lengths but not the angular orientation of hydrogens, so frames written from such a trajectory can place hydrogen atoms at sub-Angstrom intermolecular separations that carry no physical meaning. Evaluated without a cutoff and without constraints, as MM/GBSA requires, these contacts produce Lennard-Jones energies orders of magnitude larger than the binding signal. We confirmed that relaxing hydrogen positions alone does not remove them, because the offending heavy-atom geometry is unchanged. We agree this is not the standard protocol and that it needed stating and defending rather than simply reporting.</w:t>
      </w:r>
    </w:p>
    <w:p>
      <w:pPr>
        <w:spacing w:after="160"/>
      </w:pPr>
      <w:r>
        <w:rPr>
          <w:color w:val="FF0000"/>
        </w:rPr>
        <w:t xml:space="preserve">(b) We accept the reviewer's point that full minimization may reduce energetic noise and bias the components, and we are recomputing a subset of genotypes under single-point evaluation and under hydrogen-only relaxation, reporting ΔΔETotal and each component side by side so the sensitivity is visible.</w:t>
      </w:r>
    </w:p>
    <w:p>
      <w:pPr>
        <w:spacing w:after="200"/>
        <w:ind w:left="420"/>
      </w:pPr>
      <w:r>
        <w:rPr>
          <w:b/>
          <w:bCs/>
          <w:color w:val="FF0000"/>
        </w:rPr>
        <w:t xml:space="preserve">[PENDING — MM/GBSA relaxation sensitivity recomputation (none / h_relax / unrestrained) for a genotype subset. Insert as Supplementary Table 5 and summarize here.]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Un-named</cp:lastModifiedBy>
  <cp:revision>1</cp:revision>
  <dcterms:created xsi:type="dcterms:W3CDTF">2026-10-20T20:58:28.839Z</dcterms:created>
  <dcterms:modified xsi:type="dcterms:W3CDTF">2026-10-20T20:58:28.840Z</dcterms:modified>
</cp:coreProperties>
</file>

<file path=docProps/custom.xml><?xml version="1.0" encoding="utf-8"?>
<Properties xmlns="http://schemas.openxmlformats.org/officeDocument/2006/custom-properties" xmlns:vt="http://schemas.openxmlformats.org/officeDocument/2006/docPropsVTypes"/>
</file>