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color w:val="FF0000"/>
        </w:rPr>
        <w:t xml:space="preserve">Additions for Revision 1 (placeholders)</w:t>
      </w:r>
    </w:p>
    <w:p>
      <w:pPr>
        <w:spacing w:after="200"/>
      </w:pPr>
      <w:r>
        <w:rPr>
          <w:color w:val="FF0000"/>
        </w:rPr>
        <w:t xml:space="preserve">The sections below are referenced from the revised manuscript and are to be completed once the corresponding analyses finish. They are listed here so that every forward reference in the manuscript has a destination.</w:t>
      </w:r>
    </w:p>
    <w:p>
      <w:pPr>
        <w:spacing w:after="200"/>
      </w:pPr>
      <w:r>
        <w:rPr>
          <w:color w:val="FF0000"/>
        </w:rP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rPr>
          <w:color w:val="FF0000"/>
        </w:rPr>
        <w:t xml:space="preserve">Supplementary Note 1. Finite-size corrections for the charge-changing legs. Magnitude of the net-charge undersolvation and discrete-solvent terms of the Rocklin scheme for the WT→K103N and WT→G190E legs, which were not applied in the reported free energies. Addresses Reviewer 2, comment 4.</w:t>
      </w:r>
    </w:p>
    <w:p>
      <w:pPr>
        <w:spacing w:after="200"/>
      </w:pPr>
      <w:r>
        <w:rPr>
          <w:color w:val="FF0000"/>
        </w:rPr>
        <w:t xml:space="preserve">Supplementary Note 2. Effect of the ligand charge model. MM/GBSA energies recomputed with AM1-BCC partial charges for a subset of genotypes, compared against the Gasteiger values reported in the main text. Addresses Reviewer 2, comment 5.</w:t>
      </w:r>
    </w:p>
    <w:p>
      <w:pPr>
        <w:spacing w:after="200"/>
      </w:pPr>
      <w:r>
        <w:rPr>
          <w:color w:val="FF0000"/>
        </w:rPr>
        <w:t xml:space="preserve">Supplementary Figure 3. Convergence diagnostics: block averages, autocorrelation times and effective sample sizes for the structural observables and for the MM/GBSA and FEP estimates. Addresses Reviewer 2, comment 1.</w:t>
      </w:r>
    </w:p>
    <w:p>
      <w:pPr>
        <w:spacing w:after="200"/>
      </w:pPr>
      <w:r>
        <w:rPr>
          <w:color w:val="FF0000"/>
        </w:rPr>
        <w:t xml:space="preserve">Supplementary Figure 4. Protein-level conformational analysis: per-residue RMSF, secondary-structure changes and NNIBP conformational distributions, WT-referenced across the panel. Addresses Reviewer 1, comment 4.</w:t>
      </w:r>
    </w:p>
    <w:p>
      <w:pPr>
        <w:spacing w:after="200"/>
      </w:pPr>
      <w:r>
        <w:rPr>
          <w:color w:val="FF0000"/>
        </w:rPr>
        <w:t xml:space="preserve">Supplementary Figure 5. Apo and holo pocket ensembles for the genotypes where ΔΔGbind misses the phenotype. Addresses Reviewer 1, comments 2 and 3.</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