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D3E7" w14:textId="77777777" w:rsidR="005F527F" w:rsidRDefault="00000000">
      <w:pPr>
        <w:pStyle w:val="Heading1"/>
      </w:pPr>
      <w:r>
        <w:t>Doravirine Resistance Mechanisms in HIV-1 Reverse Transcriptase Revealed by Molecular Dynamics Simulations</w:t>
      </w:r>
    </w:p>
    <w:p w14:paraId="32E6117F" w14:textId="77777777" w:rsidR="005F527F" w:rsidRDefault="00000000">
      <w:pPr>
        <w:pStyle w:val="Heading2"/>
      </w:pPr>
      <w:r>
        <w:t>Abstract</w:t>
      </w:r>
    </w:p>
    <w:p w14:paraId="3F3A010A" w14:textId="77777777" w:rsidR="005F527F" w:rsidRDefault="00000000">
      <w:pPr>
        <w:spacing w:after="120"/>
      </w:pPr>
      <w:r>
        <w:t>Doravirine (DOR) is a next-generation non-nucleoside reverse transcriptase inhibitor (NNRTI) with durable clinical activity and a distinct resistance profile, but publicly available phenotypic susceptibility data remain limited for many clinically relevant DOR-associated genotypes. To investigate how short explicit-solvent molecular dynamics (MD) simulations might help interpret this landscape, we simulated wild-type (WT) HIV-1 reverse transcriptase (RT) and 18 mutant genotypes in complex with DOR and analyzed both global energetic and local structural features. MM/GBSA energy decomposition on bound-state snapshots showed that total WT-referenced energetic shifts did not correlate with phenotypic DOR fold-change data, although the electrostatic component showed a weak but statistically significant association. We therefore asked whether resistance might instead be encoded in mutation-specific redistribution of local DOR-pocket interactions and performed a systematic residue-level contact analysis across all DOR-contacting pocket residues. This analysis identified mechanistically distinct structural signatures: Y188L removed a key aromatic packing interaction and remodeled the pocket near Pro225, consistent with weaker local confinement of DOR; V106A-containing genotypes redistributed DOR toward the pocket entrance, where compensatory Lys104 and Ser105 interactions emerged in place of optimal packing near residue 106; V106I+F227C sampled a resistant local ensemble distinct from that of V106A+F227L despite similar phenotypic resistance; and G190E perturbed the beta9-beta10 hairpin and weakened Val179-side packing. A parsimonious logistic regression model built from three interpretable MD-derived features captured the major structural axes separating low- and high-resistance control genotypes, and its resistance probabilities correlated with the available DOR susceptibility landscape. Together, these results establish a structurally grounded framework for interpreting doravirine resistance, estimating the risk of DOR use in people living with HIV who carry pre-existing NNRTI mutations, and informing the design of future NNRTIs.</w:t>
      </w:r>
    </w:p>
    <w:p w14:paraId="2F46B68C" w14:textId="77777777" w:rsidR="005F527F" w:rsidRDefault="00000000">
      <w:pPr>
        <w:pStyle w:val="Heading2"/>
      </w:pPr>
      <w:r>
        <w:t>Introduction</w:t>
      </w:r>
    </w:p>
    <w:p w14:paraId="46D5F180" w14:textId="77777777" w:rsidR="005F527F" w:rsidRDefault="00000000">
      <w:pPr>
        <w:spacing w:after="120"/>
      </w:pPr>
      <w:r>
        <w:t xml:space="preserve">Doravirine (DOR) is an established oral NNRTI developed to retain antiviral activity against several historically common NNRTI resistance pathways while maintaining favorable tolerability and pharmacology. In phase 3 clinical trials, DOR-based regimens showed noninferior virologic efficacy compared with efavirenz- or ritonavir-boosted darunavir-based regimens and were associated with favorable neuropsychiatric and lipid outcomes. Long-term extension data have supported maintenance of efficacy and safety through 192 weeks, and more recent real-world studies have extended this picture to treatment-experienced populations in </w:t>
      </w:r>
      <w:r>
        <w:lastRenderedPageBreak/>
        <w:t>routine care settings (Orkin et al., 2019; Orkin et al., 2021; Molina et al., 2020; Orkin et al., 2024; Milinkovic et al., 2024; Mudrikova et al., 2024).</w:t>
      </w:r>
    </w:p>
    <w:p w14:paraId="189E90C5" w14:textId="77777777" w:rsidR="005F527F" w:rsidRDefault="00000000">
      <w:pPr>
        <w:spacing w:after="120"/>
      </w:pPr>
      <w:r>
        <w:t>Current knowledge of DOR resistance comes from a relatively small number of distinct primary data streams. These include the original site-directed mutant and resistance-selection studies that first defined the V106, F227, L234, P225, M230, and Y318 pathways (Feng et al., 2015; Feng et al., 2016; Smith et al., 2016); baseline prevalence surveys of DOR-associated resistance mutations in treatment-naive populations (Soulie et al., 2019); clinical-development resistance analyses from the DRIVE program (Martin et al., 2020; Orkin et al., 2026); large-scale phenotyping of Monogram clinical isolates and additional panels of complex NNRTI-resistant or multidrug-resistant viruses (Asante-Appiah et al., 2021; Saladini et al., 2021; Saladini et al., 2023); cell-culture selection studies that extended the pathway map under DOR, DOR/islatravir, DOR/lamivudine, or rilpivirine pressure (Brenner et al., 2021; Lai et al., 2022; Brenner et al., 2023); and more recent genotype- or subtype-focused studies of V106I and subtype C resistance patterns (Giammarino et al., 2024; Reddy et al., 2024). Across these studies, several broad patterns are now clear. First, classical NNRTI mutations such as K103N, Y181C, and G190A usually have limited effect on DOR susceptibility relative to their impact on older NNRTIs. Second, substitutions such as V106A, Y188L, Y318F, and combinations involving residues 227, 225, and 234 can produce substantially larger reductions in DOR susceptibility.</w:t>
      </w:r>
    </w:p>
    <w:p w14:paraId="1624A42B" w14:textId="77777777" w:rsidR="005F527F" w:rsidRDefault="00000000">
      <w:pPr>
        <w:spacing w:after="120"/>
      </w:pPr>
      <w:r>
        <w:t>What remains incomplete is not simply the number of available papers, but the lack of a dense, assay-harmonized genotype-phenotype map for DOR. The existing evidence is partitioned across non-interchangeable experimental settings: site-directed mutants estimate the effect of specific substitutions in defined laboratory backbones; serial passage experiments identify accessible evolutionary pathways under a particular drug pressure; large clinical-isolate datasets measure phenotype in real viruses but often with mixed mutational backgrounds that make attribution to a single mutation or mutation pair uncertain; clinical trial failure datasets are clinically important but numerically small; and the newer subtype-focused studies interrogate only a limited subset of mutations or subtype contexts (Feng et al., 2015; Feng et al., 2016; Asante-Appiah et al., 2021; Saladini et al., 2021; Brenner et al., 2023; Giammarino et al., 2024; Reddy et al., 2024; Orkin et al., 2026). As a result, many uncommon double mutants, upper-pocket combinations, and subtype-dependent effects remain only partially resolved. By contrast, older NNRTIs such as efavirenz and rilpivirine have been supported by larger and longer-standing genotype-phenotype and treatment-response literatures, enabling more mature resistance interpretation frameworks (Bacheler et al., 2001; Calvez et al., 2016; Lambert-Niclot et al., 2018).</w:t>
      </w:r>
    </w:p>
    <w:p w14:paraId="16BACDDB" w14:textId="77777777" w:rsidR="005F527F" w:rsidRDefault="00000000">
      <w:pPr>
        <w:spacing w:after="120"/>
      </w:pPr>
      <w:r>
        <w:t xml:space="preserve">This uneven evidence base creates a practical interpretation problem. In some settings, clinicians must decide whether DOR is a reasonable option for people living with HIV who harbor pre-existing NNRTI mutations, even though the exact DOR susceptibility profile of a given genotype is incompletely characterized. At the same time, drug designers would benefit from a more mechanistic understanding of why DOR remains active against some NNRTI-associated backgrounds but is compromised by others. These are fundamentally structural questions. </w:t>
      </w:r>
      <w:r>
        <w:lastRenderedPageBreak/>
        <w:t>NNRTI resistance does not arise only from direct steric clash or loss of affinity in a single static complex; it can also emerge from altered pocket geometry, redistribution of local contacts, ligand pose shifts, and longer-range allosteric coupling within RT (Esnouf et al., 1995; Das et al., 2004; Das et al., 2008; Schauer et al., 2014; Vijayan et al., 2014).</w:t>
      </w:r>
    </w:p>
    <w:p w14:paraId="177801EF" w14:textId="77777777" w:rsidR="005F527F" w:rsidRDefault="00000000">
      <w:pPr>
        <w:spacing w:after="120"/>
      </w:pPr>
      <w:r>
        <w:t>The DOR binding mode is especially relevant in this respect. Structural studies indicate that DOR binds deeper in the NNRTI-binding pocket (NNIBP) than rilpivirine, stacks prominently against Tyr188, interacts with the pyridone-proximal V106/L100 region, and relies in part on backbone interactions near Lys103 rather than on the Lys103 side chain itself (Cote et al., 2014; Smith et al., 2016; Hwang et al., 2020). This geometry is consistent with the relatively weak effect of K103N and Y181C and with the greater vulnerability of DOR to substitutions affecting Tyr188, V106, and the upper-pocket region around P225, F227, and L234. However, the structural consequences of many DOR-associated genotypes have not been examined systematically in a unified MD framework.</w:t>
      </w:r>
    </w:p>
    <w:p w14:paraId="71EEEA37" w14:textId="77777777" w:rsidR="005F527F" w:rsidRDefault="00000000">
      <w:pPr>
        <w:spacing w:after="120"/>
      </w:pPr>
      <w:r>
        <w:t>Here, we use all-atom explicit-solvent MD simulations of WT RT and 18 DOR-associated mutant genotypes to define structural mechanisms that could account for the observed phenotypic landscape. We first ask whether short MD-derived global energetic readouts track the available susceptibility data. We then perform a systematic residue-level contact analysis across DOR-contacting pocket residues to identify mutation-sensitive local structural signals and use these signals to motivate a small number of genotype-specific mechanistic case studies. Finally, we test whether a parsimonious model built from MD-derived structural features can summarize the separation between low- and high-resistance genotypes. Our goal is not to replace phenotypic susceptibility assays, but to establish a structure-based framework for interpreting DOR resistance, estimating risk in viruses with pre-existing NNRTI mutations, and informing the design of future NNRTIs.</w:t>
      </w:r>
    </w:p>
    <w:p w14:paraId="759C2940" w14:textId="77777777" w:rsidR="005F527F" w:rsidRDefault="00000000">
      <w:pPr>
        <w:pStyle w:val="Heading2"/>
      </w:pPr>
      <w:r>
        <w:t>Results</w:t>
      </w:r>
    </w:p>
    <w:p w14:paraId="02E78466" w14:textId="77777777" w:rsidR="005F527F" w:rsidRDefault="00000000">
      <w:pPr>
        <w:pStyle w:val="Heading3"/>
      </w:pPr>
      <w:r>
        <w:t>Phenotypic susceptibility landscape and genotype panel</w:t>
      </w:r>
    </w:p>
    <w:p w14:paraId="06CEF22F" w14:textId="77777777" w:rsidR="005F527F" w:rsidRDefault="00000000">
      <w:pPr>
        <w:spacing w:after="120"/>
      </w:pPr>
      <w:r>
        <w:t>We assembled a panel of 18 DOR-associated genotypes for simulation together with WT RT. These genotypes were selected to cover three distinct categories: (i) well-established low-impact control mutations, (ii) canonical DOR-associated resistance genotypes, and (iii) genotypes with limited, sparse, or mechanistically ambiguous DOR susceptibility data. Figure 1 summarizes the median fold-change in DOR susceptibility used to define the panel, and Supplementary Table 1 traces each genotype-level value to its original published source and assay context.</w:t>
      </w:r>
    </w:p>
    <w:p w14:paraId="4C2DA03C" w14:textId="77777777" w:rsidR="005F527F" w:rsidRDefault="00000000">
      <w:pPr>
        <w:spacing w:after="120"/>
      </w:pPr>
      <w:r>
        <w:t>We chose K103N, Y181C, and G190A as low-impact controls because multiple studies indicate that DOR generally retains activity against these classical NNRTI mutations (Feng et al., 2016; Asante-Appiah et al., 2021). We chose V106A, Y188L, Y318F, A98G+F227C, V106A+F227L, V106A+L234I, V106A+P225H, and V106I+F227C as canonical DOR-associated high-resistance controls because they recur across in vitro selection studies, clinical development datasets, and phenotypic susceptibility analyses (Feng et al., 2015; Martin et al., 2020; Asante-</w:t>
      </w:r>
      <w:r>
        <w:lastRenderedPageBreak/>
        <w:t>Appiah et al., 2021; Lai et al., 2022). Finally, we included K103N+L100I, K103N+P225H, K103N+M230L, V106I, V106M, G190E, and G190S as a limited-data set comprising genotypes with sparse primary susceptibility measurements, subtype-dependent uncertainty, or incomplete mechanistic resolution in the published literature (Martin et al., 2020; Soulie et al., 2019; Giammarino et al., 2024; Reddy et al., 2024; Orkin et al., 2026).</w:t>
      </w:r>
    </w:p>
    <w:p w14:paraId="0D69003F" w14:textId="77777777" w:rsidR="005F527F" w:rsidRDefault="00000000">
      <w:pPr>
        <w:spacing w:after="120"/>
      </w:pPr>
      <w:r>
        <w:t>Two aspects of this curation are important for interpretation. First, not all fold-change values derive from the same assay platform or experimental design. Some come from large-scale Monogram PhenoSense datasets, some from Merck reporter-gene or site-directed mutant studies, and some from clinical-development isolates or more limited targeted phenotyping studies. Second, review articles were used here only to identify candidate genotypes and contextualize the resistance landscape; wherever possible, the values plotted in Figure 1 were traced back to primary susceptibility studies. Because the DOR phenotype literature remains small and heterogeneous, the panel should be viewed as a phenotype-anchored but mechanistically motivated set rather than as a uniform benchmark dataset.</w:t>
      </w:r>
    </w:p>
    <w:p w14:paraId="103B2F01" w14:textId="77777777" w:rsidR="005F527F" w:rsidRDefault="00000000">
      <w:pPr>
        <w:spacing w:after="120"/>
      </w:pPr>
      <w:r>
        <w:rPr>
          <w:b/>
        </w:rPr>
        <w:t>Figure 1. Fold-change in DOR susceptibility associated with the simulated genotype panel.</w:t>
      </w:r>
      <w:r>
        <w:t xml:space="preserve"> Values represent median fold reductions in susceptibility relative to WT, grouped into low-impact controls, canonical DOR-associated resistance genotypes, and limited-data genotypes. Supplementary Table 1 lists the original publication and assay source for each plotted value.</w:t>
      </w:r>
    </w:p>
    <w:p w14:paraId="49870318" w14:textId="77777777" w:rsidR="005F527F" w:rsidRDefault="00000000">
      <w:pPr>
        <w:pStyle w:val="Heading3"/>
      </w:pPr>
      <w:r>
        <w:t>Global energetic analysis captures only a limited part of the phenotype landscape</w:t>
      </w:r>
    </w:p>
    <w:p w14:paraId="5B8E7F5E" w14:textId="77777777" w:rsidR="005F527F" w:rsidRDefault="00000000">
      <w:pPr>
        <w:spacing w:after="120"/>
      </w:pPr>
      <w:r>
        <w:t>We next asked whether short MD simulations could recover the phenotypic DOR susceptibility landscape through global energetic readouts. For each system, we ran three 100 ns explicit-solvent production simulations and computed MM/GBSA energetic components from uniformly sampled bound-state snapshots after discarding the first 25% of each trajectory. For each mutant genotype, we then calculated WT-referenced changes in total energy and in four energetic components: van der Waals, electrostatics, generalized Born polar solvation, and nonpolar surface area.</w:t>
      </w:r>
    </w:p>
    <w:p w14:paraId="04B91637" w14:textId="77777777" w:rsidR="005F527F" w:rsidRDefault="00000000">
      <w:pPr>
        <w:spacing w:after="120"/>
      </w:pPr>
      <w:r>
        <w:t>These quantities require careful interpretation. Here, MM/GBSA was used as a comparative endpoint energy decomposition on bound-state MD snapshots rather than as an absolute binding free-energy calculation. The values therefore do not represent equilibrium binding free energies because the simulations do not sample the full bound and unbound state populations needed for a true free-energy estimate. In addition, the calculations omit explicit solvent contributions at the level of the endpoint decomposition and operate on a timescale that is much shorter than the conformational rearrangements and kinetic processes governing RT-inhibitor binding in experiment. We therefore treated the energetic analysis as a global structural comparison rather than as a direct surrogate for phenotypic susceptibility.</w:t>
      </w:r>
    </w:p>
    <w:p w14:paraId="4B95E005" w14:textId="77777777" w:rsidR="005F527F" w:rsidRDefault="00000000">
      <w:pPr>
        <w:spacing w:after="120"/>
      </w:pPr>
      <w:r>
        <w:t xml:space="preserve">Within that framework, total WT-referenced energetic shifts did not correlate with the available phenotypic fold-change data. Most energetic components behaved similarly. The main exception was the electrostatic component, which showed a weak but statistically significant association </w:t>
      </w:r>
      <w:r>
        <w:lastRenderedPageBreak/>
        <w:t>with fold-change. This result suggested that mutation-dependent changes in local electrostatic organization might contribute to DOR resistance, but it also indicated that a simple global destabilization model is insufficient to explain the phenotype landscape on the timescale sampled here.</w:t>
      </w:r>
    </w:p>
    <w:p w14:paraId="4FC007D1" w14:textId="77777777" w:rsidR="005F527F" w:rsidRDefault="00000000">
      <w:pPr>
        <w:spacing w:after="120"/>
      </w:pPr>
      <w:r>
        <w:t>This lack of strong phenotype-level correlation motivated the next question rather than ending the analysis. Specifically, we asked whether resistance might instead be encoded in mutation-specific redistribution of local DOR-pocket interactions rather than in a single global energetic quantity. This was plausible for two reasons. First, the NNIBP is small enough that short MD simulations can still resolve local contact rearrangements even when they do not recover full binding thermodynamics. Second, prior structural studies of NNRTI resistance indicate that altered pocket geometry, shifted anchoring interactions, and increased pose heterogeneity can all reduce susceptibility without producing a simple global affinity signal. We therefore shifted our focus from global energetic summaries to systematic local analyses of DOR-pocket contacts.</w:t>
      </w:r>
    </w:p>
    <w:p w14:paraId="14F8BB43" w14:textId="77777777" w:rsidR="005F527F" w:rsidRDefault="00000000">
      <w:pPr>
        <w:spacing w:after="120"/>
      </w:pPr>
      <w:r>
        <w:rPr>
          <w:b/>
        </w:rPr>
        <w:t>Figure 2. WT-referenced energetic shifts from bound-state MD snapshots.</w:t>
      </w:r>
      <w:r>
        <w:t xml:space="preserve"> The total energetic shift and its individual components are shown for each mutant genotype relative to WT. Only the electrostatic component showed a weak association with phenotypic DOR fold-change, motivating local structural analysis.</w:t>
      </w:r>
    </w:p>
    <w:p w14:paraId="2534C71E" w14:textId="77777777" w:rsidR="005F527F" w:rsidRDefault="00000000">
      <w:pPr>
        <w:pStyle w:val="Heading3"/>
      </w:pPr>
      <w:r>
        <w:t>Systematic residue-contact analysis identifies mutation-sensitive local structural signals</w:t>
      </w:r>
    </w:p>
    <w:p w14:paraId="74C79234" w14:textId="77777777" w:rsidR="005F527F" w:rsidRDefault="00000000">
      <w:pPr>
        <w:spacing w:after="120"/>
      </w:pPr>
      <w:r>
        <w:t>To define local structural signatures of DOR resistance without post hoc cherry-picking, we quantified residue-level DOR contacts across the entire simulation panel. A residue was classified as being in contact with DOR in a given frame if the minimum heavy-atom distance between that residue and DOR was less than 4.0 A. Contact occupancy was then defined as the fraction of analyzed frames in which the contact criterion was satisfied.</w:t>
      </w:r>
    </w:p>
    <w:p w14:paraId="2740B999" w14:textId="77777777" w:rsidR="005F527F" w:rsidRDefault="00000000">
      <w:pPr>
        <w:spacing w:after="120"/>
      </w:pPr>
      <w:r>
        <w:t>We first computed this quantity for all residues that contacted DOR at any point in any trajectory. We then summarized the occupancy landscape across the panel and used it to identify residues whose DOR-contact behavior changed preferentially in specific mutation backgrounds. For figure tractability, we highlighted residues that reached a mean occupancy of at least 0.5 in at least one genotype. This occupancy threshold was introduced solely to keep the display interpretable; it should not be viewed as a biological cutoff.</w:t>
      </w:r>
    </w:p>
    <w:p w14:paraId="791CDADA" w14:textId="77777777" w:rsidR="005F527F" w:rsidRDefault="00000000">
      <w:pPr>
        <w:spacing w:after="120"/>
      </w:pPr>
      <w:r>
        <w:t>This systematic screen yielded two broad insights. First, the WT DOR binding pocket is organized around a stable core of frequently occupied contacts involving the V106/L100 region, the Tyr181/Tyr188 aromatic wall, and the upper-pocket region around P225, F227, W229, and L234. Second, mutation-dependent perturbations were not uniformly distributed across this network. Instead, different genotype classes preferentially altered different parts of the contact map. Y188L preferentially perturbed the Tyr188-side region and the neighboring Pro225 geometry. V106A-containing genotypes preferentially altered contacts on the pocket-entrance side and increased proximity to Lys104 and Ser105. G190E uniquely weakened contacts associated with the beta9-beta10 hairpin, especially around Val179.</w:t>
      </w:r>
    </w:p>
    <w:p w14:paraId="6304C6D8" w14:textId="77777777" w:rsidR="005F527F" w:rsidRDefault="00000000">
      <w:pPr>
        <w:spacing w:after="120"/>
      </w:pPr>
      <w:r>
        <w:lastRenderedPageBreak/>
        <w:t>These patterns provided the rationale for the reporter coordinates used below. Pro225, Ser105, Lys104, Val179, and residue 227 were not selected arbitrarily; each emerged from the residue-level contact screen as a mutation-sensitive local signal that helped distinguish one mechanistic class from another.</w:t>
      </w:r>
    </w:p>
    <w:p w14:paraId="494D2AA7" w14:textId="77777777" w:rsidR="005F527F" w:rsidRDefault="00000000">
      <w:pPr>
        <w:spacing w:after="120"/>
      </w:pPr>
      <w:r>
        <w:rPr>
          <w:b/>
        </w:rPr>
        <w:t>Figure 3. Systematic residue-level DOR contact analysis across the simulation panel.</w:t>
      </w:r>
      <w:r>
        <w:t xml:space="preserve"> Contact occupancy was computed for all residues that contacted DOR in any trajectory using a 4.0 A heavy-atom distance cutoff. Residues displayed in the main panel were filtered only for figure tractability using a mean occupancy threshold of at least 0.5 in at least one genotype.</w:t>
      </w:r>
    </w:p>
    <w:p w14:paraId="306A2EDF" w14:textId="77777777" w:rsidR="005F527F" w:rsidRDefault="00000000">
      <w:pPr>
        <w:pStyle w:val="Heading3"/>
      </w:pPr>
      <w:r>
        <w:t>Y188L disrupts the Tyr188 aromatic wall and remodels the pocket near Pro225</w:t>
      </w:r>
    </w:p>
    <w:p w14:paraId="7494F18F" w14:textId="77777777" w:rsidR="005F527F" w:rsidRDefault="00000000">
      <w:pPr>
        <w:spacing w:after="120"/>
      </w:pPr>
      <w:r>
        <w:t>Y188L is one of the clearest single-mutation DOR resistance genotypes in the literature, whereas Y181C is a classical NNRTI mutation that usually has little effect on DOR susceptibility. We therefore compared WT, Y181C, and Y188L to determine whether the local trajectory features of these two tyrosine-site mutations differ in a way that matches their distinct phenotypes.</w:t>
      </w:r>
    </w:p>
    <w:p w14:paraId="1103DEE8" w14:textId="77777777" w:rsidR="005F527F" w:rsidRDefault="00000000">
      <w:pPr>
        <w:spacing w:after="120"/>
      </w:pPr>
      <w:r>
        <w:t>In the WT DOR-bound structure, the chlorophenol ring of DOR packs against Tyr188 within the aromatic wall of the NNIBP. Loss of this aromatic surface in Y188L was expected to weaken local packing directly, but the residue-level contact screen suggested a second structural effect: a preferential shift in the DOR-Pro225 relationship. Pro225 is not mutated in this genotype; rather, it serves here as a reporter of local pocket remodeling propagated from the Tyr188 side of the pocket.</w:t>
      </w:r>
    </w:p>
    <w:p w14:paraId="5C8B2998" w14:textId="77777777" w:rsidR="005F527F" w:rsidRDefault="00000000">
      <w:pPr>
        <w:spacing w:after="120"/>
      </w:pPr>
      <w:r>
        <w:t>The Y188L simulations indeed differed from both WT and Y181C in this respect. Relative to WT and Y181C, Y188L showed increased Tyr188-DOR separation together with more frequent excursions of Pro225 away from DOR. By contrast, Y181C retained a largely WT-like local geometry. This distinction is consistent with the known DOR binding mode, in which Tyr188 contributes directly to packing while Tyr181 is positioned closer to the rim of the pocket and is less central to the DOR interaction network (Smith et al., 2016).</w:t>
      </w:r>
    </w:p>
    <w:p w14:paraId="61C798B7" w14:textId="77777777" w:rsidR="005F527F" w:rsidRDefault="00000000">
      <w:pPr>
        <w:spacing w:after="120"/>
      </w:pPr>
      <w:r>
        <w:t>Taken together, these results support a two-part interpretation of Y188L resistance: direct loss of aromatic packing on the Tyr188 side of the pocket, coupled with local remodeling near Pro225 that may broaden the set of accessible DOR poses and weaken pocket confinement.</w:t>
      </w:r>
    </w:p>
    <w:p w14:paraId="413A7EEB" w14:textId="77777777" w:rsidR="005F527F" w:rsidRDefault="00000000">
      <w:pPr>
        <w:spacing w:after="120"/>
      </w:pPr>
      <w:r>
        <w:rPr>
          <w:b/>
        </w:rPr>
        <w:t>Figure 4. Y188L preferentially remodels the Tyr188-side pocket environment.</w:t>
      </w:r>
      <w:r>
        <w:t xml:space="preserve"> Distance traces and representative structures compare WT, Y181C, and Y188L. Pro225 is shown as a reporter coordinate selected from the global contact screen rather than as a co-mutated residue.</w:t>
      </w:r>
    </w:p>
    <w:p w14:paraId="7C23E06C" w14:textId="77777777" w:rsidR="005F527F" w:rsidRDefault="00000000">
      <w:pPr>
        <w:pStyle w:val="Heading3"/>
      </w:pPr>
      <w:r>
        <w:t>V106A-containing genotypes shift DOR toward the pocket entrance</w:t>
      </w:r>
    </w:p>
    <w:p w14:paraId="07659463" w14:textId="77777777" w:rsidR="005F527F" w:rsidRDefault="00000000">
      <w:pPr>
        <w:spacing w:after="120"/>
      </w:pPr>
      <w:r>
        <w:t xml:space="preserve">The V106 region is a major determinant of DOR susceptibility because V106 directly contacts the central pyridone-containing portion of the inhibitor. However, the literature and our own genotype panel indicate that not all residue-106 substitutions behave equivalently. V106I generally has little effect on DOR susceptibility when present alone, whereas V106A is a </w:t>
      </w:r>
      <w:r>
        <w:lastRenderedPageBreak/>
        <w:t>canonical DOR resistance mutation and serves as the first step in several high-resistance combination pathways.</w:t>
      </w:r>
    </w:p>
    <w:p w14:paraId="5EFA44E6" w14:textId="77777777" w:rsidR="005F527F" w:rsidRDefault="00000000">
      <w:pPr>
        <w:spacing w:after="120"/>
      </w:pPr>
      <w:r>
        <w:t>The systematic contact analysis highlighted Ser105 and Lys104 as informative reporter residues for this distinction. Both residues sit near the pocket entrance adjacent to the 105-106 region, and both showed preferential shifts in DOR proximity in V106A-containing trajectories. In direct comparisons among WT, V106I, and V106A, the V106A simulations showed a reproducible shift of DOR toward the pocket entrance, bringing DOR closer to Ser105 and often also to Lys104. This shift was not observed to the same extent in WT or V106I.</w:t>
      </w:r>
    </w:p>
    <w:p w14:paraId="42320877" w14:textId="77777777" w:rsidR="005F527F" w:rsidRDefault="00000000">
      <w:pPr>
        <w:spacing w:after="120"/>
      </w:pPr>
      <w:r>
        <w:t>The most plausible interpretation is that replacement of valine with alanine removes hydrophobic bulk from a direct DOR-contact site and allows the bound ligand to redistribute toward a slightly more entrance-shifted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 and therefore perturbs the local geometry much less strongly.</w:t>
      </w:r>
    </w:p>
    <w:p w14:paraId="147BA010" w14:textId="77777777" w:rsidR="005F527F" w:rsidRDefault="00000000">
      <w:pPr>
        <w:spacing w:after="120"/>
      </w:pPr>
      <w:r>
        <w:t>This entrance-shift model also helps explain why V106A becomes especially problematic in combination with secondary upper-pocket substitutions. If V106A first redistributes the DOR pose toward the entrance, then additional substitutions around P225, F227, or L234 can further destabilize an already altered local contact network.</w:t>
      </w:r>
    </w:p>
    <w:p w14:paraId="65B84FB1" w14:textId="77777777" w:rsidR="005F527F" w:rsidRDefault="00000000">
      <w:pPr>
        <w:spacing w:after="120"/>
      </w:pPr>
      <w:r>
        <w:rPr>
          <w:b/>
        </w:rPr>
        <w:t>Figure 5. V106A preferentially shifts DOR toward the pocket entrance.</w:t>
      </w:r>
      <w:r>
        <w:t xml:space="preserve"> WT, V106I, and V106A are compared using Ser105 as a reporter coordinate selected from the panel-wide residue-contact screen.</w:t>
      </w:r>
    </w:p>
    <w:p w14:paraId="6AD616E2" w14:textId="77777777" w:rsidR="005F527F" w:rsidRDefault="00000000">
      <w:pPr>
        <w:pStyle w:val="Heading3"/>
      </w:pPr>
      <w:r>
        <w:t>Secondary substitutions amplify the V106A structural signature</w:t>
      </w:r>
    </w:p>
    <w:p w14:paraId="3238D749" w14:textId="77777777" w:rsidR="005F527F" w:rsidRDefault="00000000">
      <w:pPr>
        <w:spacing w:after="120"/>
      </w:pPr>
      <w:r>
        <w:t>We next examined whether the structural signal identified for V106A persists in the high-resistance V106A-containing double mutants. Across V106A+L234I, V106A+P225H, and V106A+F227L, the main common feature was retention or amplification of the entrance-shifted local pose ensemble already observed in V106A alone. In each of these backgrounds, DOR remained closer to Lys104 and/or Ser105 than in WT, consistent with persistent redistribution of local pocket occupancy toward the entrance side.</w:t>
      </w:r>
    </w:p>
    <w:p w14:paraId="49A7D6AC" w14:textId="77777777" w:rsidR="005F527F" w:rsidRDefault="00000000">
      <w:pPr>
        <w:spacing w:after="120"/>
      </w:pPr>
      <w:r>
        <w:t>The specific form of this amplification differed across genotypes. V106A+L234I showed particularly persistent DOR-Lys104 proximity, suggesting that upper-pocket repacking near residue 234 can reinforce the V106A-associated shift. V106A+P225H behaved similarly, although the detailed local geometry appeared somewhat more heterogeneous. V106A+F227L also retained the entrance-shifted signature and, in addition, altered local contacts around the residue-227 region more strongly than V106A alone.</w:t>
      </w:r>
    </w:p>
    <w:p w14:paraId="46E36571" w14:textId="77777777" w:rsidR="005F527F" w:rsidRDefault="00000000">
      <w:pPr>
        <w:spacing w:after="120"/>
      </w:pPr>
      <w:r>
        <w:t xml:space="preserve">These observations support a family-level mechanistic interpretation: V106A acts as a primary perturbation that redistributes DOR within the pocket, and secondary substitutions in the upper pocket or primer-grip region further weaken the structural compensation available to the ligand. </w:t>
      </w:r>
      <w:r>
        <w:lastRenderedPageBreak/>
        <w:t>This model is consistent with the much larger fold-change values reported for these combinations relative to V106A alone.</w:t>
      </w:r>
    </w:p>
    <w:p w14:paraId="1CB77B8A" w14:textId="77777777" w:rsidR="005F527F" w:rsidRDefault="00000000">
      <w:pPr>
        <w:spacing w:after="120"/>
      </w:pPr>
      <w:r>
        <w:rPr>
          <w:b/>
        </w:rPr>
        <w:t>Figure 6. Secondary pocket substitutions amplify the V106A-associated entrance-shift signature.</w:t>
      </w:r>
      <w:r>
        <w:t xml:space="preserve"> Representative comparisons among WT, V106A, and V106A-containing combination genotypes illustrate the persistence of Lys104 and Ser105 reporter signals.</w:t>
      </w:r>
    </w:p>
    <w:p w14:paraId="460B2EA8" w14:textId="77777777" w:rsidR="005F527F" w:rsidRDefault="00000000">
      <w:pPr>
        <w:pStyle w:val="Heading3"/>
      </w:pPr>
      <w:r>
        <w:t>V106I+F227C reaches high resistance through a different local route than V106A+F227L</w:t>
      </w:r>
    </w:p>
    <w:p w14:paraId="3609AE7C" w14:textId="77777777" w:rsidR="005F527F" w:rsidRDefault="00000000">
      <w:pPr>
        <w:spacing w:after="120"/>
      </w:pPr>
      <w:r>
        <w:t>V106I+F227C and V106A+F227L are both highly resistant DOR-associated genotypes, yet the pathway-specific logic above predicts that they should not be structurally identical. V106A+F227L belongs to the V106A family and therefore might be expected to retain the entrance-shifted signature. V106I+F227C, by contrast, combines a relatively low-impact residue-106 substitution with a direct upper-pocket substitution at position 227.</w:t>
      </w:r>
    </w:p>
    <w:p w14:paraId="2C77A184" w14:textId="77777777" w:rsidR="005F527F" w:rsidRDefault="00000000">
      <w:pPr>
        <w:spacing w:after="120"/>
      </w:pPr>
      <w:r>
        <w:t>This prediction was borne out in the trajectories. V106A+F227L showed the same local shift toward Ser105 and Lys104 seen in other V106A-containing backgrounds. V106I+F227C did not show that same entrance-focused pattern. Instead, it sampled alternative local conformations involving the residue-227 region, with DOR becoming transiently more separated from position 227 than in WT or V106A+F227L.</w:t>
      </w:r>
    </w:p>
    <w:p w14:paraId="047C0FF6" w14:textId="77777777" w:rsidR="005F527F" w:rsidRDefault="00000000">
      <w:pPr>
        <w:spacing w:after="120"/>
      </w:pPr>
      <w:r>
        <w:t>The importance of this comparison is conceptual as well as mechanistic. These two genotypes have nearly identical median DOR fold-change values in the available phenotype data, yet the simulations suggest that they arrive at that shared phenotype through different structural routes. Similar resistance magnitude therefore need not imply a shared mechanism. For DOR resistance interpretation, this means that structurally distinct genotype classes may converge on a similar susceptibility outcome through different local reorganizations of the same pocket.</w:t>
      </w:r>
    </w:p>
    <w:p w14:paraId="267CFD07" w14:textId="77777777" w:rsidR="005F527F" w:rsidRDefault="00000000">
      <w:pPr>
        <w:spacing w:after="120"/>
      </w:pPr>
      <w:r>
        <w:rPr>
          <w:b/>
        </w:rPr>
        <w:t>Figure 7. V106I+F227C and V106A+F227L show distinct local DOR-pocket signatures despite similar phenotypic resistance.</w:t>
      </w:r>
      <w:r>
        <w:t xml:space="preserve"> V106A+F227L retains the entrance-shifted pattern characteristic of V106A-containing genotypes, whereas V106I+F227C preferentially perturbs the residue-227 region.</w:t>
      </w:r>
    </w:p>
    <w:p w14:paraId="2403B2E9" w14:textId="77777777" w:rsidR="005F527F" w:rsidRDefault="00000000">
      <w:pPr>
        <w:pStyle w:val="Heading3"/>
      </w:pPr>
      <w:r>
        <w:t>G190E perturbs the beta9-beta10 hairpin and weakens Val179 contact</w:t>
      </w:r>
    </w:p>
    <w:p w14:paraId="3CF3656B" w14:textId="77777777" w:rsidR="005F527F" w:rsidRDefault="00000000">
      <w:pPr>
        <w:spacing w:after="120"/>
      </w:pPr>
      <w:r>
        <w:t>G190E is not typically emphasized to the same extent as V106A or Y188L in discussions of DOR resistance, but the available phenotype literature suggests that it may reduce DOR susceptibility. We therefore compared WT, G190A, and G190E to ask whether introduction of a negatively charged glutamate at position 190 produces local structural effects distinct from the more common G190A substitution.</w:t>
      </w:r>
    </w:p>
    <w:p w14:paraId="60868C5E" w14:textId="77777777" w:rsidR="005F527F" w:rsidRDefault="00000000">
      <w:pPr>
        <w:spacing w:after="120"/>
      </w:pPr>
      <w:r>
        <w:t>The panel-wide contact analysis identified Val179 as the clearest reporter residue for this comparison. Val179 lies on the same beta9-beta10 hairpin-side region of the pocket and showed strong genotype-specific contact loss in G190E. In direct trajectory comparisons, G190E caused marked separation of Val179 from DOR that was not observed in WT or G190A. This effect was accompanied by broader local perturbation of the beta9-beta10 hairpin environment.</w:t>
      </w:r>
    </w:p>
    <w:p w14:paraId="24C3CB77" w14:textId="77777777" w:rsidR="005F527F" w:rsidRDefault="00000000">
      <w:pPr>
        <w:spacing w:after="120"/>
      </w:pPr>
      <w:r>
        <w:lastRenderedPageBreak/>
        <w:t>The simplest interpretation is that the G190E side chain introduces a local electrostatic and steric perturbation in the hairpin that propagates into the Val179 side of the pocket, thereby weakening DOR packing on that face of the binding site. G190A, which lacks this charge and imposes a much smaller structural perturbation, did not produce the same effect. These results therefore support G190E as a plausible DOR-relevant genotype deserving further targeted phenotypic study.</w:t>
      </w:r>
    </w:p>
    <w:p w14:paraId="06615B7E" w14:textId="77777777" w:rsidR="005F527F" w:rsidRDefault="00000000">
      <w:pPr>
        <w:spacing w:after="120"/>
      </w:pPr>
      <w:r>
        <w:rPr>
          <w:b/>
        </w:rPr>
        <w:t>Figure 8. G190E preferentially perturbs the beta9-beta10 hairpin.</w:t>
      </w:r>
      <w:r>
        <w:t xml:space="preserve"> WT, G190A, and G190E are compared using Val179 as a reporter coordinate selected from the systematic residue-contact analysis.</w:t>
      </w:r>
    </w:p>
    <w:p w14:paraId="5FFF9A48" w14:textId="77777777" w:rsidR="005F527F" w:rsidRDefault="00000000">
      <w:pPr>
        <w:pStyle w:val="Heading3"/>
      </w:pPr>
      <w:r>
        <w:t>A parsimonious 3-feature model summarizes the separation between low- and high-resistance controls</w:t>
      </w:r>
    </w:p>
    <w:p w14:paraId="6BCEAE1F" w14:textId="77777777" w:rsidR="005F527F" w:rsidRDefault="00000000">
      <w:pPr>
        <w:spacing w:after="120"/>
      </w:pPr>
      <w:r>
        <w:t>After identifying local structural signatures across the genotype panel, we asked whether a small set of MD-derived features could summarize the distinction between low- and high-resistance genotypes. We therefore trained an L1-regularized logistic regression model using only the negative and positive control genotypes. Genotypes were labeled as high resistance if their median DOR fold-change exceeded 10 and low resistance otherwise. We used a decision threshold of 0.5 for class assignment.</w:t>
      </w:r>
    </w:p>
    <w:p w14:paraId="72FABFAA" w14:textId="77777777" w:rsidR="005F527F" w:rsidRDefault="00000000">
      <w:pPr>
        <w:spacing w:after="120"/>
      </w:pPr>
      <w:r>
        <w:t>Feature selection converged on a parsimonious three-feature model comprising the Ser105-DOR distance, the Tyr188-DOR distance, and ligand pose RMSD. This result is mechanistically coherent: the selected features capture, respectively, the entrance-shift signature of V106A-containing genotypes, the Tyr188-side perturbation characteristic of Y188L-related effects, and the broader redistribution of ligand pose within the pocket.</w:t>
      </w:r>
    </w:p>
    <w:p w14:paraId="1897C5E3" w14:textId="77777777" w:rsidR="005F527F" w:rsidRDefault="00000000">
      <w:pPr>
        <w:spacing w:after="120"/>
      </w:pPr>
      <w:r>
        <w:t>When fit on the control set, the model separated low- and high-resistance controls with good within-panel performance, and the resulting resistance probabilities correlated with the available fold-change data. This is the main value of the model: it compresses the dominant structural signals identified above into a compact, interpretable summary of resistance-associated risk across the panel. WT, which was not used as a training control, was assigned a low resistance probability when evaluated as an unseen reference case. In the limited-data set, the model assigned high resistance probability to G190E and low resistance probability to V106I, V106M, L100I+K103N, and K103N+P225H, while remaining discordant for some genotypes such as G190S and K103N+M230L.</w:t>
      </w:r>
    </w:p>
    <w:p w14:paraId="118F42F3" w14:textId="77777777" w:rsidR="005F527F" w:rsidRDefault="00000000">
      <w:pPr>
        <w:spacing w:after="120"/>
      </w:pPr>
      <w:r>
        <w:t>These results should be interpreted cautiously. The model is not a validated susceptibility predictor and is trained on a small, hand-selected control panel. Its value lies in interpretability rather than in standalone predictive performance. Nonetheless, the fact that only three structural features can summarize much of the control-genotype separation supports the broader conclusion that short MD simulations capture mechanistically informative local signals even when global energetic summaries do not.</w:t>
      </w:r>
    </w:p>
    <w:p w14:paraId="40082192" w14:textId="77777777" w:rsidR="005F527F" w:rsidRDefault="00000000">
      <w:pPr>
        <w:spacing w:after="120"/>
      </w:pPr>
      <w:r>
        <w:rPr>
          <w:b/>
        </w:rPr>
        <w:lastRenderedPageBreak/>
        <w:t>Figure 9. A parsimonious 3-feature logistic regression model summarizes MD-derived resistance-associated structural signatures.</w:t>
      </w:r>
      <w:r>
        <w:t xml:space="preserve"> The model uses only Ser105-DOR distance, Tyr188-DOR distance, and ligand pose RMSD and assigns WT a low resistance probability as an unseen reference case.</w:t>
      </w:r>
    </w:p>
    <w:p w14:paraId="12FCA7D9" w14:textId="77777777" w:rsidR="005F527F" w:rsidRDefault="00000000">
      <w:pPr>
        <w:pStyle w:val="Heading2"/>
      </w:pPr>
      <w:r>
        <w:t>Discussion</w:t>
      </w:r>
    </w:p>
    <w:p w14:paraId="01BFE017" w14:textId="77777777" w:rsidR="005F527F" w:rsidRDefault="00000000">
      <w:pPr>
        <w:spacing w:after="120"/>
      </w:pPr>
      <w:r>
        <w:t>This study was motivated by a simple but practical problem: DOR is clinically useful precisely because it differs from earlier NNRTIs, yet the phenotype evidence base for many DOR-associated genotypes remains too sparse to support purely empirical interpretation. We therefore asked whether short explicit-solvent MD simulations could provide a coherent structural framework for understanding known and limited-data DOR resistance genotypes.</w:t>
      </w:r>
    </w:p>
    <w:p w14:paraId="390484EF" w14:textId="77777777" w:rsidR="005F527F" w:rsidRDefault="00000000">
      <w:pPr>
        <w:spacing w:after="120"/>
      </w:pPr>
      <w:r>
        <w:t>The first major result is negative in a useful way. Total WT-referenced energetic shifts derived from bound-state MD snapshots did not explain the phenotypic DOR landscape, and most energetic components behaved similarly. This reinforces an important methodological point. Short equilibrium MD simulations of a single bound complex are not expected to recover full inhibitor-binding thermodynamics, especially in a system such as RT where relevant conformational and kinetic processes extend well beyond the timescale sampled here. The weak but statistically significant association observed for the electrostatic component suggests that local electrostatic reorganization matters, but it is not sufficient to provide a complete phenotype-level explanation.</w:t>
      </w:r>
    </w:p>
    <w:p w14:paraId="7D6C8F9A" w14:textId="77777777" w:rsidR="005F527F" w:rsidRDefault="00000000">
      <w:pPr>
        <w:spacing w:after="120"/>
      </w:pPr>
      <w:r>
        <w:t>The second major result is positive and, in our view, more informative. Systematic residue-level contact analysis revealed that different DOR-associated genotypes preferentially perturb different local regions of the pocket. Y188L destabilized the Tyr188 aromatic wall and was associated with remodeling near Pro225. V106A-containing genotypes redistributed DOR toward the pocket entrance and favored compensatory proximity to Lys104 and Ser105. V106I+F227C achieved similarly high resistance through a different local route centered more strongly on the residue-227 region. G190E uniquely perturbed the beta9-beta10 hairpin and weakened the Val179 side of the pocket. These observations support a model in which DOR resistance emerges through multiple mechanistic classes rather than through a single generic reduction in binding strength.</w:t>
      </w:r>
    </w:p>
    <w:p w14:paraId="48CE026D" w14:textId="77777777" w:rsidR="005F527F" w:rsidRDefault="00000000">
      <w:pPr>
        <w:spacing w:after="120"/>
      </w:pPr>
      <w:r>
        <w:t>This mechanistic diversity is especially important for interpreting epistasis. The V106A-containing double mutants did not simply show larger versions of a global destabilization signal; instead, they retained the same entrance-shifted local signature already seen in V106A alone, consistent with the idea that V106A acts as a priming mutation that redistributes the DOR pose, after which upper-pocket substitutions exacerbate the resulting vulnerability. By contrast, V106I+F227C shows that a high-resistance phenotype can also emerge without that same structural route. Similar fold-change values can therefore conceal distinct local mechanisms.</w:t>
      </w:r>
    </w:p>
    <w:p w14:paraId="223FF6A0" w14:textId="77777777" w:rsidR="005F527F" w:rsidRDefault="00000000">
      <w:pPr>
        <w:spacing w:after="120"/>
      </w:pPr>
      <w:r>
        <w:t xml:space="preserve">The logistic regression analysis supports this interpretation. The fact that a three-feature model built from Ser105-DOR distance, Tyr188-DOR distance, and ligand pose RMSD could </w:t>
      </w:r>
      <w:r>
        <w:lastRenderedPageBreak/>
        <w:t>summarize the low-versus-high resistance control separation suggests that the dominant structural signals in this system are both local and low-dimensional. At the same time, the mixed performance in the limited-data set emphasizes that such a model is currently best understood as an interpretable structural summary rather than as a deployable prediction tool.</w:t>
      </w:r>
    </w:p>
    <w:p w14:paraId="0AE5289A" w14:textId="77777777" w:rsidR="005F527F" w:rsidRDefault="00000000">
      <w:pPr>
        <w:spacing w:after="120"/>
      </w:pPr>
      <w:r>
        <w:t>Several limitations should frame the interpretation of this work. First, the simulations were short relative to the conformational and kinetic timescales relevant to RT-inhibitor binding, so some mechanistically important events may remain unsampled. Second, the underlying phenotype literature is sparse and heterogeneous, and not all fold-change values derive from the same assay platform or experimental context. Third, some genotypes of interest, including Y318F and A98G+F227C, remain only partially resolved mechanistically even within the present framework. Fourth, the limited-data classifier is constrained by small sample size and by the difficulty of drawing hard class boundaries in a sparse phenotype landscape.</w:t>
      </w:r>
    </w:p>
    <w:p w14:paraId="14535292" w14:textId="77777777" w:rsidR="005F527F" w:rsidRDefault="00000000">
      <w:pPr>
        <w:spacing w:after="120"/>
      </w:pPr>
      <w:r>
        <w:t>Despite these limitations, we think the central contribution of this study is clear. Short explicit-solvent MD simulations do not replace phenotypic susceptibility experiments, but they do provide a practical and mechanistically interpretable framework for understanding how pre-existing NNRTI mutations might alter DOR binding in RT. That framework is useful in two ways. First, it can help estimate the risk associated with DOR use in people living with HIV whose viruses harbor pre-existing NNRTI mutations but lack extensive direct DOR phenotype data. Second, it identifies concrete structural features that medicinal chemists can target when designing future NNRTIs with improved resilience against Tyr188-side, V106-side, upper-pocket, or beta9-beta10 hairpin-mediated resistance pathways.</w:t>
      </w:r>
    </w:p>
    <w:p w14:paraId="5B936E79" w14:textId="77777777" w:rsidR="005F527F" w:rsidRDefault="00000000">
      <w:pPr>
        <w:pStyle w:val="Heading2"/>
      </w:pPr>
      <w:r>
        <w:t>Methods</w:t>
      </w:r>
    </w:p>
    <w:p w14:paraId="42020414" w14:textId="77777777" w:rsidR="005F527F" w:rsidRDefault="00000000">
      <w:pPr>
        <w:pStyle w:val="Heading3"/>
      </w:pPr>
      <w:r>
        <w:t>Phenotype curation and genotype selection</w:t>
      </w:r>
    </w:p>
    <w:p w14:paraId="62635139" w14:textId="77777777" w:rsidR="005F527F" w:rsidRDefault="00000000">
      <w:pPr>
        <w:spacing w:after="120"/>
      </w:pPr>
      <w:r>
        <w:t>We curated published DOR susceptibility data for candidate genotypes from primary phenotypic susceptibility studies, site-directed mutant analyses, resistance-selection experiments, and clinical-development resistance reports. Review articles were used to identify candidate resistance-associated genotypes and to synthesize prior knowledge, but Figure 1 values were traced back to original studies wherever possible. Because the phenotype literature remains heterogeneous across assay platforms, all plotted values are accompanied by source and assay annotations in Supplementary Table 1.</w:t>
      </w:r>
    </w:p>
    <w:p w14:paraId="172FEF5F" w14:textId="77777777" w:rsidR="005F527F" w:rsidRDefault="00000000">
      <w:pPr>
        <w:spacing w:after="120"/>
      </w:pPr>
      <w:r>
        <w:t>The final simulation panel comprised WT RT together with 18 mutant genotypes grouped into low-impact control mutations, canonical DOR-associated high-resistance genotypes, and a limited-data set of genotypes with sparse or mechanistically ambiguous evidence.</w:t>
      </w:r>
    </w:p>
    <w:p w14:paraId="24FEC610" w14:textId="77777777" w:rsidR="005F527F" w:rsidRDefault="00000000">
      <w:pPr>
        <w:pStyle w:val="Heading3"/>
      </w:pPr>
      <w:r>
        <w:t>System preparation</w:t>
      </w:r>
    </w:p>
    <w:p w14:paraId="5D011047" w14:textId="77777777" w:rsidR="005F527F" w:rsidRDefault="00000000">
      <w:pPr>
        <w:spacing w:after="120"/>
      </w:pPr>
      <w:r>
        <w:t xml:space="preserve">All simulations used a DOR-bound HIV-1 RT complex derived from PDB ID 4NCG (Cote et al., 2014). Mutant structures were generated by applying the desired amino acid substitutions to the </w:t>
      </w:r>
      <w:r>
        <w:lastRenderedPageBreak/>
        <w:t>template structure. Each genotype was simulated in triplicate starting from a separately prepared structure with a small deterministic coordinate perturbation to promote replicate diversity.</w:t>
      </w:r>
    </w:p>
    <w:p w14:paraId="0CDA640A" w14:textId="77777777" w:rsidR="005F527F" w:rsidRDefault="00000000">
      <w:pPr>
        <w:spacing w:after="120"/>
      </w:pPr>
      <w:r>
        <w:t>Nonstandard residues were replaced, missing atoms were added where possible, hydrogen atoms were rebuilt, and residues missing from the crystallographic model were not explicitly modeled. The DOR ligand was rebuilt from a reference structure and aligned into the crystallographic binding pose used for the WT template.</w:t>
      </w:r>
    </w:p>
    <w:p w14:paraId="313C8ADB" w14:textId="77777777" w:rsidR="005F527F" w:rsidRDefault="00000000">
      <w:pPr>
        <w:pStyle w:val="Heading3"/>
      </w:pPr>
      <w:r>
        <w:t>Molecular dynamics protocol</w:t>
      </w:r>
    </w:p>
    <w:p w14:paraId="7AA7C860" w14:textId="77777777" w:rsidR="005F527F" w:rsidRDefault="00000000">
      <w:pPr>
        <w:spacing w:after="120"/>
      </w:pPr>
      <w:r>
        <w:t>Protein parameters were assigned using AMBER14 ff14SB, the solvent model was explicit TIP3P water, and the ligand was parameterized using an OpenFF-based workflow with Gasteiger partial charges. Systems were solvated with approximately 1.0 nm padding and neutralized to an ionic strength of 0.15 M.</w:t>
      </w:r>
    </w:p>
    <w:p w14:paraId="11BEFC65" w14:textId="77777777" w:rsidR="005F527F" w:rsidRDefault="00000000">
      <w:pPr>
        <w:spacing w:after="120"/>
      </w:pPr>
      <w:r>
        <w:t>After staged minimization and heating, production simulations were run in the NPT ensemble at 300 K and 1 bar using OpenMM with a 2 fs timestep, particle mesh Ewald electrostatics, and standard constraints on bonds involving hydrogen. Each replicate was simulated for 100 ns. For downstream analysis, stripped solute-only trajectories were saved after periodic-boundary correction and centering.</w:t>
      </w:r>
    </w:p>
    <w:p w14:paraId="66E5695C" w14:textId="77777777" w:rsidR="005F527F" w:rsidRDefault="00000000">
      <w:pPr>
        <w:pStyle w:val="Heading3"/>
      </w:pPr>
      <w:r>
        <w:t>MM/GBSA energetic analysis</w:t>
      </w:r>
    </w:p>
    <w:p w14:paraId="0A07D0E2" w14:textId="77777777" w:rsidR="005F527F" w:rsidRDefault="00000000">
      <w:pPr>
        <w:spacing w:after="120"/>
      </w:pPr>
      <w:r>
        <w:t>To obtain global energetic summaries from the bound-state trajectories, we discarded the first 25% of each production run and then sampled 100 snapshots uniformly from the remaining trajectory. For each snapshot, we computed an endpoint energetic decomposition for the RT-DOR complex and for separated RT and DOR states using van der Waals, electrostatic, generalized Born polar solvation, and nonpolar surface-area terms. WT-referenced mutant shifts were then calculated for the total value and for each component.</w:t>
      </w:r>
    </w:p>
    <w:p w14:paraId="68E51523" w14:textId="77777777" w:rsidR="005F527F" w:rsidRDefault="00000000">
      <w:pPr>
        <w:spacing w:after="120"/>
      </w:pPr>
      <w:r>
        <w:t>These values are reported as MM/GBSA energetic components from bound-state snapshots rather than as absolute binding free energies. No attempt was made to estimate equilibrium free energies from fully sampled bound and unbound state populations.</w:t>
      </w:r>
    </w:p>
    <w:p w14:paraId="3768D1E8" w14:textId="77777777" w:rsidR="005F527F" w:rsidRDefault="00000000">
      <w:pPr>
        <w:pStyle w:val="Heading3"/>
      </w:pPr>
      <w:r>
        <w:t>Residue-level contact and occupancy analysis</w:t>
      </w:r>
    </w:p>
    <w:p w14:paraId="4B49843A" w14:textId="77777777" w:rsidR="005F527F" w:rsidRDefault="00000000">
      <w:pPr>
        <w:spacing w:after="120"/>
      </w:pPr>
      <w:r>
        <w:t>For each analyzed frame, a residue was considered in contact with DOR if the minimum heavy-atom distance between the residue and DOR was less than 4.0 A. Occupancy was defined as the fraction of frames in which this criterion was met. We computed occupancy for all residues that contacted DOR in any trajectory and summarized the results across replicates.</w:t>
      </w:r>
    </w:p>
    <w:p w14:paraId="5E6281D4" w14:textId="77777777" w:rsidR="005F527F" w:rsidRDefault="00000000">
      <w:pPr>
        <w:spacing w:after="120"/>
      </w:pPr>
      <w:r>
        <w:t>To support tractable visualization in the main text, residues were highlighted if they reached a mean occupancy of at least 0.5 in at least one genotype. This display threshold was used only to simplify the figure and was not treated as a biological cutoff.</w:t>
      </w:r>
    </w:p>
    <w:p w14:paraId="041B9D47" w14:textId="77777777" w:rsidR="005F527F" w:rsidRDefault="00000000">
      <w:pPr>
        <w:pStyle w:val="Heading3"/>
      </w:pPr>
      <w:r>
        <w:lastRenderedPageBreak/>
        <w:t>Selection of mechanistic reporter coordinates</w:t>
      </w:r>
    </w:p>
    <w:p w14:paraId="326D588D" w14:textId="77777777" w:rsidR="005F527F" w:rsidRDefault="00000000">
      <w:pPr>
        <w:spacing w:after="120"/>
      </w:pPr>
      <w:r>
        <w:t>Reporter residues used in the genotype-specific case studies were chosen from the panel-wide residue-level occupancy screen rather than by manual inspection alone. Specifically, we prioritized residues that showed preferential occupancy or distance shifts in specific mutation classes and that mapped naturally onto known structural regions of the NNIBP. Pro225 was selected as a reporter of Tyr188-side remodeling in Y188L; Ser105 and Lys104 were selected as reporters of the pocket-entrance shift in V106A-containing genotypes; Val179 was selected as a reporter of beta9-beta10 hairpin perturbation in G190E; and the residue-227 region was selected to distinguish V106I+F227C from V106A+F227L.</w:t>
      </w:r>
    </w:p>
    <w:p w14:paraId="27EAF610" w14:textId="77777777" w:rsidR="005F527F" w:rsidRDefault="00000000">
      <w:pPr>
        <w:pStyle w:val="Heading3"/>
      </w:pPr>
      <w:r>
        <w:t>Logistic regression model</w:t>
      </w:r>
    </w:p>
    <w:p w14:paraId="7BEE794F" w14:textId="77777777" w:rsidR="005F527F" w:rsidRDefault="00000000">
      <w:pPr>
        <w:spacing w:after="120"/>
      </w:pPr>
      <w:r>
        <w:t>To summarize low-versus-high resistance structural signatures, we trained an L1-regularized logistic regression model using only the low-impact and high-resistance control genotypes. Genotypes were labeled as high resistance if the median DOR fold-change exceeded 10 and low resistance otherwise. Features were derived from MD trajectories and screened using an ablation-based procedure to identify a parsimonious feature set.</w:t>
      </w:r>
    </w:p>
    <w:p w14:paraId="06B0C011" w14:textId="77777777" w:rsidR="005F527F" w:rsidRDefault="00000000">
      <w:pPr>
        <w:spacing w:after="120"/>
      </w:pPr>
      <w:r>
        <w:t>The final model used three features: Ser105-DOR distance, Tyr188-DOR distance, and ligand pose RMSD. Model probabilities were interpreted as resistance-associated scores within the present panel rather than as validated clinical susceptibility predictions. WT was evaluated as an unseen reference case after model training.</w:t>
      </w:r>
    </w:p>
    <w:p w14:paraId="45C50319" w14:textId="77777777" w:rsidR="005F527F" w:rsidRDefault="00000000">
      <w:pPr>
        <w:pStyle w:val="Heading3"/>
      </w:pPr>
      <w:r>
        <w:t>Statistical analysis</w:t>
      </w:r>
    </w:p>
    <w:p w14:paraId="3214B564" w14:textId="77777777" w:rsidR="005F527F" w:rsidRDefault="00000000">
      <w:pPr>
        <w:spacing w:after="120"/>
      </w:pPr>
      <w:r>
        <w:t>Associations between energetic or structural features and DOR fold-change were assessed using simple regression analyses. Reported error bars represent standard error of the mean across three simulation replicates unless otherwise indicated.</w:t>
      </w:r>
    </w:p>
    <w:p w14:paraId="5F7F98F7" w14:textId="77777777" w:rsidR="005F527F" w:rsidRDefault="00000000">
      <w:pPr>
        <w:pStyle w:val="Heading2"/>
      </w:pPr>
      <w:r>
        <w:t>Figure Legends</w:t>
      </w:r>
    </w:p>
    <w:p w14:paraId="3D1C1B31" w14:textId="77777777" w:rsidR="005F527F" w:rsidRDefault="00000000">
      <w:pPr>
        <w:spacing w:after="120"/>
      </w:pPr>
      <w:r>
        <w:rPr>
          <w:b/>
        </w:rPr>
        <w:t>Figure 1. Fold-change in DOR susceptibility associated with the simulated genotype panel.</w:t>
      </w:r>
      <w:r>
        <w:t xml:space="preserve"> Values represent median fold reductions in susceptibility relative to WT. Genotypes are grouped into low-impact controls, canonical DOR-associated resistance genotypes, and limited-data genotypes. Supplementary Table 1 provides the original source and assay context for each value.</w:t>
      </w:r>
    </w:p>
    <w:p w14:paraId="7A4BEA02" w14:textId="77777777" w:rsidR="005F527F" w:rsidRDefault="00000000">
      <w:pPr>
        <w:spacing w:after="120"/>
      </w:pPr>
      <w:r>
        <w:rPr>
          <w:b/>
        </w:rPr>
        <w:t>Figure 2. WT-referenced energetic shifts from bound-state MD snapshots.</w:t>
      </w:r>
      <w:r>
        <w:t xml:space="preserve"> Total MM/GBSA energetic shifts and individual energetic components are shown for all simulated mutant genotypes. These quantities are endpoint energetic summaries derived from bound-state snapshots and are not absolute equilibrium binding free energies.</w:t>
      </w:r>
    </w:p>
    <w:p w14:paraId="4D5D4C4E" w14:textId="77777777" w:rsidR="005F527F" w:rsidRDefault="00000000">
      <w:pPr>
        <w:spacing w:after="120"/>
      </w:pPr>
      <w:r>
        <w:rPr>
          <w:b/>
        </w:rPr>
        <w:t>Figure 3. Systematic residue-level DOR contact analysis across the simulation panel.</w:t>
      </w:r>
      <w:r>
        <w:t xml:space="preserve"> A residue was considered in contact with DOR when the minimum heavy-atom distance was less than 4.0 A. Residues shown in the main panel were filtered using a mean occupancy threshold of at least 0.5 in at least one genotype for figure tractability only.</w:t>
      </w:r>
    </w:p>
    <w:p w14:paraId="0F4536AA" w14:textId="77777777" w:rsidR="005F527F" w:rsidRDefault="00000000">
      <w:pPr>
        <w:spacing w:after="120"/>
      </w:pPr>
      <w:r>
        <w:rPr>
          <w:b/>
        </w:rPr>
        <w:lastRenderedPageBreak/>
        <w:t>Figure 4. Y188L preferentially remodels the Tyr188-side pocket environment.</w:t>
      </w:r>
      <w:r>
        <w:t xml:space="preserve"> WT, Y181C, and Y188L are compared using Tyr188-side contacts and the Pro225 reporter coordinate identified in the panel-wide contact screen.</w:t>
      </w:r>
    </w:p>
    <w:p w14:paraId="6D4EC191" w14:textId="77777777" w:rsidR="005F527F" w:rsidRDefault="00000000">
      <w:pPr>
        <w:spacing w:after="120"/>
      </w:pPr>
      <w:r>
        <w:rPr>
          <w:b/>
        </w:rPr>
        <w:t>Figure 5. V106A preferentially shifts DOR toward the pocket entrance.</w:t>
      </w:r>
      <w:r>
        <w:t xml:space="preserve"> WT, V106I, and V106A are compared using Ser105 as a reporter coordinate selected from the global contact analysis.</w:t>
      </w:r>
    </w:p>
    <w:p w14:paraId="0164BF28" w14:textId="77777777" w:rsidR="005F527F" w:rsidRDefault="00000000">
      <w:pPr>
        <w:spacing w:after="120"/>
      </w:pPr>
      <w:r>
        <w:rPr>
          <w:b/>
        </w:rPr>
        <w:t>Figure 6. Secondary substitutions amplify the V106A-associated entrance-shift signature.</w:t>
      </w:r>
      <w:r>
        <w:t xml:space="preserve"> WT, V106A, and V106A-containing high-resistance double mutants are compared using Lys104 and Ser105 reporter coordinates.</w:t>
      </w:r>
    </w:p>
    <w:p w14:paraId="11060F2A" w14:textId="77777777" w:rsidR="005F527F" w:rsidRDefault="00000000">
      <w:pPr>
        <w:spacing w:after="120"/>
      </w:pPr>
      <w:r>
        <w:rPr>
          <w:b/>
        </w:rPr>
        <w:t>Figure 7. V106I+F227C and V106A+F227L show distinct local DOR-pocket signatures despite similar phenotypic resistance.</w:t>
      </w:r>
      <w:r>
        <w:t xml:space="preserve"> V106A+F227L retains the entrance-shifted local signal characteristic of V106A-containing genotypes, whereas V106I+F227C preferentially perturbs the residue-227 region.</w:t>
      </w:r>
    </w:p>
    <w:p w14:paraId="3080897D" w14:textId="77777777" w:rsidR="005F527F" w:rsidRDefault="00000000">
      <w:pPr>
        <w:spacing w:after="120"/>
      </w:pPr>
      <w:r>
        <w:rPr>
          <w:b/>
        </w:rPr>
        <w:t>Figure 8. G190E preferentially perturbs the beta9-beta10 hairpin.</w:t>
      </w:r>
      <w:r>
        <w:t xml:space="preserve"> WT, G190A, and G190E are compared using Val179 as a reporter coordinate selected from the systematic contact analysis.</w:t>
      </w:r>
    </w:p>
    <w:p w14:paraId="4E274D79" w14:textId="77777777" w:rsidR="005F527F" w:rsidRDefault="00000000">
      <w:pPr>
        <w:spacing w:after="120"/>
      </w:pPr>
      <w:r>
        <w:rPr>
          <w:b/>
        </w:rPr>
        <w:t>Figure 9. A parsimonious 3-feature logistic regression model summarizes MD-derived resistance-associated structural signatures.</w:t>
      </w:r>
      <w:r>
        <w:t xml:space="preserve"> The model uses Ser105-DOR distance, Tyr188-DOR distance, and ligand pose RMSD to distinguish low- and high-resistance control genotypes and assigns WT a low resistance probability as an unseen reference case.</w:t>
      </w:r>
    </w:p>
    <w:p w14:paraId="54D400F9" w14:textId="77777777" w:rsidR="005F527F" w:rsidRDefault="00000000">
      <w:pPr>
        <w:pStyle w:val="Heading2"/>
      </w:pPr>
      <w:r>
        <w:t>References</w:t>
      </w:r>
    </w:p>
    <w:p w14:paraId="643622CD" w14:textId="77777777" w:rsidR="005F527F" w:rsidRDefault="00000000">
      <w:pPr>
        <w:spacing w:after="120"/>
      </w:pPr>
      <w:r>
        <w:t>Asante-Appiah E, Lai J, Wan H, et al. Impact of HIV-1 resistance-associated mutations on susceptibility to doravirine: analysis of real-world clinical isolates. Antimicrob Agents Chemother. 2021;65(12):e01216-21. doi:10.1128/AAC.01216-21.</w:t>
      </w:r>
    </w:p>
    <w:p w14:paraId="0BE20438" w14:textId="77777777" w:rsidR="005F527F" w:rsidRDefault="00000000">
      <w:pPr>
        <w:spacing w:after="120"/>
      </w:pPr>
      <w:r>
        <w:t>Bacheler LT, Jeffrey S, Hanna GJ, et al. Genotypic correlates of phenotypic resistance to efavirenz in virus isolates from patients failing nonnucleoside reverse transcriptase inhibitor therapy. J Virol. 2001;75(11):4999-5008. doi:10.1128/JVI.75.11.4999-5008.2001.</w:t>
      </w:r>
    </w:p>
    <w:p w14:paraId="78C8817A" w14:textId="77777777" w:rsidR="005F527F" w:rsidRDefault="00000000">
      <w:pPr>
        <w:spacing w:after="120"/>
      </w:pPr>
      <w:r>
        <w:t>Brenner BG, Oliveira M, Ibanescu RI, Routy JP, Thomas R. Cell culture selections reveal favourable drug resistance profiles for doravirine and islatravir. J Antimicrob Chemother. 2021;76(8):2137-2142. doi:10.1093/jac/dkab126.</w:t>
      </w:r>
    </w:p>
    <w:p w14:paraId="3F1C1ACF" w14:textId="77777777" w:rsidR="005F527F" w:rsidRDefault="00000000">
      <w:pPr>
        <w:spacing w:after="120"/>
      </w:pPr>
      <w:r>
        <w:t>Brenner BG, Oliveira M, Ibanescu RI, Routy JP, Thomas R. Doravirine responses to HIV-1 viruses bearing mutations to NRTIs and NNRTIs under in vitro selective drug pressure. J Antimicrob Chemother. 2023;78(8):1921-1928. doi:10.1093/jac/dkad184.</w:t>
      </w:r>
    </w:p>
    <w:p w14:paraId="343D49D9" w14:textId="77777777" w:rsidR="005F527F" w:rsidRDefault="00000000">
      <w:pPr>
        <w:spacing w:after="120"/>
      </w:pPr>
      <w:r>
        <w:t>Calvez V, Marcelin AG, Vingerhoets J, Hill A. Systematic review to determine the prevalence of transmitted drug resistance mutations to rilpivirine in HIV-infected treatment-naive persons. Antivir Ther. 2016;21(5):405-412. doi:10.3851/IMP3024.</w:t>
      </w:r>
    </w:p>
    <w:p w14:paraId="2E46CAB9" w14:textId="77777777" w:rsidR="005F527F" w:rsidRDefault="00000000">
      <w:pPr>
        <w:spacing w:after="120"/>
      </w:pPr>
      <w:r>
        <w:lastRenderedPageBreak/>
        <w:t>Cote B, Burch JD, Asante-Appiah E, et al. Discovery of MK-1439, an orally bioavailable non-nucleoside reverse transcriptase inhibitor potent against a wide range of resistant mutant HIV viruses. Bioorg Med Chem Lett. 2014;24(3):917-922. doi:10.1016/j.bmcl.2013.12.070.</w:t>
      </w:r>
    </w:p>
    <w:p w14:paraId="6CDBDA38" w14:textId="77777777" w:rsidR="005F527F" w:rsidRDefault="00000000">
      <w:pPr>
        <w:spacing w:after="120"/>
      </w:pPr>
      <w:r>
        <w:t>Das K, Bauman JD, Clark AD Jr, et al. High-resolution structures of HIV-1 reverse transcriptase/TMC278 complexes: strategic flexibility explains potency against resistance mutations. Proc Natl Acad Sci U S A. 2008;105(5):1466-1471. doi:10.1073/pnas.0711209105.</w:t>
      </w:r>
    </w:p>
    <w:p w14:paraId="494F8D54" w14:textId="77777777" w:rsidR="005F527F" w:rsidRDefault="00000000">
      <w:pPr>
        <w:spacing w:after="120"/>
      </w:pPr>
      <w:r>
        <w:t>Das K, Clark AD Jr, Lewi PJ, et al. Roles of conformational and positional adaptability in structure-based design of TMC125-R165335 (etravirine) and related non-nucleoside reverse transcriptase inhibitors that are highly potent and effective against wild-type and drug-resistant HIV-1 variants. J Med Chem. 2004;47(10):2550-2560. doi:10.1021/jm030558s.</w:t>
      </w:r>
    </w:p>
    <w:p w14:paraId="0BEDBA71" w14:textId="77777777" w:rsidR="005F527F" w:rsidRDefault="00000000">
      <w:pPr>
        <w:spacing w:after="120"/>
      </w:pPr>
      <w:r>
        <w:t>Esnouf RM, Ren J, Ross C, et al. Mechanism of inhibition of HIV-1 reverse transcriptase by non-nucleoside inhibitors. Nat Struct Biol. 1995;2(4):303-308. doi:10.1038/nsb0495-303.</w:t>
      </w:r>
    </w:p>
    <w:p w14:paraId="3A163C3F" w14:textId="77777777" w:rsidR="005F527F" w:rsidRDefault="00000000">
      <w:pPr>
        <w:spacing w:after="120"/>
      </w:pPr>
      <w:r>
        <w:t>Feng M, Sachs NA, Xu M, et al. Doravirine suppresses common nonnucleoside reverse transcriptase inhibitor-associated mutants at clinically relevant concentrations. Antimicrob Agents Chemother. 2016;60(4):2241-2247. doi:10.1128/AAC.02650-15.</w:t>
      </w:r>
    </w:p>
    <w:p w14:paraId="02120366" w14:textId="77777777" w:rsidR="005F527F" w:rsidRDefault="00000000">
      <w:pPr>
        <w:spacing w:after="120"/>
      </w:pPr>
      <w:r>
        <w:t>Feng M, Wang D, Grobler JA, et al. In vitro resistance selection with doravirine (MK-1439), a novel nonnucleoside reverse transcriptase inhibitor with distinct mutation development pathways. Antimicrob Agents Chemother. 2015;59(1):590-598. doi:10.1128/AAC.04201-14.</w:t>
      </w:r>
    </w:p>
    <w:p w14:paraId="0819109D" w14:textId="77777777" w:rsidR="005F527F" w:rsidRDefault="00000000">
      <w:pPr>
        <w:spacing w:after="120"/>
      </w:pPr>
      <w:r>
        <w:t>Giammarino F, de Salazar A, Malet I, et al. Prevalence and phenotypic susceptibility to doravirine of the HIV-1 reverse transcriptase V106I polymorphism in B and non-B subtypes. J Infect Dis. 2024;229(6):1796-1802. doi:10.1093/infdis/jiae010.</w:t>
      </w:r>
    </w:p>
    <w:p w14:paraId="449EFF20" w14:textId="77777777" w:rsidR="005F527F" w:rsidRDefault="00000000">
      <w:pPr>
        <w:spacing w:after="120"/>
      </w:pPr>
      <w:r>
        <w:t>Hwang C, Lai MT, Hazuda DJ. Rational design of doravirine: from bench to patients. ACS Infect Dis. 2020;6(1):64-73. doi:10.1021/acsinfecdis.9b00178.</w:t>
      </w:r>
    </w:p>
    <w:p w14:paraId="22AE3FEA" w14:textId="77777777" w:rsidR="005F527F" w:rsidRDefault="00000000">
      <w:pPr>
        <w:spacing w:after="120"/>
      </w:pPr>
      <w:r>
        <w:t>Lambert-Niclot S, Charpentier C, Storto A, et al. Impact of human immunodeficiency virus type 1 minority variants on the virus response to a rilpivirine-based first-line regimen. Clin Infect Dis. 2018;66(10):1588-1594. doi:10.1093/cid/cix1070.</w:t>
      </w:r>
    </w:p>
    <w:p w14:paraId="11D6C1A3" w14:textId="77777777" w:rsidR="005F527F" w:rsidRDefault="00000000">
      <w:pPr>
        <w:spacing w:after="120"/>
      </w:pPr>
      <w:r>
        <w:t>Lai M-T, Feng M, Xu M, et al. Doravirine and islatravir have complementary resistance profiles and create a combination with a high barrier to resistance. Antimicrob Agents Chemother. 2022;66(5):e0216721. doi:10.1128/aac.02167-21.</w:t>
      </w:r>
    </w:p>
    <w:p w14:paraId="76CF4495" w14:textId="77777777" w:rsidR="005F527F" w:rsidRDefault="00000000">
      <w:pPr>
        <w:spacing w:after="120"/>
      </w:pPr>
      <w:r>
        <w:t>Martin EA, Lai MT, Ngo W, et al. Review of doravirine resistance patterns identified in participants during clinical development. JAIDS. 2020;85(5):635-642. doi:10.1097/QAI.0000000000002487.</w:t>
      </w:r>
    </w:p>
    <w:p w14:paraId="0886F514" w14:textId="77777777" w:rsidR="005F527F" w:rsidRDefault="00000000">
      <w:pPr>
        <w:spacing w:after="120"/>
      </w:pPr>
      <w:r>
        <w:t>Milinkovic A, O'Halloran C, Gilleece Y, et al. Real world utilisation of doravirine among people living with human immunodeficiency virus in England (DRIVE-REAL). Int J STD AIDS. 2024;35(3):206-216. doi:10.1177/09564624231215977.</w:t>
      </w:r>
    </w:p>
    <w:p w14:paraId="3C74B7CA" w14:textId="77777777" w:rsidR="005F527F" w:rsidRDefault="00000000">
      <w:pPr>
        <w:spacing w:after="120"/>
      </w:pPr>
      <w:r>
        <w:lastRenderedPageBreak/>
        <w:t>Molina J-M, Squires K, Sax PE, et al. Doravirine versus ritonavir-boosted darunavir in antiretroviral-naive adults with HIV-1 infection (DRIVE-FORWARD): 96-week results of a randomised, double-blind, phase 3, non-inferiority trial. Lancet HIV. 2020;7(1):e16-e26. doi:10.1016/S2352-3018(19)30336-4.</w:t>
      </w:r>
    </w:p>
    <w:p w14:paraId="64BB8AB6" w14:textId="77777777" w:rsidR="005F527F" w:rsidRDefault="00000000">
      <w:pPr>
        <w:spacing w:after="120"/>
      </w:pPr>
      <w:r>
        <w:t>Mudrikova T, van Welzen BJ, van der Valk M, et al. Real-world effectiveness and tolerability of switching to doravirine-based antiretroviral therapy in people with HIV: a nationwide, matched, prospective cohort study. Lancet HIV. 2024;11(9):e585-e594. doi:10.1016/S2352-3018(24)00150-4.</w:t>
      </w:r>
    </w:p>
    <w:p w14:paraId="09C54927" w14:textId="77777777" w:rsidR="005F527F" w:rsidRDefault="00000000">
      <w:pPr>
        <w:spacing w:after="120"/>
      </w:pPr>
      <w:r>
        <w:t>Orkin C, Squires KE, Molina J-M, et al. Doravirine/lamivudine/tenofovir disoproxil fumarate is non-inferior to efavirenz/emtricitabine/tenofovir disoproxil fumarate in treatment-naive adults with HIV-1 infection: week 48 results of the DRIVE-AHEAD trial. Lancet HIV. 2019;6(5):e294-e305. doi:10.1016/S2352-3018(19)30036-3.</w:t>
      </w:r>
    </w:p>
    <w:p w14:paraId="70941942" w14:textId="77777777" w:rsidR="005F527F" w:rsidRDefault="00000000">
      <w:pPr>
        <w:spacing w:after="120"/>
      </w:pPr>
      <w:r>
        <w:t>Orkin C, Squires KE, Molina J-M, et al. Doravirine/lamivudine/tenofovir disoproxil fumarate versus efavirenz/emtricitabine/tenofovir disoproxil fumarate in treatment-naive adults with HIV-1 infection: 96-week results of the randomised, double-blind, phase 3 DRIVE-AHEAD non-inferiority trial. Lancet HIV. 2021;8(7):e399-e410. doi:10.1016/S2352-3018(21)00066-4.</w:t>
      </w:r>
    </w:p>
    <w:p w14:paraId="7C99ECBD" w14:textId="77777777" w:rsidR="005F527F" w:rsidRDefault="00000000">
      <w:pPr>
        <w:spacing w:after="120"/>
      </w:pPr>
      <w:r>
        <w:t>Orkin C, Kuritzkes DR, Katlama C, et al. Safety and efficacy of doravirine as first-line therapy in adults with HIV-1: week 192 results from the open-label extensions of the DRIVE-FORWARD and DRIVE-AHEAD phase 3 trials. Lancet HIV. 2024;11(2):e88-e98. doi:10.1016/S2352-3018(23)00258-8.</w:t>
      </w:r>
    </w:p>
    <w:p w14:paraId="381C00ED" w14:textId="77777777" w:rsidR="005F527F" w:rsidRDefault="00000000">
      <w:pPr>
        <w:spacing w:after="120"/>
      </w:pPr>
      <w:r>
        <w:t>Orkin C, Kuritzkes DR, Katlama C, et al. Doravirine resistance patterns identified through week 192 in the DRIVE-FORWARD and DRIVE-AHEAD phase 3 clinical trials. J Acquir Immune Defic Syndr. 2026;101(3):308-315. doi:10.1097/QAI.0000000000003787.</w:t>
      </w:r>
    </w:p>
    <w:p w14:paraId="255C5E17" w14:textId="77777777" w:rsidR="005F527F" w:rsidRDefault="00000000">
      <w:pPr>
        <w:spacing w:after="120"/>
      </w:pPr>
      <w:r>
        <w:t>Reddy N, Papathanasopoulos M, Steegen K, Basson AE. K103N, V106M and Y188L significantly reduce HIV-1 subtype C phenotypic susceptibility to doravirine. Viruses. 2024;16(9):1493. doi:10.3390/v16091493.</w:t>
      </w:r>
    </w:p>
    <w:p w14:paraId="63925199" w14:textId="77777777" w:rsidR="005F527F" w:rsidRDefault="00000000">
      <w:pPr>
        <w:spacing w:after="120"/>
      </w:pPr>
      <w:r>
        <w:t>Saladini F, Giammarino F, Hosseini BA, et al. In vitro cross-resistance to doravirine in a panel of HIV-1 clones harbouring multiple NNRTI resistance mutations. J Antimicrob Chemother. 2021;76(1):130-134. doi:10.1093/jac/dkaa401.</w:t>
      </w:r>
    </w:p>
    <w:p w14:paraId="7F515217" w14:textId="77777777" w:rsidR="005F527F" w:rsidRDefault="00000000">
      <w:pPr>
        <w:spacing w:after="120"/>
      </w:pPr>
      <w:r>
        <w:t>Saladini F, Giammarino F, Maggiolo F, et al. Residual phenotypic susceptibility to doravirine in multidrug-resistant HIV-1 from subjects enrolled in the PRESTIGIO Registry. Int J Antimicrob Agents. 2023;61(3):106737. doi:10.1016/j.ijantimicag.2023.106737.</w:t>
      </w:r>
    </w:p>
    <w:p w14:paraId="6DC731B1" w14:textId="77777777" w:rsidR="005F527F" w:rsidRDefault="00000000">
      <w:pPr>
        <w:spacing w:after="120"/>
      </w:pPr>
      <w:r>
        <w:t>Schauer GD, Huber KD, Leuba SH, Sluis-Cremer N. Mechanism of allosteric inhibition of HIV-1 reverse transcriptase revealed by single-molecule and ensemble fluorescence. Nucleic Acids Res. 2014;42(18):11687-11696. doi:10.1093/nar/gku833.</w:t>
      </w:r>
    </w:p>
    <w:p w14:paraId="0DCA3E60" w14:textId="77777777" w:rsidR="005F527F" w:rsidRDefault="00000000">
      <w:pPr>
        <w:spacing w:after="120"/>
      </w:pPr>
      <w:r>
        <w:lastRenderedPageBreak/>
        <w:t>Soulie C, Santoro MM, Charpentier C, et al. Rare occurrence of doravirine resistance-associated mutations in HIV-1-infected treatment-naive patients. J Antimicrob Chemother. 2019;74(3):614-617. doi:10.1093/jac/dky464.</w:t>
      </w:r>
    </w:p>
    <w:p w14:paraId="22C7B215" w14:textId="77777777" w:rsidR="005F527F" w:rsidRDefault="00000000">
      <w:pPr>
        <w:spacing w:after="120"/>
      </w:pPr>
      <w:r>
        <w:t>Smith SJ, Zhao Y, Burke TR Jr, Hughes SH. Efficacies of rilpivirine and doravirine against wild-type and drug-resistant HIV-1 reverse transcriptase mutants. Antimicrob Agents Chemother. 2016;60(6):3834-3842. doi:10.1128/AAC.03057-15.</w:t>
      </w:r>
    </w:p>
    <w:p w14:paraId="620794DC" w14:textId="77777777" w:rsidR="005F527F" w:rsidRDefault="00000000">
      <w:pPr>
        <w:spacing w:after="120"/>
      </w:pPr>
      <w:r>
        <w:t>Tang MW, Elion R, Molina J-M, et al. Potential role of doravirine for the treatment of HIV-1-infected persons with transmitted drug resistance. AIDS Res Ther. 2023;20(1):8. doi:10.1186/s12981-023-00510-5.</w:t>
      </w:r>
    </w:p>
    <w:p w14:paraId="57E6B5D4" w14:textId="77777777" w:rsidR="005F527F" w:rsidRDefault="00000000">
      <w:pPr>
        <w:spacing w:after="120"/>
      </w:pPr>
      <w:r>
        <w:t>Vijayan RSK, Arnold E, Das K. Molecular dynamics study of HIV-1 RT-DNA-nevirapine complexes explains NNRTI inhibition and resistance by connection mutations. Proteins. 2014;82(5):815-829. doi:10.1002/prot.24460.</w:t>
      </w:r>
    </w:p>
    <w:sectPr w:rsidR="005F52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658308">
    <w:abstractNumId w:val="8"/>
  </w:num>
  <w:num w:numId="2" w16cid:durableId="1389645619">
    <w:abstractNumId w:val="6"/>
  </w:num>
  <w:num w:numId="3" w16cid:durableId="1352535859">
    <w:abstractNumId w:val="5"/>
  </w:num>
  <w:num w:numId="4" w16cid:durableId="748963865">
    <w:abstractNumId w:val="4"/>
  </w:num>
  <w:num w:numId="5" w16cid:durableId="162091238">
    <w:abstractNumId w:val="7"/>
  </w:num>
  <w:num w:numId="6" w16cid:durableId="478233500">
    <w:abstractNumId w:val="3"/>
  </w:num>
  <w:num w:numId="7" w16cid:durableId="1021323595">
    <w:abstractNumId w:val="2"/>
  </w:num>
  <w:num w:numId="8" w16cid:durableId="1230455633">
    <w:abstractNumId w:val="1"/>
  </w:num>
  <w:num w:numId="9" w16cid:durableId="332075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02"/>
    <w:rsid w:val="0015074B"/>
    <w:rsid w:val="0029639D"/>
    <w:rsid w:val="00326F90"/>
    <w:rsid w:val="005F527F"/>
    <w:rsid w:val="006B5563"/>
    <w:rsid w:val="00AA1D8D"/>
    <w:rsid w:val="00B47730"/>
    <w:rsid w:val="00C740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E19D4"/>
  <w14:defaultImageDpi w14:val="300"/>
  <w15:docId w15:val="{1686D59E-BA04-7648-89C6-483AC06AF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17</Pages>
  <Words>6651</Words>
  <Characters>42689</Characters>
  <Application>Microsoft Office Word</Application>
  <DocSecurity>0</DocSecurity>
  <Lines>598</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Satija</cp:lastModifiedBy>
  <cp:revision>2</cp:revision>
  <dcterms:created xsi:type="dcterms:W3CDTF">2013-12-23T23:15:00Z</dcterms:created>
  <dcterms:modified xsi:type="dcterms:W3CDTF">2026-04-24T15:15:00Z</dcterms:modified>
  <cp:category/>
</cp:coreProperties>
</file>