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35BF5" w14:textId="5619AD52" w:rsidR="00936881" w:rsidRDefault="0093688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Doravirine Resistance Mechanisms in HIV-1 Reverse Transcriptase Revealed by Molecular Dynamics Simulations</w:t>
      </w:r>
    </w:p>
    <w:p w14:paraId="50F2D74E" w14:textId="77777777" w:rsidR="00936881" w:rsidRDefault="0093688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918D7D" w14:textId="0E6FCC53" w:rsidR="00936881" w:rsidRDefault="0093688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Abstract</w:t>
      </w:r>
    </w:p>
    <w:p w14:paraId="3FFBCAC2" w14:textId="5D21CC17" w:rsidR="00936881" w:rsidRDefault="00936881">
      <w:pPr>
        <w:rPr>
          <w:rFonts w:ascii="Times New Roman" w:hAnsi="Times New Roman" w:cs="Times New Roman"/>
          <w:szCs w:val="24"/>
        </w:rPr>
      </w:pPr>
      <w:r w:rsidRPr="00936881">
        <w:rPr>
          <w:rFonts w:ascii="Times New Roman" w:hAnsi="Times New Roman" w:cs="Times New Roman"/>
          <w:szCs w:val="24"/>
        </w:rPr>
        <w:t>Doravirine (DOR) is a next-generation Non-Nucleotide Reverse Transcriptase Inhibitor (NNRTI) with durable clinical activity and a unique resistance profile, but publicly available phenotypic susceptibility data for DOR-associated resistance mutations remains limited. Here, we performed all-atom explicit-solvent molecular dynamics (MD) simulations of wild-type (WT) HIV-1 reverse transcriptase (RT) and 18 mutant genotypes as a structure-based approach to fill this gap.</w:t>
      </w:r>
      <w:r>
        <w:rPr>
          <w:rFonts w:ascii="Times New Roman" w:hAnsi="Times New Roman" w:cs="Times New Roman"/>
          <w:szCs w:val="24"/>
        </w:rPr>
        <w:t xml:space="preserve"> </w:t>
      </w:r>
      <w:r w:rsidRPr="00936881">
        <w:rPr>
          <w:rFonts w:ascii="Times New Roman" w:hAnsi="Times New Roman" w:cs="Times New Roman"/>
          <w:szCs w:val="24"/>
        </w:rPr>
        <w:t xml:space="preserve">We observed that the electrostatic component of the relative RT-DOR binding energy, computed from short (100ns) MD simulations, demonstrates weak but statistically significant correlation with the available phenotypic DOR susceptibility changes </w:t>
      </w:r>
      <w:r w:rsidRPr="00936881">
        <w:rPr>
          <w:rFonts w:ascii="Times New Roman" w:hAnsi="Times New Roman" w:cs="Times New Roman"/>
          <w:i/>
          <w:iCs/>
          <w:szCs w:val="24"/>
        </w:rPr>
        <w:t>in vitro</w:t>
      </w:r>
      <w:r w:rsidRPr="00936881">
        <w:rPr>
          <w:rFonts w:ascii="Times New Roman" w:hAnsi="Times New Roman" w:cs="Times New Roman"/>
          <w:szCs w:val="24"/>
        </w:rPr>
        <w:t xml:space="preserve">. Furthermore, local trajectory-level analyses identified mutation-specific structural effects: Y188L disrupts aromatic packing with Tyr188 inside the hydrophobic tunnel and remodels the DOR binding pocket near Pro225; V106A-containing genotypes shift DOR toward the pocket entrance, leading to compensatory interactions with Lys104 and Ser105; V106I+F227C samples distinct DOR poses from V106A+F227L despite similar phenotypic resistance; and G190E perturbs the β9-β10 hairpin, weakening contact with Val179. A custom logistic regression model trained on local MD-derived structural features is able to segregate low- and high-resistance genotypes, producing probabilities that correlate well with </w:t>
      </w:r>
      <w:r w:rsidR="00230A01">
        <w:rPr>
          <w:rFonts w:ascii="Times New Roman" w:hAnsi="Times New Roman" w:cs="Times New Roman"/>
          <w:szCs w:val="24"/>
        </w:rPr>
        <w:t xml:space="preserve">the </w:t>
      </w:r>
      <w:r w:rsidRPr="00936881">
        <w:rPr>
          <w:rFonts w:ascii="Times New Roman" w:hAnsi="Times New Roman" w:cs="Times New Roman"/>
          <w:szCs w:val="24"/>
        </w:rPr>
        <w:t xml:space="preserve">available </w:t>
      </w:r>
      <w:r w:rsidRPr="00230A01">
        <w:rPr>
          <w:rFonts w:ascii="Times New Roman" w:hAnsi="Times New Roman" w:cs="Times New Roman"/>
          <w:i/>
          <w:iCs/>
          <w:szCs w:val="24"/>
        </w:rPr>
        <w:t>in vitro</w:t>
      </w:r>
      <w:r w:rsidRPr="00936881">
        <w:rPr>
          <w:rFonts w:ascii="Times New Roman" w:hAnsi="Times New Roman" w:cs="Times New Roman"/>
          <w:szCs w:val="24"/>
        </w:rPr>
        <w:t xml:space="preserve"> DOR susceptibility data. Together, these results support a structurally grounded framework for interpreting DOR resistance, </w:t>
      </w:r>
      <w:r w:rsidR="00230A01" w:rsidRPr="00230A01">
        <w:rPr>
          <w:rFonts w:ascii="Times New Roman" w:hAnsi="Times New Roman" w:cs="Times New Roman"/>
          <w:szCs w:val="24"/>
        </w:rPr>
        <w:t>estimating the risk of DOR use in people living with HIV who carry pre-existing NNRTI mutations, and informing the design of future NNRTIs.</w:t>
      </w:r>
    </w:p>
    <w:p w14:paraId="26E8043D" w14:textId="77777777" w:rsidR="00230A01" w:rsidRDefault="00230A01">
      <w:pPr>
        <w:rPr>
          <w:rFonts w:ascii="Times New Roman" w:hAnsi="Times New Roman" w:cs="Times New Roman"/>
          <w:szCs w:val="24"/>
        </w:rPr>
      </w:pPr>
    </w:p>
    <w:p w14:paraId="03DB355B" w14:textId="047CBC43" w:rsidR="00230A01" w:rsidRDefault="000366F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Introduction</w:t>
      </w:r>
    </w:p>
    <w:p w14:paraId="306F88AC" w14:textId="77777777" w:rsidR="000366F8" w:rsidRDefault="000366F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B90266" w14:textId="01923F86" w:rsidR="000366F8" w:rsidRDefault="000366F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Results</w:t>
      </w:r>
    </w:p>
    <w:p w14:paraId="08682620" w14:textId="77777777" w:rsidR="000366F8" w:rsidRDefault="000366F8">
      <w:pPr>
        <w:rPr>
          <w:rFonts w:ascii="Times New Roman" w:hAnsi="Times New Roman" w:cs="Times New Roman"/>
          <w:szCs w:val="24"/>
        </w:rPr>
      </w:pPr>
    </w:p>
    <w:p w14:paraId="0B0FAE87" w14:textId="60780523" w:rsidR="00C965EE" w:rsidRDefault="00C965EE">
      <w:pPr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>DOR Phenotypic susceptibility landscape</w:t>
      </w:r>
    </w:p>
    <w:p w14:paraId="78584704" w14:textId="4A28FDE8" w:rsidR="00C965EE" w:rsidRDefault="00C965EE" w:rsidP="00C965EE">
      <w:pPr>
        <w:rPr>
          <w:rFonts w:ascii="Times New Roman" w:hAnsi="Times New Roman" w:cs="Times New Roman"/>
          <w:szCs w:val="24"/>
        </w:rPr>
      </w:pPr>
      <w:r w:rsidRPr="00C965EE">
        <w:rPr>
          <w:rFonts w:ascii="Times New Roman" w:hAnsi="Times New Roman" w:cs="Times New Roman"/>
          <w:szCs w:val="24"/>
        </w:rPr>
        <w:t xml:space="preserve">We assembled a panel of 18 DOR-associated genotypes for simulation together with WT RT. These genotypes were selected to cover three distinct categories: (i) </w:t>
      </w:r>
      <w:r w:rsidR="00FD5AE8" w:rsidRPr="00FD5AE8">
        <w:rPr>
          <w:rFonts w:ascii="Times New Roman" w:hAnsi="Times New Roman" w:cs="Times New Roman"/>
          <w:i/>
          <w:iCs/>
          <w:szCs w:val="24"/>
        </w:rPr>
        <w:t>Negative controls</w:t>
      </w:r>
      <w:r w:rsidR="00FD5AE8">
        <w:rPr>
          <w:rFonts w:ascii="Times New Roman" w:hAnsi="Times New Roman" w:cs="Times New Roman"/>
          <w:szCs w:val="24"/>
        </w:rPr>
        <w:t xml:space="preserve">: </w:t>
      </w:r>
      <w:r w:rsidRPr="00C965EE">
        <w:rPr>
          <w:rFonts w:ascii="Times New Roman" w:hAnsi="Times New Roman" w:cs="Times New Roman"/>
          <w:szCs w:val="24"/>
        </w:rPr>
        <w:t xml:space="preserve">well-established low-impact control mutations, (ii) </w:t>
      </w:r>
      <w:r w:rsidR="00FD5AE8" w:rsidRPr="00FD5AE8">
        <w:rPr>
          <w:rFonts w:ascii="Times New Roman" w:hAnsi="Times New Roman" w:cs="Times New Roman"/>
          <w:i/>
          <w:iCs/>
          <w:szCs w:val="24"/>
        </w:rPr>
        <w:t>Positive controls</w:t>
      </w:r>
      <w:r w:rsidR="00FD5AE8">
        <w:rPr>
          <w:rFonts w:ascii="Times New Roman" w:hAnsi="Times New Roman" w:cs="Times New Roman"/>
          <w:szCs w:val="24"/>
        </w:rPr>
        <w:t xml:space="preserve">: </w:t>
      </w:r>
      <w:r w:rsidRPr="00C965EE">
        <w:rPr>
          <w:rFonts w:ascii="Times New Roman" w:hAnsi="Times New Roman" w:cs="Times New Roman"/>
          <w:szCs w:val="24"/>
        </w:rPr>
        <w:t xml:space="preserve">canonical DOR-associated resistance genotypes, and (iii) </w:t>
      </w:r>
      <w:r w:rsidR="00FD5AE8">
        <w:rPr>
          <w:rFonts w:ascii="Times New Roman" w:hAnsi="Times New Roman" w:cs="Times New Roman"/>
          <w:i/>
          <w:iCs/>
          <w:szCs w:val="24"/>
        </w:rPr>
        <w:t xml:space="preserve">Limited </w:t>
      </w:r>
      <w:r w:rsidR="00FD5AE8" w:rsidRPr="00FD5AE8">
        <w:rPr>
          <w:rFonts w:ascii="Times New Roman" w:hAnsi="Times New Roman" w:cs="Times New Roman"/>
          <w:i/>
          <w:iCs/>
          <w:szCs w:val="24"/>
        </w:rPr>
        <w:t>data</w:t>
      </w:r>
      <w:r w:rsidR="00FD5AE8">
        <w:rPr>
          <w:rFonts w:ascii="Times New Roman" w:hAnsi="Times New Roman" w:cs="Times New Roman"/>
          <w:szCs w:val="24"/>
        </w:rPr>
        <w:t xml:space="preserve">: </w:t>
      </w:r>
      <w:r w:rsidRPr="00FD5AE8">
        <w:rPr>
          <w:rFonts w:ascii="Times New Roman" w:hAnsi="Times New Roman" w:cs="Times New Roman"/>
          <w:szCs w:val="24"/>
        </w:rPr>
        <w:t>genotypes</w:t>
      </w:r>
      <w:r w:rsidRPr="00C965EE">
        <w:rPr>
          <w:rFonts w:ascii="Times New Roman" w:hAnsi="Times New Roman" w:cs="Times New Roman"/>
          <w:szCs w:val="24"/>
        </w:rPr>
        <w:t xml:space="preserve"> with limited, sparse, or mechanistically ambiguous DOR susceptibility data. Figure 1 summarizes the median fold-change in DOR susceptibility used to define the panel, and Supplementary Table 1 traces each genotype-level value to its original published source and assay context.</w:t>
      </w:r>
    </w:p>
    <w:p w14:paraId="1F4C434A" w14:textId="77777777" w:rsidR="00C965EE" w:rsidRPr="00C965EE" w:rsidRDefault="00C965EE" w:rsidP="00C965EE">
      <w:pPr>
        <w:rPr>
          <w:rFonts w:ascii="Times New Roman" w:hAnsi="Times New Roman" w:cs="Times New Roman"/>
          <w:szCs w:val="24"/>
        </w:rPr>
      </w:pPr>
    </w:p>
    <w:p w14:paraId="6DA94D33" w14:textId="40CC2935" w:rsidR="00C965EE" w:rsidRPr="00C965EE" w:rsidRDefault="00C965EE" w:rsidP="00C965EE">
      <w:pPr>
        <w:rPr>
          <w:rFonts w:ascii="Times New Roman" w:hAnsi="Times New Roman" w:cs="Times New Roman"/>
          <w:szCs w:val="24"/>
        </w:rPr>
      </w:pPr>
      <w:r w:rsidRPr="00C965EE">
        <w:rPr>
          <w:rFonts w:ascii="Times New Roman" w:hAnsi="Times New Roman" w:cs="Times New Roman"/>
          <w:szCs w:val="24"/>
        </w:rPr>
        <w:t xml:space="preserve">We chose K103N, Y181C, and G190A as </w:t>
      </w:r>
      <w:r w:rsidR="0015518B">
        <w:rPr>
          <w:rFonts w:ascii="Times New Roman" w:hAnsi="Times New Roman" w:cs="Times New Roman"/>
          <w:szCs w:val="24"/>
        </w:rPr>
        <w:t>negative</w:t>
      </w:r>
      <w:r w:rsidRPr="00C965EE">
        <w:rPr>
          <w:rFonts w:ascii="Times New Roman" w:hAnsi="Times New Roman" w:cs="Times New Roman"/>
          <w:szCs w:val="24"/>
        </w:rPr>
        <w:t xml:space="preserve"> controls because multiple studies indicate that DOR generally retains activity against these classical NNRTI mutations (Feng et al., 2016; Asante-Appiah et al., 2021). We chose V106A, Y188L, Y318F, A98G+F227C, V106A+F227L, V106A+L234I, V106A+P225H, and V106I+F227C as canonical DOR-associated high-resistance </w:t>
      </w:r>
      <w:r w:rsidR="0015518B">
        <w:rPr>
          <w:rFonts w:ascii="Times New Roman" w:hAnsi="Times New Roman" w:cs="Times New Roman"/>
          <w:szCs w:val="24"/>
        </w:rPr>
        <w:t xml:space="preserve">positive </w:t>
      </w:r>
      <w:r w:rsidRPr="00C965EE">
        <w:rPr>
          <w:rFonts w:ascii="Times New Roman" w:hAnsi="Times New Roman" w:cs="Times New Roman"/>
          <w:szCs w:val="24"/>
        </w:rPr>
        <w:t xml:space="preserve">controls because they recur across </w:t>
      </w:r>
      <w:r w:rsidRPr="0015518B">
        <w:rPr>
          <w:rFonts w:ascii="Times New Roman" w:hAnsi="Times New Roman" w:cs="Times New Roman"/>
          <w:i/>
          <w:iCs/>
          <w:szCs w:val="24"/>
        </w:rPr>
        <w:t>in vitro</w:t>
      </w:r>
      <w:r w:rsidRPr="00C965EE">
        <w:rPr>
          <w:rFonts w:ascii="Times New Roman" w:hAnsi="Times New Roman" w:cs="Times New Roman"/>
          <w:szCs w:val="24"/>
        </w:rPr>
        <w:t xml:space="preserve"> selection studies, clinical development datasets, and phenotypic susceptibility analyses (Feng et al., 2015; Martin et al., 2020; Asante-Appiah et al., 2021; Lai et al., 2022). Finally, we included K103N+L100I, K103N+P225H, K103N+M230L, V106I, V106M, G190E, and G190S as a limited-data set </w:t>
      </w:r>
      <w:r w:rsidRPr="00C965EE">
        <w:rPr>
          <w:rFonts w:ascii="Times New Roman" w:hAnsi="Times New Roman" w:cs="Times New Roman"/>
          <w:szCs w:val="24"/>
        </w:rPr>
        <w:lastRenderedPageBreak/>
        <w:t xml:space="preserve">comprising genotypes with sparse primary susceptibility measurements, subtype-dependent uncertainty, or incomplete mechanistic resolution in the published literature (Martin et al., 2020; </w:t>
      </w:r>
      <w:proofErr w:type="spellStart"/>
      <w:r w:rsidRPr="00C965EE">
        <w:rPr>
          <w:rFonts w:ascii="Times New Roman" w:hAnsi="Times New Roman" w:cs="Times New Roman"/>
          <w:szCs w:val="24"/>
        </w:rPr>
        <w:t>Soulie</w:t>
      </w:r>
      <w:proofErr w:type="spellEnd"/>
      <w:r w:rsidRPr="00C965EE">
        <w:rPr>
          <w:rFonts w:ascii="Times New Roman" w:hAnsi="Times New Roman" w:cs="Times New Roman"/>
          <w:szCs w:val="24"/>
        </w:rPr>
        <w:t xml:space="preserve"> et al., 2019; Giammarino et al., 2024; Reddy et al., 2024; Orkin et al., 2026).</w:t>
      </w:r>
    </w:p>
    <w:p w14:paraId="3637FE16" w14:textId="77777777" w:rsidR="0015518B" w:rsidRDefault="0015518B" w:rsidP="00C965EE">
      <w:pPr>
        <w:rPr>
          <w:rFonts w:ascii="Times New Roman" w:hAnsi="Times New Roman" w:cs="Times New Roman"/>
          <w:szCs w:val="24"/>
        </w:rPr>
      </w:pPr>
    </w:p>
    <w:p w14:paraId="39173162" w14:textId="2414D44D" w:rsidR="00C965EE" w:rsidRDefault="0015518B" w:rsidP="00C965EE">
      <w:p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Note that</w:t>
      </w:r>
      <w:r w:rsidR="00C965EE" w:rsidRPr="00C965EE">
        <w:rPr>
          <w:rFonts w:ascii="Times New Roman" w:hAnsi="Times New Roman" w:cs="Times New Roman"/>
          <w:szCs w:val="24"/>
        </w:rPr>
        <w:t xml:space="preserve"> not all fold-change values derive from the same assay platform or experimental design. Some come from large-scale Monogram </w:t>
      </w:r>
      <w:proofErr w:type="spellStart"/>
      <w:r w:rsidR="00C965EE" w:rsidRPr="00C965EE">
        <w:rPr>
          <w:rFonts w:ascii="Times New Roman" w:hAnsi="Times New Roman" w:cs="Times New Roman"/>
          <w:szCs w:val="24"/>
        </w:rPr>
        <w:t>PhenoSense</w:t>
      </w:r>
      <w:proofErr w:type="spellEnd"/>
      <w:r w:rsidR="00C965EE" w:rsidRPr="00C965EE">
        <w:rPr>
          <w:rFonts w:ascii="Times New Roman" w:hAnsi="Times New Roman" w:cs="Times New Roman"/>
          <w:szCs w:val="24"/>
        </w:rPr>
        <w:t xml:space="preserve"> datasets, some from Merck reporter-gene or site-directed mutant studies, and some from clinical-development isolates or more limited targeted phenotyping studies. </w:t>
      </w:r>
      <w:r>
        <w:rPr>
          <w:rFonts w:ascii="Times New Roman" w:hAnsi="Times New Roman" w:cs="Times New Roman"/>
          <w:szCs w:val="24"/>
        </w:rPr>
        <w:t>Because</w:t>
      </w:r>
      <w:r w:rsidR="00C965EE" w:rsidRPr="00C965EE">
        <w:rPr>
          <w:rFonts w:ascii="Times New Roman" w:hAnsi="Times New Roman" w:cs="Times New Roman"/>
          <w:szCs w:val="24"/>
        </w:rPr>
        <w:t xml:space="preserve"> the DOR phenotype literature remains small and heterogeneous, the panel </w:t>
      </w:r>
      <w:r w:rsidR="006F24CF">
        <w:rPr>
          <w:rFonts w:ascii="Times New Roman" w:hAnsi="Times New Roman" w:cs="Times New Roman"/>
          <w:szCs w:val="24"/>
        </w:rPr>
        <w:t xml:space="preserve">assembled here </w:t>
      </w:r>
      <w:r w:rsidR="00C965EE" w:rsidRPr="00C965EE">
        <w:rPr>
          <w:rFonts w:ascii="Times New Roman" w:hAnsi="Times New Roman" w:cs="Times New Roman"/>
          <w:szCs w:val="24"/>
        </w:rPr>
        <w:t xml:space="preserve">should </w:t>
      </w:r>
      <w:r>
        <w:rPr>
          <w:rFonts w:ascii="Times New Roman" w:hAnsi="Times New Roman" w:cs="Times New Roman"/>
          <w:szCs w:val="24"/>
        </w:rPr>
        <w:t>not currently be viewed as a standardized</w:t>
      </w:r>
      <w:r w:rsidR="00C965EE" w:rsidRPr="00C965EE">
        <w:rPr>
          <w:rFonts w:ascii="Times New Roman" w:hAnsi="Times New Roman" w:cs="Times New Roman"/>
          <w:szCs w:val="24"/>
        </w:rPr>
        <w:t xml:space="preserve"> benchmark dataset.</w:t>
      </w:r>
    </w:p>
    <w:p w14:paraId="5ED72A6E" w14:textId="77777777" w:rsidR="00AF30BF" w:rsidRDefault="00AF30BF" w:rsidP="00C965EE">
      <w:pPr>
        <w:rPr>
          <w:rFonts w:ascii="Times New Roman" w:hAnsi="Times New Roman" w:cs="Times New Roman"/>
          <w:szCs w:val="24"/>
        </w:rPr>
      </w:pPr>
    </w:p>
    <w:p w14:paraId="2476DCD0" w14:textId="77777777" w:rsidR="00AF30BF" w:rsidRPr="00747450" w:rsidRDefault="00AF30BF" w:rsidP="00AF30BF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noProof/>
          <w:szCs w:val="24"/>
        </w:rPr>
        <w:drawing>
          <wp:inline distT="0" distB="0" distL="0" distR="0" wp14:anchorId="02EE0F46" wp14:editId="01CCA8DB">
            <wp:extent cx="5943600" cy="2485390"/>
            <wp:effectExtent l="0" t="0" r="0" b="3810"/>
            <wp:docPr id="142401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18466" name="Picture 142401846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1CBA2" w14:textId="77777777" w:rsidR="00AF30BF" w:rsidRPr="00AF30BF" w:rsidRDefault="00AF30BF" w:rsidP="00AF30BF">
      <w:pPr>
        <w:rPr>
          <w:rFonts w:ascii="Times New Roman" w:hAnsi="Times New Roman" w:cs="Times New Roman"/>
          <w:sz w:val="20"/>
          <w:szCs w:val="20"/>
        </w:rPr>
      </w:pPr>
      <w:r w:rsidRPr="00AF30BF">
        <w:rPr>
          <w:rFonts w:ascii="Times New Roman" w:hAnsi="Times New Roman" w:cs="Times New Roman"/>
          <w:b/>
          <w:bCs/>
          <w:sz w:val="20"/>
          <w:szCs w:val="20"/>
        </w:rPr>
        <w:t>Figure 1: Fold-change in DOR susceptibility associated with selected genotypes.</w:t>
      </w:r>
      <w:r w:rsidRPr="00AF30BF">
        <w:rPr>
          <w:rFonts w:ascii="Times New Roman" w:hAnsi="Times New Roman" w:cs="Times New Roman"/>
          <w:sz w:val="20"/>
          <w:szCs w:val="20"/>
        </w:rPr>
        <w:t xml:space="preserve"> Values represent median fold reductions in susceptibility relative to wild-type control viruses. Asterisk (*) denotes susceptibility results generated using non-</w:t>
      </w:r>
      <w:proofErr w:type="spellStart"/>
      <w:r w:rsidRPr="00AF30BF">
        <w:rPr>
          <w:rFonts w:ascii="Times New Roman" w:hAnsi="Times New Roman" w:cs="Times New Roman"/>
          <w:sz w:val="20"/>
          <w:szCs w:val="20"/>
        </w:rPr>
        <w:t>PhenoSense</w:t>
      </w:r>
      <w:proofErr w:type="spellEnd"/>
      <w:r w:rsidRPr="00AF30BF">
        <w:rPr>
          <w:rFonts w:ascii="Times New Roman" w:hAnsi="Times New Roman" w:cs="Times New Roman"/>
          <w:sz w:val="20"/>
          <w:szCs w:val="20"/>
        </w:rPr>
        <w:t xml:space="preserve"> assays.</w:t>
      </w:r>
    </w:p>
    <w:p w14:paraId="79FE1BA1" w14:textId="77777777" w:rsidR="00AF30BF" w:rsidRPr="00C965EE" w:rsidRDefault="00AF30BF" w:rsidP="00C965EE">
      <w:pPr>
        <w:rPr>
          <w:rFonts w:ascii="Times New Roman" w:hAnsi="Times New Roman" w:cs="Times New Roman"/>
          <w:szCs w:val="24"/>
        </w:rPr>
      </w:pPr>
    </w:p>
    <w:sectPr w:rsidR="00AF30BF" w:rsidRPr="00C965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3D5"/>
    <w:rsid w:val="000366F8"/>
    <w:rsid w:val="00097E02"/>
    <w:rsid w:val="00106118"/>
    <w:rsid w:val="0015518B"/>
    <w:rsid w:val="002023D5"/>
    <w:rsid w:val="00230A01"/>
    <w:rsid w:val="006F24CF"/>
    <w:rsid w:val="008572A1"/>
    <w:rsid w:val="00936881"/>
    <w:rsid w:val="00AF30BF"/>
    <w:rsid w:val="00C13FA8"/>
    <w:rsid w:val="00C965EE"/>
    <w:rsid w:val="00FD5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716956"/>
  <w15:chartTrackingRefBased/>
  <w15:docId w15:val="{7EBA3BCB-CABB-E14A-BAC0-8815B1357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1"/>
        <w:lang w:val="en-US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2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3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3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3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3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3D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3D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3D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3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023D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3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023D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023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3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599</Words>
  <Characters>3608</Characters>
  <Application>Microsoft Office Word</Application>
  <DocSecurity>0</DocSecurity>
  <Lines>75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Satija</dc:creator>
  <cp:keywords/>
  <dc:description/>
  <cp:lastModifiedBy>Rohit Satija</cp:lastModifiedBy>
  <cp:revision>7</cp:revision>
  <dcterms:created xsi:type="dcterms:W3CDTF">2026-05-06T15:49:00Z</dcterms:created>
  <dcterms:modified xsi:type="dcterms:W3CDTF">2026-05-06T16:33:00Z</dcterms:modified>
</cp:coreProperties>
</file>