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r>
        <w:rPr>
          <w:color w:val="FF0000"/>
        </w:rP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We state this rather than present the minimized values as protocol-independent.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rPr>
          <w:color w:val="FF0000"/>
        </w:rP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Where apo trajectories run to 100 ns, the pocket volume changes by only 1–5 Å³ between the first 10 ns and the remaining 90 ns, so this comparison is not an artifact of the shorter reference.</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p>
      <w:r>
        <w:br w:type="page"/>
      </w:r>
    </w:p>
    <w:p>
      <w:pPr>
        <w:spacing w:after="240"/>
      </w:pPr>
      <w:r>
        <w:rPr>
          <w:b/>
        </w:rPr>
        <w:t>TOC Graphic</w:t>
      </w:r>
    </w:p>
    <w:p>
      <w:r>
        <w:drawing>
          <wp:inline distT="0" distB="0" distL="0" distR="0">
            <wp:extent cx="3017520" cy="1645920"/>
            <wp:docPr id="1001" name="TOC Graphic"/>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21"/>
                    <a:stretch>
                      <a:fillRect/>
                    </a:stretch>
                  </pic:blipFill>
                  <pic:spPr>
                    <a:xfrm>
                      <a:off x="0" y="0"/>
                      <a:ext cx="3017520" cy="1645920"/>
                    </a:xfrm>
                    <a:prstGeom prst="rect">
                      <a:avLst/>
                    </a:prstGeom>
                  </pic:spPr>
                </pic:pic>
              </a:graphicData>
            </a:graphic>
          </wp:inline>
        </w:drawing>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 Id="rId21" Type="http://schemas.openxmlformats.org/officeDocument/2006/relationships/image" Target="media/toc_graph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