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rPr>
        <w:t xml:space="preserve">Response to Reviewers</w:t>
      </w:r>
    </w:p>
    <w:p>
      <w:pPr>
        <w:spacing w:after="120"/>
      </w:pPr>
      <w:r>
        <w:rPr>
          <w:b/>
          <w:bCs/>
        </w:rPr>
        <w:t xml:space="preserve">Manuscript ci-2026-030865 — “Molecular Simulation of Doravirine Resistance in HIV-1 Reverse Transcriptase”</w:t>
      </w:r>
    </w:p>
    <w:p>
      <w:pPr>
        <w:spacing w:after="260"/>
      </w:pPr>
      <w:r>
        <w:t xml:space="preserve">Rohit Satija, Kaiming Tao, Robert W. Shafer</w:t>
      </w:r>
    </w:p>
    <w:p>
      <w:pPr>
        <w:spacing w:after="160"/>
      </w:pPr>
      <w:r>
        <w:rPr>
          <w:b/>
          <w:bCs/>
          <w:color w:val="FF0000"/>
        </w:rPr>
        <w:t xml:space="preserve">Response: </w:t>
      </w:r>
      <w:r>
        <w:rPr>
          <w:color w:val="FF0000"/>
        </w:rPr>
        <w:t xml:space="preserve">We thank the editor and the three reviewers for a careful and constructive set of reports. The reviewers converge on one substantive point — that the sampled DOR-bound ensemble is treated as representative without that assumption being tested — and we have taken it seriously, both in new analysis and in how the claims are now framed. Reviewer comments are reproduced below in black; our responses are in red. All changes to the manuscript are marked in red in the revised file.</w:t>
      </w:r>
    </w:p>
    <w:p>
      <w:pPr>
        <w:pStyle w:val="Heading2"/>
        <w:spacing w:after="160" w:before="320"/>
      </w:pPr>
      <w:r>
        <w:rPr>
          <w:b/>
          <w:bCs/>
        </w:rPr>
        <w:t xml:space="preserve">Reviewer 1</w:t>
      </w:r>
    </w:p>
    <w:p>
      <w:pPr>
        <w:spacing w:after="140"/>
        <w:ind w:left="420"/>
      </w:pPr>
      <w:r>
        <w:rPr>
          <w:i/>
          <w:iCs/>
        </w:rPr>
        <w:t xml:space="preserve">Reviewer: 1</w:t>
      </w:r>
    </w:p>
    <w:p>
      <w:pPr>
        <w:spacing w:after="140"/>
        <w:ind w:left="420"/>
      </w:pPr>
      <w:r>
        <w:rPr>
          <w:i/>
          <w:iCs/>
        </w:rPr>
        <w:t xml:space="preserve">Comments:</w:t>
      </w:r>
    </w:p>
    <w:p>
      <w:pPr>
        <w:spacing w:after="140"/>
        <w:ind w:left="420"/>
      </w:pPr>
      <w:r>
        <w:rPr>
          <w:i/>
          <w:iCs/>
        </w:rPr>
        <w:t xml:space="preserve">This is a methodologically solid study that asks a genuinely useful question: whether relative RT–DOR binding free energies, computed from molecular simulation, track phenotypic resistance across a clinically representative genotype panel. Several individual cases, particularly Y188L and V106A, give a convincing structural account of altered DOR recognition, consistent with prior crystallography.</w:t>
      </w:r>
    </w:p>
    <w:p>
      <w:pPr>
        <w:spacing w:after="140"/>
        <w:ind w:left="420"/>
      </w:pPr>
      <w:r>
        <w:rPr>
          <w:i/>
          <w:iCs/>
        </w:rPr>
        <w:t xml:space="preserve">The deeper limitation is conceptual rather than computational: the manuscript treats the sampled DOR-bound pose (inherited unmodified from the crystal structure) as representative of the relevant binding ensemble, without testing that assumption. Because the NNRTI pocket only forms upon ligand binding, and RT itself rearranges on timescales far longer than the 100 ns</w:t>
      </w:r>
    </w:p>
    <w:p>
      <w:pPr>
        <w:spacing w:after="140"/>
        <w:ind w:left="420"/>
      </w:pPr>
      <w:r>
        <w:rPr>
          <w:i/>
          <w:iCs/>
        </w:rPr>
        <w:t xml:space="preserve">simulated here, that assumption is precisely what the manuscript's own inconsistent results (Section 3, below) call into question.</w:t>
      </w:r>
    </w:p>
    <w:p>
      <w:pPr>
        <w:spacing w:after="160"/>
      </w:pPr>
      <w:r>
        <w:rPr>
          <w:b/>
          <w:bCs/>
          <w:color w:val="FF0000"/>
        </w:rPr>
        <w:t xml:space="preserve">Response: </w:t>
      </w:r>
      <w:r>
        <w:rPr>
          <w:color w:val="FF0000"/>
        </w:rPr>
        <w:t xml:space="preserve">We appreciate this framing, which identifies the central limitation more precisely than we had. The NNIBP is an induced-fit pocket that does not exist in unliganded RT, and our thermodynamic cycle introduces the mutation in both the holo and the apo state. A mutation that acts by shifting the conformational equilibrium of the apo enzyme, or the free-energy cost of opening the pocket, therefore perturbs both legs in the same direction and largely cancels in ΔΔGbind. We now state this explicitly in the Discussion and use it as the organizing explanation for the genotypes where our calculation misses the phenotype.</w:t>
      </w:r>
    </w:p>
    <w:p>
      <w:pPr>
        <w:pStyle w:val="Heading2"/>
        <w:spacing w:after="160" w:before="320"/>
      </w:pPr>
      <w:r>
        <w:rPr>
          <w:b/>
          <w:bCs/>
        </w:rPr>
        <w:t xml:space="preserve">Reviewer 1, comment 1 — weak correlation with phenotype</w:t>
      </w:r>
    </w:p>
    <w:p>
      <w:pPr>
        <w:spacing w:after="140"/>
        <w:ind w:left="420"/>
      </w:pPr>
      <w:r>
        <w:rPr>
          <w:i/>
          <w:iCs/>
        </w:rPr>
        <w:t xml:space="preserve">Major comments:</w:t>
      </w:r>
    </w:p>
    <w:p>
      <w:pPr>
        <w:spacing w:after="140"/>
        <w:ind w:left="420"/>
      </w:pPr>
      <w:r>
        <w:rPr>
          <w:i/>
          <w:iCs/>
        </w:rPr>
        <w:t xml:space="preserve">1. Weak correlation with phenotype. FEP gets the direction right for most genotypes, but the correlation with the experimental phenotype across the full panel is weak and not significant. The more important issue is whether the sampled RT-DOR conformations adequately represent the resistance mechanism. The weak correlation may therefore reflect not only limitations</w:t>
      </w:r>
    </w:p>
    <w:p>
      <w:pPr>
        <w:spacing w:after="140"/>
        <w:ind w:left="420"/>
      </w:pPr>
      <w:r>
        <w:rPr>
          <w:i/>
          <w:iCs/>
        </w:rPr>
        <w:t xml:space="preserve">of the free-energy calculation, but also resistance mechanisms involving mutation-induced changes in RT conformation and NNIBP formation.</w:t>
      </w:r>
    </w:p>
    <w:p>
      <w:pPr>
        <w:spacing w:after="160"/>
      </w:pPr>
      <w:r>
        <w:rPr>
          <w:b/>
          <w:bCs/>
          <w:color w:val="FF0000"/>
        </w:rPr>
        <w:t xml:space="preserve">Response: </w:t>
      </w:r>
      <w:r>
        <w:rPr>
          <w:color w:val="FF0000"/>
        </w:rPr>
        <w:t xml:space="preserve">We agree and have tempered the claim accordingly. We have added a quantitative classification analysis with a pre-specified cutoff (see our response to Reviewer 3, comment 1) so that the level of agreement is stated reproducibly rather than as a narrative count, and we now report the threshold-free AUC alongside the regression, since the regression on 13 genotypes is weakly powered.</w:t>
      </w:r>
    </w:p>
    <w:p>
      <w:pPr>
        <w:spacing w:after="160"/>
      </w:pPr>
      <w:r>
        <w:rPr>
          <w:color w:val="FF0000"/>
        </w:rPr>
        <w:t xml:space="preserve">On the substantive point, we agree that the weak correlation is unlikely to be purely a free-energy-calculation error. The three genotypes our calculation misclassifies — K103N+M230L, A98G+F227C and G190E — are precisely those whose reported mechanisms act before or outside the bound complex. We now make that argument explicitly in the Discussion rather than attributing the scatter to method error alone.</w:t>
      </w:r>
    </w:p>
    <w:p>
      <w:pPr>
        <w:pStyle w:val="Heading2"/>
        <w:spacing w:after="160" w:before="320"/>
      </w:pPr>
      <w:r>
        <w:rPr>
          <w:b/>
          <w:bCs/>
        </w:rPr>
        <w:t xml:space="preserve">Reviewer 1, comment 2 — convergence within a basin</w:t>
      </w:r>
    </w:p>
    <w:p>
      <w:pPr>
        <w:spacing w:after="140"/>
        <w:ind w:left="420"/>
      </w:pPr>
      <w:r>
        <w:rPr>
          <w:i/>
          <w:iCs/>
        </w:rPr>
        <w:t xml:space="preserve">2. Convergence within a basin does not establish adequate conformational sampling. Stable RMSD, work distributions, and small replicate errors show convergence within the sampled conformational basin, but do not establish that this is the biologically relevant RT-DOR state. This is particularly important for an induced NNIBP, where mutations may alter the RT conformation before DOR binding. The authors should address this in two ways:</w:t>
      </w:r>
    </w:p>
    <w:p>
      <w:pPr>
        <w:spacing w:after="140"/>
        <w:ind w:left="420"/>
      </w:pPr>
      <w:r>
        <w:rPr>
          <w:i/>
          <w:iCs/>
        </w:rPr>
        <w:t xml:space="preserve">First, test representative systems from independent starting poses to determine whether the same DOR-bound state is recovered.</w:t>
      </w:r>
    </w:p>
    <w:p>
      <w:pPr>
        <w:spacing w:after="140"/>
        <w:ind w:left="420"/>
      </w:pPr>
      <w:r>
        <w:rPr>
          <w:i/>
          <w:iCs/>
        </w:rPr>
        <w:t xml:space="preserve">The authors should perform longer-timescale apo simulations for a selected set of mutants, particularly P225- and M230-containing genotypes, and compare the resulting RT and pocket conformational ensembles with WT. These mutations are located in loop-rich regions and could affect pocket formation through slower conformational remodeling that is not captured in the current simulations.</w:t>
      </w:r>
    </w:p>
    <w:p>
      <w:pPr>
        <w:spacing w:after="160"/>
      </w:pPr>
      <w:r>
        <w:rPr>
          <w:b/>
          <w:bCs/>
          <w:color w:val="FF0000"/>
        </w:rPr>
        <w:t xml:space="preserve">Response: </w:t>
      </w:r>
      <w:r>
        <w:rPr>
          <w:color w:val="FF0000"/>
        </w:rPr>
        <w:t xml:space="preserve">We accept this distinction and have adopted the reviewer's language in the Discussion: stable RMSD values, overlapping work distributions and small replicate errors establish convergence within the sampled basin, not that the basin is the relevant one. We also now state plainly that our three replicates were seeded from the same crystallographic pose with only a 0.1 Å coordinate perturbation, so they are not independent in the sense the reviewer means.</w:t>
      </w:r>
    </w:p>
    <w:p>
      <w:pPr>
        <w:spacing w:after="160"/>
      </w:pPr>
      <w:r>
        <w:rPr>
          <w:color w:val="FF0000"/>
        </w:rPr>
        <w:t xml:space="preserve">On the apo simulations, we note that our existing apo data is more extensive than the submitted manuscript conveyed. We hold three 100 ns apo replicates for A98G+F227C, F227C and G190E, and 37–75 ns for K103N+M230L, which covers all three genotypes where ΔΔGbind misses the phenotype as well as the M230-containing genotype the reviewer names. We are completing a WT-referenced comparison of the apo and holo pocket ensembles for these systems.</w:t>
      </w:r>
    </w:p>
    <w:p>
      <w:pPr>
        <w:spacing w:after="200"/>
        <w:ind w:left="420"/>
      </w:pPr>
      <w:r>
        <w:rPr>
          <w:color w:val="FF0000"/>
        </w:rPr>
        <w:t xml:space="preserve">We have carried out the apo comparison on the data available, and it supports the reviewer's hypothesis. WT apo is 10 ns and is the reference, so every apo trajectory was truncated to its first 10 ns and compared on that matched window. Apo pockets are substantially collapsed relative to the holo values in Table 3 (42 to 107 cubic angstroms against 223 to 284), so the induced-fit character the reviewer raises is present in the simulations rather than assumed away. On the matched window the WT-referenced apo pocket volume is -49.0 cubic angstroms for G190E, -36.6 for V106I+F227C, -28.4 for A98G+F227C and -16.2 for F227C, against +12.5 for V106A, +15.7 for V106A+P225H and +2.0 for K103N+M230L. Two of the three genotypes where ddG_bind misses the phenotype, G190E and A98G+F227C, therefore have markedly more collapsed apo pockets than wild type, which is the direction the reviewer's argument predicts: a mutation that alters the unliganded pocket perturbs both legs of the thermodynamic cycle and largely cancels. We also asked directly whether longer apo sampling would change this. For the long runs that are well behaved, pocket volume moves by only 1 to 5 cubic angstroms between the first 10 ns and the remaining 90 ns (A98G+F227C +1.1, F227C +2.9, K103N+M230L +5.1), so for this observable the short wild-type reference is a limitation we can state rather than one that invalidates the comparison. One caveat: in one G190E apo replicate the measured volume expands after roughly 20 ns. We traced this to the reconstruction of periodic images for a chain-broken topology rather than to a conformational event. RT's disordered loops leave each chain as several bonded fragments, which image independently and scatter across the box, while the simulation's potential energy stays flat to within 0.5 percent across the whole run. Those frames are excluded, and the matched 10 ns window precedes them. On the reviewer's first request, independent starting poses, we have not run new simulations, and we would rather quantify that gap than leave it as a caveat. Our replicates differ only by a 0.1 angstrom coordinate perturbation, and across the whole panel the DOR heavy-atom RMSD from the crystallographic pose settles between 0.64 and 0.93 angstroms, with wild type at 0.66. The complexes are therefore stable, which is a physical result for a tightly bound inhibitor, but the ensembles plainly do not visit alternative poses. That is the reviewer's point stated numerically: nothing in our data could distinguish a pose that is correct from one that is merely the one we started from, and only a test from independent starts could. We say so in the Discussion rather than describing the replicates as independent.</w:t>
      </w:r>
    </w:p>
    <w:p>
      <w:pPr>
        <w:pStyle w:val="Heading2"/>
        <w:spacing w:after="160" w:before="320"/>
      </w:pPr>
      <w:r>
        <w:rPr>
          <w:b/>
          <w:bCs/>
        </w:rPr>
        <w:t xml:space="preserve">Reviewer 1, comment 3 — the mismatches suggest different mechanisms</w:t>
      </w:r>
    </w:p>
    <w:p>
      <w:pPr>
        <w:spacing w:after="140"/>
        <w:ind w:left="420"/>
      </w:pPr>
      <w:r>
        <w:rPr>
          <w:i/>
          <w:iCs/>
        </w:rPr>
        <w:t xml:space="preserve">3. The mismatches suggest different resistance mechanisms. The mismatches between calculated ΔΔGbind and the experimental phenotype are not simply random errors and should be discussed mechanistically. For example:</w:t>
      </w:r>
    </w:p>
    <w:p>
      <w:pPr>
        <w:spacing w:after="140"/>
        <w:ind w:left="420"/>
      </w:pPr>
      <w:r>
        <w:rPr>
          <w:i/>
          <w:iCs/>
        </w:rPr>
        <w:t xml:space="preserve">K103N+M230L shows only a small calculated binding penalty despite 36-fold resistance.</w:t>
      </w:r>
    </w:p>
    <w:p>
      <w:pPr>
        <w:spacing w:after="140"/>
        <w:ind w:left="420"/>
      </w:pPr>
      <w:r>
        <w:rPr>
          <w:i/>
          <w:iCs/>
        </w:rPr>
        <w:t xml:space="preserve">A98G+F227C and G190E show substantial resistance despite favorable calculated ΔΔGbind. G190E is particularly notable because it produces the largest pocket expansion, yet no binding penalty. The authors should examine whether mutation-induced changes occur in both apo and holo RT and whether such remodeling could therefore be poorly reflected in ΔΔGbind.</w:t>
      </w:r>
    </w:p>
    <w:p>
      <w:pPr>
        <w:spacing w:after="160"/>
      </w:pPr>
      <w:r>
        <w:rPr>
          <w:b/>
          <w:bCs/>
          <w:color w:val="FF0000"/>
        </w:rPr>
        <w:t xml:space="preserve">Response: </w:t>
      </w:r>
      <w:r>
        <w:rPr>
          <w:color w:val="FF0000"/>
        </w:rPr>
        <w:t xml:space="preserve">We agree that these are not random errors, and the revised Discussion treats them as mechanistically informative. For G190E and A98G+F227C, the interface distortion is real in the holo state (ΔΔETotal = 1.94 ± 0.40 and 2.47 ± 0.24 kcal/mol) but comparable distortion is present in the apo simulations, so the penalty cancels in the thermodynamic cycle and the residual favors binding. That cancellation is the mechanism, not an artifact to be explained away, and it is exactly what the reviewer anticipates when asking whether the remodeling occurs in both apo and holo RT.</w:t>
      </w:r>
    </w:p>
    <w:p>
      <w:pPr>
        <w:spacing w:after="160"/>
      </w:pPr>
      <w:r>
        <w:rPr>
          <w:color w:val="FF0000"/>
        </w:rPr>
        <w:t xml:space="preserve">For K103N+M230L the DOR interface is essentially unperturbed in our trajectories — chlorocyanophenyl burial is the second highest in the panel and the Lys103 anchor is intact — while Met230 lies in the p66 primer grip and contacts the primer terminus. Our binary complex contains no template/primer, so this mechanism is structurally absent from the simulation rather than poorly sampled by it.</w:t>
      </w:r>
    </w:p>
    <w:p>
      <w:pPr>
        <w:pStyle w:val="Heading2"/>
        <w:spacing w:after="160" w:before="320"/>
      </w:pPr>
      <w:r>
        <w:rPr>
          <w:b/>
          <w:bCs/>
        </w:rPr>
        <w:t xml:space="preserve">Reviewer 1, comment 4 — clearer summary of the structural analysis</w:t>
      </w:r>
    </w:p>
    <w:p>
      <w:pPr>
        <w:spacing w:after="140"/>
        <w:ind w:left="420"/>
      </w:pPr>
      <w:r>
        <w:rPr>
          <w:i/>
          <w:iCs/>
        </w:rPr>
        <w:t xml:space="preserve">4. The structural analysis needs a clearer summary. The structural information is currently spread across several dense tables, making it difficult to see how the different mutations alter the RT-DOR system. A figure mapping all mutations onto the RT-DOR structure would be important, particularly to show their positions relative to DOR and the NNIBP. A WT-referenced</w:t>
      </w:r>
    </w:p>
    <w:p>
      <w:pPr>
        <w:spacing w:after="140"/>
        <w:ind w:left="420"/>
      </w:pPr>
      <w:r>
        <w:rPr>
          <w:i/>
          <w:iCs/>
        </w:rPr>
        <w:t xml:space="preserve">heatmap summarizing the structural metrics in Table 3 would also help identify patterns in DOR contacts, pocket size, and mutation-induced remodeling across genotypes.</w:t>
      </w:r>
    </w:p>
    <w:p>
      <w:pPr>
        <w:spacing w:after="140"/>
        <w:ind w:left="420"/>
      </w:pPr>
      <w:r>
        <w:rPr>
          <w:i/>
          <w:iCs/>
        </w:rPr>
        <w:t xml:space="preserve">The structural analysis would be further strengthened by including protein-level changes that are currently not shown, particularly RMSF, secondary-structure changes, and pocket conformational distributions. These would help distinguish direct changes in DOR contacts from broader conformational effects on the RT pocket.</w:t>
      </w:r>
    </w:p>
    <w:p>
      <w:pPr>
        <w:spacing w:after="160"/>
      </w:pPr>
      <w:r>
        <w:rPr>
          <w:b/>
          <w:bCs/>
          <w:color w:val="FF0000"/>
        </w:rPr>
        <w:t xml:space="preserve">Response: </w:t>
      </w:r>
      <w:r>
        <w:rPr>
          <w:color w:val="FF0000"/>
        </w:rPr>
        <w:t xml:space="preserve">We agree that the structural results are hard to navigate as three dense tables. We are adding a figure mapping all 18 genotypes onto the RT–DOR structure relative to DOR and the NNIBP, and a WT-referenced heatmap of the Table 3 metrics, and are extending the analysis to the protein-level observables the reviewer lists — RMSF, secondary-structure changes and pocket conformational distributions — so that direct changes in DOR contacts can be separated from broader remodeling of the pocket.</w:t>
      </w:r>
    </w:p>
    <w:p>
      <w:pPr>
        <w:spacing w:after="200"/>
        <w:ind w:left="420"/>
      </w:pPr>
      <w:r>
        <w:rPr>
          <w:color w:val="FF0000"/>
        </w:rPr>
        <w:t xml:space="preserve">All three are now done. The mutation map places every substituted position on the p66 structure, projected onto the plane that best spreads the NNIBP-lining residues so the pocket is seen face-on, with a companion panel giving each position's minimum heavy-atom distance to DOR. That second panel carries a result we had not previously stated: ten of the twelve substituted positions lie within 4.2 angstroms of DOR, and only two do not, M230L at 6.9 and A98G at 8.2. Those are the positions in two of the three genotypes where ddG_bind misses the phenotype, so the argument that these act through the protein rather than on the ligand is now quantitative. The WT-referenced heatmap expresses each Table 3 metric as a deviation from wild type in units of the pooled replicate standard error, which puts metrics in angstroms, counts, degrees and cubic angstroms on one comparable scale; it makes the groupings immediate, with all four V106A genotypes sharing the Ser105 approach, all four K103N genotypes sharing the side-chain signature, and G190A pale across every metric. On the protein-level observables, we have added per-residue Ca RMSF and three-state secondary structure, both WT-referenced. The outcome is a negative result that we think strengthens the paper rather than weakening it: regional RMSF changes reach at most 0.25 angstroms, in the primer grip and the beta9-beta10 sheet for Y181C and G190S, and secondary structure is essentially unchanged throughout, the largest shift being G190E losing 0.08 of strand character at the NNIBP lining. No genotype remodels the fold in the bound state, so the differences in Table 3 are local to the DOR interface rather than consequences of broader conformational change, which is precisely the distinction the reviewer asked us to be able to draw.</w:t>
      </w:r>
    </w:p>
    <w:p>
      <w:pPr>
        <w:pStyle w:val="Heading2"/>
        <w:spacing w:after="160" w:before="320"/>
      </w:pPr>
      <w:r>
        <w:rPr>
          <w:b/>
          <w:bCs/>
        </w:rPr>
        <w:t xml:space="preserve">Reviewer 2</w:t>
      </w:r>
    </w:p>
    <w:p>
      <w:pPr>
        <w:spacing w:after="140"/>
        <w:ind w:left="420"/>
      </w:pPr>
      <w:r>
        <w:rPr>
          <w:i/>
          <w:iCs/>
        </w:rPr>
        <w:t xml:space="preserve">Reviewer: 2</w:t>
      </w:r>
    </w:p>
    <w:p>
      <w:pPr>
        <w:spacing w:after="140"/>
        <w:ind w:left="420"/>
      </w:pPr>
      <w:r>
        <w:rPr>
          <w:i/>
          <w:iCs/>
        </w:rPr>
        <w:t xml:space="preserve">Comments:</w:t>
      </w:r>
    </w:p>
    <w:p>
      <w:pPr>
        <w:spacing w:after="140"/>
        <w:ind w:left="420"/>
      </w:pPr>
      <w:r>
        <w:rPr>
          <w:i/>
          <w:iCs/>
        </w:rPr>
        <w:t xml:space="preserve">In this manuscript, the authors use all-atom MD simulations with alchemical FEP and MM/GBSA to retrospectively assess doravirine resistance across 18 clinically observed HIV-1 RT genotypes. FEP correctly predicts little effect for 3 of 4 susceptible mutations and reduced binding for 7 of 9 resistant genotypes, though correlations with experimental fold-change are weak (R2 = 0.26, p = 0.07). MM/GBSA performs less well for susceptible mutations but identifies unfavorable changes for 7 of 9 resistant genotypes. Structural observables rationalize mechanisms, including V106A versus V106I/M and G190E. The manuscript is well written, and the topic is clinically relevant given the sparse public phenotype data for DOR. However, several methodological and interpretive issues need to be addressed before the manuscript can be considered for publication. Therefore, it is recommended for publication in the Journal of Chemical Information and Modeling after major revisions to the following details.</w:t>
      </w:r>
    </w:p>
    <w:p>
      <w:pPr>
        <w:spacing w:after="140"/>
        <w:ind w:left="420"/>
      </w:pPr>
      <w:r>
        <w:rPr>
          <w:i/>
          <w:iCs/>
        </w:rPr>
        <w:t xml:space="preserve">More comments:</w:t>
      </w:r>
    </w:p>
    <w:p>
      <w:pPr>
        <w:spacing w:after="160"/>
      </w:pPr>
      <w:r>
        <w:rPr>
          <w:b/>
          <w:bCs/>
          <w:color w:val="FF0000"/>
        </w:rPr>
        <w:t xml:space="preserve">Response: </w:t>
      </w:r>
      <w:r>
        <w:rPr>
          <w:color w:val="FF0000"/>
        </w:rPr>
        <w:t xml:space="preserve">We thank the reviewer for the accurate summary and for the methodological points below, several of which identified real gaps in what we reported.</w:t>
      </w:r>
    </w:p>
    <w:p>
      <w:pPr>
        <w:pStyle w:val="Heading2"/>
        <w:spacing w:after="160" w:before="320"/>
      </w:pPr>
      <w:r>
        <w:rPr>
          <w:b/>
          <w:bCs/>
        </w:rPr>
        <w:t xml:space="preserve">Reviewer 2, comment 1 — convergence diagnostics</w:t>
      </w:r>
    </w:p>
    <w:p>
      <w:pPr>
        <w:spacing w:after="140"/>
        <w:ind w:left="420"/>
      </w:pPr>
      <w:r>
        <w:rPr>
          <w:i/>
          <w:iCs/>
        </w:rPr>
        <w:t xml:space="preserve">1. The three independent 100 ns replicates are short relative to the timescales of RT domain rearrangements and unliganded pocket conformational equilibria. The authors should provide more rigorous convergence diagnostics (e.g., block averaging, autocorrelation analysis) for both the structural observables and the FEP/MM-GBSA estimates, and discuss how limited sampling may bias the results.</w:t>
      </w:r>
    </w:p>
    <w:p>
      <w:pPr>
        <w:spacing w:after="160"/>
      </w:pPr>
      <w:r>
        <w:rPr>
          <w:b/>
          <w:bCs/>
          <w:color w:val="FF0000"/>
        </w:rPr>
        <w:t xml:space="preserve">Response: </w:t>
      </w:r>
      <w:r>
        <w:rPr>
          <w:color w:val="FF0000"/>
        </w:rPr>
        <w:t xml:space="preserve">Block averaging over the production trajectories was already part of our analysis but was not reported. We are now including it together with autocorrelation times and the resulting effective sample sizes, applied to the structural observables and to the MM/GBSA and FEP estimates, and we discuss in the Discussion how the limited sampling may bias the results — specifically that our replicates establish convergence within one conformational basin rather than across the accessible landscape.</w:t>
      </w:r>
    </w:p>
    <w:p>
      <w:pPr>
        <w:spacing w:after="200"/>
        <w:ind w:left="420"/>
      </w:pPr>
      <w:r>
        <w:rPr>
          <w:color w:val="FF0000"/>
        </w:rPr>
        <w:t xml:space="preserve">We have added integrated autocorrelation times and effective sample sizes for six structural observables across all 60 holo replicates, estimated with Geyer's initial positive sequence. Median autocorrelation times are 1.0 to 3.7 ns, giving a median effective sample size of 14 to 50 per 100 ns replicate; per-genotype median ESS ranges from 8 (V106M) to 73 (F227C), and the worst individual series fall to about 2. This supports the precision we report on the replicate means. We are explicit in the Discussion about what it does not support: an autocorrelation time measures motion within the sampled basin, so a replicate that never leaves its starting basin can show a short correlation time and a healthy effective sample size while still not surveying the landscape. MM/GBSA and FEP are not serially correlated series by construction and so are not treated this way: MM/GBSA snapshots are spread evenly across the post-equilibration region rather than taken consecutively, and each FEP work value comes from a switch seeded from a separately drawn frame.</w:t>
      </w:r>
    </w:p>
    <w:p>
      <w:pPr>
        <w:pStyle w:val="Heading2"/>
        <w:spacing w:after="160" w:before="320"/>
      </w:pPr>
      <w:r>
        <w:rPr>
          <w:b/>
          <w:bCs/>
        </w:rPr>
        <w:t xml:space="preserve">Reviewer 2, comment 2 — the binary RT–DOR system</w:t>
      </w:r>
    </w:p>
    <w:p>
      <w:pPr>
        <w:spacing w:after="140"/>
        <w:ind w:left="420"/>
      </w:pPr>
      <w:r>
        <w:rPr>
          <w:i/>
          <w:iCs/>
        </w:rPr>
        <w:t xml:space="preserve">2. The binary RT–DOR system omits the nucleic acid substrate and incoming dNTP, which are essential for resistance mechanisms involving the primer grip (e.g., M230L) and allosteric coupling (e.g., K103N). The authors should explicitly discuss which mechanisms are inaccessible in this setup and how this may affect the correlation with phenotypic data.</w:t>
      </w:r>
    </w:p>
    <w:p>
      <w:pPr>
        <w:spacing w:after="160"/>
      </w:pPr>
      <w:r>
        <w:rPr>
          <w:b/>
          <w:bCs/>
          <w:color w:val="FF0000"/>
        </w:rPr>
        <w:t xml:space="preserve">Response: </w:t>
      </w:r>
      <w:r>
        <w:rPr>
          <w:color w:val="FF0000"/>
        </w:rPr>
        <w:t xml:space="preserve">We agree, and the revised Discussion states explicitly which mechanisms this setup forecloses. The binary complex contains no template/primer and no incoming dNTP, so resistance acting through the primer grip (M230L) is structurally inaccessible to our calculations, as is any mechanism operating through the catalytically productive ternary complex. We also note that resistance can act through the conformational equilibrium of the unliganded pocket on timescales far longer than we sample, and through effects on processivity and replicative capacity, none of which enter ΔΔGbind. We argue that this is a leading explanation for the K103N+M230L false negative rather than a generic caveat.</w:t>
      </w:r>
    </w:p>
    <w:p>
      <w:pPr>
        <w:pStyle w:val="Heading2"/>
        <w:spacing w:after="160" w:before="320"/>
      </w:pPr>
      <w:r>
        <w:rPr>
          <w:b/>
          <w:bCs/>
        </w:rPr>
        <w:t xml:space="preserve">Reviewer 2, comment 3 — effect sizes and confidence intervals</w:t>
      </w:r>
    </w:p>
    <w:p>
      <w:pPr>
        <w:spacing w:after="140"/>
        <w:ind w:left="420"/>
      </w:pPr>
      <w:r>
        <w:rPr>
          <w:i/>
          <w:iCs/>
        </w:rPr>
        <w:t xml:space="preserve">3. Some mechanistic interpretations rely on small differences that may be within simulation error. The authors should provide effect sizes with confidence intervals for key comparisons (e.g., V106A vs. V106I/M, G190A vs. G190E) and, where possible, per-atom or torsion-level analyses to support claims about ligand displacement.</w:t>
      </w:r>
    </w:p>
    <w:p>
      <w:pPr>
        <w:spacing w:after="160"/>
      </w:pPr>
      <w:r>
        <w:rPr>
          <w:b/>
          <w:bCs/>
          <w:color w:val="FF0000"/>
        </w:rPr>
        <w:t xml:space="preserve">Response: </w:t>
      </w:r>
      <w:r>
        <w:rPr>
          <w:color w:val="FF0000"/>
        </w:rPr>
        <w:t xml:space="preserve">We accept that several mechanistic statements rested on differences presented only as means with replicate SEMs. We are adding bootstrap confidence intervals on the effect sizes for the specific comparisons the reviewer names, V106A versus V106I/M and G190A versus G190E, and are supporting the ligand-displacement claims with a torsion-level analysis of the four rotatable DOR dihedrals in addition to the per-moiety contact counts already reported.</w:t>
      </w:r>
    </w:p>
    <w:p>
      <w:pPr>
        <w:spacing w:after="200"/>
        <w:ind w:left="420"/>
      </w:pPr>
      <w:r>
        <w:rPr>
          <w:color w:val="FF0000"/>
        </w:rPr>
        <w:t xml:space="preserve">Both are now in hand, and the confidence intervals change what we claim. Treating the replicate as the unit of replication, since frames within a replicate are autocorrelated and pooling them would assert a precision the data does not have, we computed Welch intervals and Hedges' g for the comparisons the reviewer named along with WT references. Of 42 comparisons, 7 have a 95 percent interval excluding zero, and they are the manuscript's load-bearing claims: V106A against V106I on the DOR-Ser105 distance, +1.85 angstroms [1.25, 2.45], g = 8.5; WT against V106A on the same metric, -1.35 [-1.73, -0.97], g = -9.5; G190A against G190E on NNIBP volume, +51.0 cubic angstroms [39.5, 62.5], g = 9.6; and WT against Y188L on chlorocyanophenyl burial, -5.8 [-11.5, -0.1]. Equally important, the V106A against V106M contrast the reviewer specifically named survives on no metric, and for G190A against G190E only the pocket volume does. We have tempered the Discussion accordingly rather than leaving those comparisons stated as though they were established. On the torsion analysis, all four rotatable DOR dihedrals were computed across every replicate using circular statistics. The width rather than the mean carries the signal: tau4 broadens most in G190S (+13.0 degrees) and G190E (+5.2), and tau2 broadens across the V106 family, by +8.1 degrees in V106A+F227L, +7.9 in V106M, +4.8 in V106I and +4.6 in V106A+P225H, which is consistent with the chlorocyanophenyl ring repacking as DOR slides toward Ser105. The K103N-containing and F227C genotypes are flat to within a degree of WT. These are intramolecular coordinates, so unlike contact counts they are unaffected by periodic imaging, which makes them the cleanest available evidence that the ligand's internal conformation changes in the V106 and G190 families and not elsewhere.</w:t>
      </w:r>
    </w:p>
    <w:p>
      <w:pPr>
        <w:pStyle w:val="Heading2"/>
        <w:spacing w:after="160" w:before="320"/>
      </w:pPr>
      <w:r>
        <w:rPr>
          <w:b/>
          <w:bCs/>
        </w:rPr>
        <w:t xml:space="preserve">Reviewer 2, comment 4 — charge-changing legs</w:t>
      </w:r>
    </w:p>
    <w:p>
      <w:pPr>
        <w:spacing w:after="140"/>
        <w:ind w:left="420"/>
      </w:pPr>
      <w:r>
        <w:rPr>
          <w:i/>
          <w:iCs/>
        </w:rPr>
        <w:t xml:space="preserve">4. The FEP calculations involve two charge-changing legs (WT → K103N, WT → G190E). The authors should verify that protonation states of titratable residues in the NNIBP are consistent across WT and mutants, and provide more detail on the hybrid residue topologies, soft-core parameters, and finite-size correction.</w:t>
      </w:r>
    </w:p>
    <w:p>
      <w:pPr>
        <w:spacing w:after="160"/>
      </w:pPr>
      <w:r>
        <w:rPr>
          <w:b/>
          <w:bCs/>
          <w:color w:val="FF0000"/>
        </w:rPr>
        <w:t xml:space="preserve">Response: </w:t>
      </w:r>
      <w:r>
        <w:rPr>
          <w:color w:val="FF0000"/>
        </w:rPr>
        <w:t xml:space="preserve">This prompted us to verify rather than assume, and we can now state the result explicitly in the Methods. Protonation states are identical between the wild type and every mutant by construction: all systems inherit their states from the same prepared wild-type structure, in which hydrogens were built once and carried unchanged through mutation modeling. We confirmed this directly — all thirteen histidines are neutral with the proton on Nδ1, identically across the wild type and all 18 genotypes — so no titratable residue in the NNIBP differs between the end states of any leg. The glutamate introduced by G190E was modeled deprotonated and singly charged, which is what makes that leg charge-changing.</w:t>
      </w:r>
    </w:p>
    <w:p>
      <w:pPr>
        <w:spacing w:after="160"/>
      </w:pPr>
      <w:r>
        <w:rPr>
          <w:color w:val="FF0000"/>
        </w:rPr>
        <w:t xml:space="preserve">The Methods now also describe the hybrid residue topologies (pmx single-topology construction, with atoms unique to one end state present as non-interacting dummies at the other, bonded parameters interpolated linearly in λ, dummies relaxed during end-state minimization) and give the soft-core parameters as run: the linearized Gapsys form with α = 0.3, σ = 0.25 nm, soft-core power 1, applied to both Lennard-Jones and Coulomb interactions.</w:t>
      </w:r>
    </w:p>
    <w:p>
      <w:pPr>
        <w:spacing w:after="160"/>
      </w:pPr>
      <w:r>
        <w:rPr>
          <w:color w:val="FF0000"/>
        </w:rPr>
        <w:t xml:space="preserve">On the finite-size correction we have chosen to be explicit rather than to imply completeness. We applied the periodicity self-energy term of the Rocklin scheme to both charged legs, computed from the box dimensions and the TIP3P dielectric constant. The higher-order terms — net-charge undersolvation and discrete-solvent — were not applied in the submitted work, and we now state this and report their estimated magnitude so the residual uncertainty on these two legs is visible to the reader.</w:t>
      </w:r>
    </w:p>
    <w:p>
      <w:pPr>
        <w:spacing w:after="200"/>
        <w:ind w:left="420"/>
      </w:pPr>
      <w:r>
        <w:rPr>
          <w:color w:val="FF0000"/>
        </w:rPr>
        <w:t xml:space="preserve">We have bounded them rather than left them unquantified. The leading periodicity term is +0.0407 kcal/mol per phase and cancels to below 0.0001 kcal/mol in the binding double difference for both charge legs. For the higher-order terms, which would need a Poisson-Boltzmann pass over each environment to compute exactly, the bound follows from the same cancellation: each depends on the net charge, the box, the solvent density and the solute excluded volume; the charge change is identical in the holo and apo phases by construction; and the cells are matched to within 0.13 percent (K103N) and 0.31 percent (G190E) in volume, with DOR occupying 0.019 percent of the cell. Taking a per-phase correction of 1 kcal/mol, about 25 times the leading term we compute, the residual on the binding free energy is at most 0.003 kcal/mol, two to three orders of magnitude below the 0.2 to 1.2 kcal/mol per-leg statistical uncertainties in Table 2. The conclusion does not depend on the assumed magnitude.</w:t>
      </w:r>
    </w:p>
    <w:p>
      <w:pPr>
        <w:pStyle w:val="Heading2"/>
        <w:spacing w:after="160" w:before="320"/>
      </w:pPr>
      <w:r>
        <w:rPr>
          <w:b/>
          <w:bCs/>
        </w:rPr>
        <w:t xml:space="preserve">Reviewer 2, comment 5 — Gasteiger charges</w:t>
      </w:r>
    </w:p>
    <w:p>
      <w:pPr>
        <w:spacing w:after="140"/>
        <w:ind w:left="420"/>
      </w:pPr>
      <w:r>
        <w:rPr>
          <w:i/>
          <w:iCs/>
        </w:rPr>
        <w:t xml:space="preserve">5. Gasteiger charges are less accurate than AM1-BCC or RESP for drug-like molecules. The authors should either compare with a more accurate charge model for a subset of systems or explicitly discuss how this choice may affect the computed energies and the resulting correlations.</w:t>
      </w:r>
    </w:p>
    <w:p>
      <w:pPr>
        <w:spacing w:after="160"/>
      </w:pPr>
      <w:r>
        <w:rPr>
          <w:b/>
          <w:bCs/>
          <w:color w:val="FF0000"/>
        </w:rPr>
        <w:t xml:space="preserve">Response: </w:t>
      </w:r>
      <w:r>
        <w:rPr>
          <w:color w:val="FF0000"/>
        </w:rPr>
        <w:t xml:space="preserve">We accept this and have done both of the things the reviewer offers as alternatives. The Discussion now explains why the choice affects our two calculations unequally: MM/GBSA evaluates an absolute interaction energy, so ΔEelec and ΔEGB depend directly on the ligand charge set, whereas the alchemical calculation perturbs the protein and not the ligand — DOR is neutral and parameterized identically at both end states of every leg, so the ligand contribution largely cancels in the thermodynamic cycle. We are also recomputing MM/GBSA with AM1-BCC charges for a subset of genotypes to quantify the effect directly rather than argue it.</w:t>
      </w:r>
    </w:p>
    <w:p>
      <w:pPr>
        <w:spacing w:after="200"/>
        <w:ind w:left="420"/>
      </w:pPr>
      <w:r>
        <w:rPr>
          <w:b/>
          <w:bCs/>
          <w:color w:val="FF0000"/>
        </w:rPr>
        <w:t xml:space="preserve">[PENDING — AM1-BCC MM/GBSA recomputation for a genotype subset. Insert the comparison.]</w:t>
      </w:r>
    </w:p>
    <w:p>
      <w:pPr>
        <w:pStyle w:val="Heading2"/>
        <w:spacing w:after="160" w:before="320"/>
      </w:pPr>
      <w:r>
        <w:rPr>
          <w:b/>
          <w:bCs/>
        </w:rPr>
        <w:t xml:space="preserve">Reviewer 3</w:t>
      </w:r>
    </w:p>
    <w:p>
      <w:pPr>
        <w:spacing w:after="140"/>
        <w:ind w:left="420"/>
      </w:pPr>
      <w:r>
        <w:rPr>
          <w:i/>
          <w:iCs/>
        </w:rPr>
        <w:t xml:space="preserve">Reviewer: 3</w:t>
      </w:r>
    </w:p>
    <w:p>
      <w:pPr>
        <w:spacing w:after="140"/>
        <w:ind w:left="420"/>
      </w:pPr>
      <w:r>
        <w:rPr>
          <w:i/>
          <w:iCs/>
        </w:rPr>
        <w:t xml:space="preserve">Comments:</w:t>
      </w:r>
    </w:p>
    <w:p>
      <w:pPr>
        <w:spacing w:after="140"/>
        <w:ind w:left="420"/>
      </w:pPr>
      <w:r>
        <w:rPr>
          <w:i/>
          <w:iCs/>
        </w:rPr>
        <w:t xml:space="preserve">The topic of this manuscript is timely and clinically relevant, the genotype panel is thoughtfully curated with transparent provenance (Stanford HIVDB, PhenoSense/Merck assays), and the use of open-source tooling (OpenMM, GROMACS, pmx, OpenFF) is commendable for reproducibility. The manuscript is generally well written and the structural analysis is a genuine strength. However, the central quantitative claim — that FEP "partially tracks" phenotype — rests on weak statistics derived from a small panel, and several methodological choices and interpretive statements require clarification, additional support, or tempering before the work can be considered suitable for publication. My specific concerns follow:</w:t>
      </w:r>
    </w:p>
    <w:p>
      <w:pPr>
        <w:spacing w:after="160"/>
      </w:pPr>
      <w:r>
        <w:rPr>
          <w:b/>
          <w:bCs/>
          <w:color w:val="FF0000"/>
        </w:rPr>
        <w:t xml:space="preserve">Response: </w:t>
      </w:r>
      <w:r>
        <w:rPr>
          <w:color w:val="FF0000"/>
        </w:rPr>
        <w:t xml:space="preserve">We thank the reviewer, and we agree that the central quantitative claim needed either firmer statistical support or more careful wording. We have taken both routes: the agreement with phenotype is now stated against a pre-specified threshold with a full confusion matrix and a threshold-free AUC, and the claim itself is tempered.</w:t>
      </w:r>
    </w:p>
    <w:p>
      <w:pPr>
        <w:pStyle w:val="Heading2"/>
        <w:spacing w:after="160" w:before="320"/>
      </w:pPr>
      <w:r>
        <w:rPr>
          <w:b/>
          <w:bCs/>
        </w:rPr>
        <w:t xml:space="preserve">Reviewer 3, comment 1 — define “correctly predicted”</w:t>
      </w:r>
    </w:p>
    <w:p>
      <w:pPr>
        <w:spacing w:after="140"/>
        <w:ind w:left="420"/>
      </w:pPr>
      <w:r>
        <w:rPr>
          <w:i/>
          <w:iCs/>
        </w:rPr>
        <w:t xml:space="preserve">1. The Abstract states "FEP correctly predicted little effect on DOR binding for 3 of 4 susceptible mutations and reduced binding for 7 of 9 resistant genotypes." Please define "correctly predicted" quantitatively — what threshold on ΔΔGbind constitutes "little effect" versus "reduced binding"? A stated cutoff (e.g., | ΔΔGbind| &gt; 1 kcal/mol) would make this claim reproducible.</w:t>
      </w:r>
    </w:p>
    <w:p>
      <w:pPr>
        <w:spacing w:after="160"/>
      </w:pPr>
      <w:r>
        <w:rPr>
          <w:b/>
          <w:bCs/>
          <w:color w:val="FF0000"/>
        </w:rPr>
        <w:t xml:space="preserve">Response: </w:t>
      </w:r>
      <w:r>
        <w:rPr>
          <w:color w:val="FF0000"/>
        </w:rPr>
        <w:t xml:space="preserve">Agreed, and now stated. A genotype is counted as predicted to reduce binding when ΔΔGbind exceeds +0.5 kcal/mol, approximately the thermal energy kBT at 300 K, and as predicted to have little effect otherwise; the same cutoff is applied to ΔΔETotal. The cutoff was fixed a priori from the thermal energy rather than fitted to the panel. Against the 13 genotypes with an established phenotype, ΔΔGbind gives 7 true positives, 3 true negatives, 1 false positive (V106I) and 2 false negatives (A98G+F227C and K103N+M230L): sensitivity 0.78, specificity 0.75, Matthews correlation coefficient 0.50. Because any single cutoff is arbitrary for an observable that was never calibrated to a clinical threshold, we also report the area under the ROC curve, 0.78 (exact permutation p = 0.074). This appears in the Abstract, in the Statistical analysis section and in the Results.</w:t>
      </w:r>
    </w:p>
    <w:p>
      <w:pPr>
        <w:pStyle w:val="Heading2"/>
        <w:spacing w:after="160" w:before="320"/>
      </w:pPr>
      <w:r>
        <w:rPr>
          <w:b/>
          <w:bCs/>
        </w:rPr>
        <w:t xml:space="preserve">Reviewer 3, comment 2 — typographical issues</w:t>
      </w:r>
    </w:p>
    <w:p>
      <w:pPr>
        <w:spacing w:after="140"/>
        <w:ind w:left="420"/>
      </w:pPr>
      <w:r>
        <w:rPr>
          <w:i/>
          <w:iCs/>
        </w:rPr>
        <w:t xml:space="preserve">2. There are several minor typographical issues: "NRNTI-resistance mutations" (Page 16) should be "NNRTI-resistance mutations"; "hinges on" (Page 30) should be "hinges on" or "depends on"; "APPROVAL" section header (Page 35) is redundant with "Author Contributions." Please proofread carefully.</w:t>
      </w:r>
    </w:p>
    <w:p>
      <w:pPr>
        <w:spacing w:after="160"/>
      </w:pPr>
      <w:r>
        <w:rPr>
          <w:b/>
          <w:bCs/>
          <w:color w:val="FF0000"/>
        </w:rPr>
        <w:t xml:space="preserve">Response: </w:t>
      </w:r>
      <w:r>
        <w:rPr>
          <w:color w:val="FF0000"/>
        </w:rPr>
        <w:t xml:space="preserve">We have proofread the manuscript in full and corrected the errors found. On the three specific items: we were unable to locate the strings “NRNTI-resistance mutations” or an “APPROVAL” section header in our submitted manuscript file or Supporting Information, and we suspect these arose in the PDF generated during submission rather than in the source document. We have checked the section headings, and the author-information block contains only Author Contributions, Funding Sources and Notes. The manuscript has additionally been reviewed in full for language and usage.</w:t>
      </w:r>
    </w:p>
    <w:p>
      <w:pPr>
        <w:pStyle w:val="Heading2"/>
        <w:spacing w:after="160" w:before="320"/>
      </w:pPr>
      <w:r>
        <w:rPr>
          <w:b/>
          <w:bCs/>
        </w:rPr>
        <w:t xml:space="preserve">Reviewer 3, comment 3 — MM/GBSA minimization protocol</w:t>
      </w:r>
    </w:p>
    <w:p>
      <w:pPr>
        <w:spacing w:after="140"/>
        <w:ind w:left="420"/>
      </w:pPr>
      <w:r>
        <w:rPr>
          <w:i/>
          <w:iCs/>
        </w:rPr>
        <w:t xml:space="preserve">3. The MM/GBSA protocol minimizes each snapshot with all atoms free before energy evaluation (Page 11). This is unusual: standard MM/GBSA evaluates single-point energies on snapshots (or after minimizing only hydrogens) to avoid artificially distorting the ensemble. Full minimization of 100 snapshots per trajectory can substantially reduce energetic noise and may bias ΔΔE components, particularly ΔEelec and ΔEGB. The authors should:</w:t>
      </w:r>
    </w:p>
    <w:p>
      <w:pPr>
        <w:spacing w:after="140"/>
        <w:ind w:left="420"/>
      </w:pPr>
      <w:r>
        <w:rPr>
          <w:i/>
          <w:iCs/>
        </w:rPr>
        <w:t xml:space="preserve">(a) Justify full minimization versus the more standard single-point or hydrogen-only relaxation protocol.</w:t>
      </w:r>
    </w:p>
    <w:p>
      <w:pPr>
        <w:spacing w:after="140"/>
        <w:ind w:left="420"/>
      </w:pPr>
      <w:r>
        <w:rPr>
          <w:i/>
          <w:iCs/>
        </w:rPr>
        <w:t xml:space="preserve">(b) Report how sensitive ΔΔETotal and its components are to this choice (e.g., by recomputing without minimization for a subset of genotypes).</w:t>
      </w:r>
    </w:p>
    <w:p>
      <w:pPr>
        <w:spacing w:after="160"/>
      </w:pPr>
      <w:r>
        <w:rPr>
          <w:b/>
          <w:bCs/>
          <w:color w:val="FF0000"/>
        </w:rPr>
        <w:t xml:space="preserve">Response: </w:t>
      </w:r>
      <w:r>
        <w:rPr>
          <w:color w:val="FF0000"/>
        </w:rPr>
        <w:t xml:space="preserve">(a) The justification is now given in the Methods, with citations. Minimizing each snapshot before the energy evaluation is established practice for end-point methods rather than a departure from it: minimization-based MM-PBSA was validated for drug discovery by Kuhn et al. (J. Med. Chem. 2005, 48, 4040), Rastelli et al. (J. Comput. Chem. 2010, 31, 797) showed that minimization-based MM-PBSA and MM-GBSA reproduce the accuracy of ensemble averaging at a fraction of the cost, and minimizing from a series of MD snapshots — which is what we do — was shown by Weis et al. (J. Med. Chem. 2006, 49, 6596) and in the review we already cite (Genheden and Ryde, ref 34) to give results similar to single-point ensemble averages. That review states directly that minimized structures often give as good or better results as MD simulations.</w:t>
      </w:r>
    </w:p>
    <w:p>
      <w:pPr>
        <w:spacing w:after="160"/>
      </w:pPr>
      <w:r>
        <w:rPr>
          <w:color w:val="FF0000"/>
        </w:rPr>
        <w:t xml:space="preserve">The purpose of the minimization in our case is to relieve steric strain that single-point evaluation of frames sampled under explicit solvent, periodic boundary conditions and constrained bond lengths would otherwise carry into the cutoff-free, unconstrained implicit-solvent Hamiltonian used for scoring, where it contributes Lennard-Jones energies far larger than the binding signal. We agree with the reviewer that this needed stating and defending rather than simply reporting, and the revised Methods now does so.</w:t>
      </w:r>
    </w:p>
    <w:p>
      <w:pPr>
        <w:spacing w:after="160"/>
      </w:pPr>
      <w:r>
        <w:rPr>
          <w:color w:val="FF0000"/>
        </w:rPr>
        <w:t xml:space="preserve">(b) We accept the reviewer’s point that full minimization may reduce energetic noise and bias the components, and we have recomputed a subset of genotypes (WT, K103N, V106A, Y188L, G190E and V106I+F227C, three replicates each) under single-point evaluation, under hydrogen-only relaxation with heavy atoms restrained, and under the unrestrained full minimization used in the main text, reporting ΔΔETotal and each component side by side so the sensitivity is visible (Supplementary Table 5).</w:t>
      </w:r>
    </w:p>
    <w:p>
      <w:pPr>
        <w:spacing w:after="200"/>
        <w:ind w:left="420"/>
      </w:pPr>
      <w:r>
        <w:rPr>
          <w:color w:val="FF0000"/>
        </w:rPr>
        <w:t xml:space="preserve">The comparison is now in Supplementary Table 5, for six genotypes with sampling otherwise identical to the main text. We report it plainly, including where it is unflattering. Under single-point evaluation the calculation is not merely noisier but unusable: WT-referenced ddE_Total reaches 10^4 to 10^8 kcal/mol, and the blow-up sits entirely in the van der Waals component while the electrostatic component stays normal, which is the signature of residual steric contacts rather than of binding. Under hydrogen-only relaxation the absolute energies become physically plausible (-23 to -51 kcal/mol), but hydrogen relaxation cannot resolve heavy-atom contacts, and the frames that retain them dominate the between-replicate variance: every ddE_Total has a standard error equal to or larger than its own mean (for example G190E, 28.3 +/- 15.1 kcal/mol), so no genotype is separable from WT. Under the full minimization used in the main text the same quantities are 0.99 to 2.78 kcal/mol with standard errors of 0.13 to 0.54. We therefore agree with the reviewer that the choice materially affects ddE_Total and its components, and we now say so in the manuscript rather than presenting the minimised values as protocol-independent. We would add two things in defence of the choice. First, it is the established practice for end-point methods, with the precedent cited in our response to part (a); the review we already cite notes that minimised structures often perform as well as or better than MD snapshots, and that unrealistic structures sometimes have to be filtered away -- full minimisation relaxes them instead of discarding frames. Second, and more important for the paper's conclusions, this affects only the MM/GBSA column. ddG_bind, the quantity that corresponds to binding and carries the main claim, is computed by alchemical free energy perturbation and does not involve snapshot minimisation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ci-2026-030865</dc:title>
  <dc:creator>Rohit Satija</dc:creator>
  <cp:lastModifiedBy>Un-named</cp:lastModifiedBy>
  <cp:revision>1</cp:revision>
  <dcterms:created xsi:type="dcterms:W3CDTF">2026-10-20T23:43:40.875Z</dcterms:created>
  <dcterms:modified xsi:type="dcterms:W3CDTF">2026-10-20T23:43:40.876Z</dcterms:modified>
</cp:coreProperties>
</file>

<file path=docProps/custom.xml><?xml version="1.0" encoding="utf-8"?>
<Properties xmlns="http://schemas.openxmlformats.org/officeDocument/2006/custom-properties" xmlns:vt="http://schemas.openxmlformats.org/officeDocument/2006/docPropsVTypes"/>
</file>