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EB0E56" w14:textId="77777777" w:rsidR="003D726F" w:rsidRPr="00E536AD" w:rsidRDefault="003D726F">
      <w:pPr>
        <w:pStyle w:val="BATitle"/>
        <w:rPr>
          <w:b/>
          <w:bCs/>
          <w:sz w:val="36"/>
          <w:szCs w:val="28"/>
        </w:rPr>
      </w:pPr>
      <w:r>
        <w:rPr>
          <w:b/>
          <w:bCs/>
        </w:rPr>
        <w:t>Molecular Simulation of Doravirine Resistance in HIV-1 Reverse Transcriptase</w:t>
      </w:r>
    </w:p>
    <w:p w14:paraId="1091E84A" w14:textId="77777777" w:rsidR="003D726F" w:rsidRPr="00E536AD" w:rsidRDefault="003D726F">
      <w:pPr>
        <w:rPr>
          <w:rFonts w:ascii="Times New Roman" w:hAnsi="Times New Roman"/>
          <w:b/>
          <w:bCs/>
          <w:sz w:val="28"/>
          <w:szCs w:val="22"/>
        </w:rPr>
      </w:pPr>
    </w:p>
    <w:p w14:paraId="488919B4"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4EABD86B"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319A6C65" w14:textId="77777777" w:rsidR="003D726F" w:rsidRPr="00E536AD" w:rsidRDefault="003D726F" w:rsidP="003D726F">
      <w:pPr>
        <w:pStyle w:val="BIEmailAddress"/>
        <w:rPr>
          <w:rFonts w:ascii="Times New Roman" w:hAnsi="Times New Roman"/>
          <w:szCs w:val="24"/>
        </w:rPr>
      </w:pPr>
      <w:r>
        <w:t>*Corresponding author (</w:t>
      </w:r>
      <w:hyperlink r:id="rId6" w:history="1">
        <w:r>
          <w:rPr>
            <w:rStyle w:val="Hyperlink"/>
            <w:rFonts w:ascii="Times New Roman" w:hAnsi="Times New Roman"/>
            <w:szCs w:val="24"/>
          </w:rPr>
          <w:t>rsatija@stanford.edu</w:t>
        </w:r>
      </w:hyperlink>
      <w:r>
        <w:t xml:space="preserve">) </w:t>
      </w:r>
    </w:p>
    <w:p w14:paraId="0C3D2B46" w14:textId="77777777" w:rsidR="003D726F" w:rsidRPr="00E536AD" w:rsidRDefault="003D726F">
      <w:pPr>
        <w:rPr>
          <w:rFonts w:ascii="Times New Roman" w:hAnsi="Times New Roman"/>
          <w:b/>
          <w:bCs/>
          <w:sz w:val="28"/>
          <w:szCs w:val="22"/>
        </w:rPr>
      </w:pPr>
    </w:p>
    <w:p w14:paraId="21B1C1F9"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3B6B2102"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17DE225F" w14:textId="6340CCBC"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(ΔΔE</w:t>
      </w:r>
      <w:r>
        <w:rPr>
          <w:vertAlign w:val="subscript"/>
        </w:rPr>
        <w:t>Total</w:t>
      </w:r>
      <w:r>
        <w:t>), and compared with experimentally measured fold-changes in DOR susceptibility. Furthermore, several key features on the DOR-RT interface were computed from the MD simulations data.</w:t>
      </w:r>
    </w:p>
    <w:p w14:paraId="3FD9456B"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ΔΔE</w:t>
      </w:r>
      <w:r>
        <w:rPr>
          <w:vertAlign w:val="subscript"/>
        </w:rPr>
        <w:t>Total</w:t>
      </w:r>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0D48E879"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410B3230" w14:textId="77777777" w:rsidR="006F1E06" w:rsidRPr="00E536AD" w:rsidRDefault="006F1E06" w:rsidP="004770A2">
      <w:pPr>
        <w:rPr>
          <w:rFonts w:ascii="Times New Roman" w:hAnsi="Times New Roman"/>
        </w:rPr>
      </w:pPr>
    </w:p>
    <w:p w14:paraId="6591392C" w14:textId="77777777" w:rsidR="006F1E06" w:rsidRDefault="006F1E06" w:rsidP="004770A2">
      <w:pPr>
        <w:rPr>
          <w:rFonts w:ascii="Times New Roman" w:hAnsi="Times New Roman"/>
        </w:rPr>
      </w:pPr>
    </w:p>
    <w:p w14:paraId="52734EEF" w14:textId="77777777" w:rsidR="00831C83" w:rsidRPr="008E233C" w:rsidRDefault="00831C83">
      <w:pPr>
        <w:pStyle w:val="TAMainText"/>
        <w:rPr>
          <w:rFonts w:ascii="Times New Roman" w:hAnsi="Times New Roman"/>
          <w:b/>
          <w:bCs/>
          <w:sz w:val="36"/>
          <w:szCs w:val="28"/>
        </w:rPr>
      </w:pPr>
      <w:r>
        <w:rPr>
          <w:b/>
          <w:bCs/>
          <w:sz w:val="28"/>
          <w:szCs w:val="22"/>
        </w:rPr>
        <w:lastRenderedPageBreak/>
        <w:t>Introduction</w:t>
      </w:r>
    </w:p>
    <w:p w14:paraId="2CA80888"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455C1DDA"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79F202DE" w14:textId="110B71D5" w:rsidR="00C96A03" w:rsidRPr="00E536AD" w:rsidRDefault="00F6395D" w:rsidP="00C96A03">
      <w:pPr>
        <w:pStyle w:val="TAMainText"/>
        <w:spacing w:after="240"/>
        <w:rPr>
          <w:rFonts w:ascii="Times New Roman" w:hAnsi="Times New Roman"/>
          <w:szCs w:val="24"/>
        </w:rPr>
      </w:pPr>
      <w:r>
        <w:t>Doravirine (DOR) was designed by introducing cyclic constraints in a novel class of diaryl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rsidR="008A2546">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sidR="008A2546">
        <w:rPr>
          <w:rFonts w:hint="eastAsia"/>
        </w:rPr>
        <w:instrText>ô</w:instrText>
      </w:r>
      <w:r w:rsidR="008A2546">
        <w:instrText>t</w:instrText>
      </w:r>
      <w:r w:rsidR="008A2546">
        <w:rPr>
          <w:rFonts w:hint="eastAsia"/>
        </w:rPr>
        <w:instrText>é</w:instrText>
      </w:r>
      <w:r w:rsidR="008A2546">
        <w:instrText>","given":"Bernard"},{"family":"Burch","given":"Jason D."},{"family":"Asante-Appiah","given":"Ernest"},{"family":"Bayly","given":"Chris"},{"family":"B</w:instrText>
      </w:r>
      <w:r w:rsidR="008A2546">
        <w:rPr>
          <w:rFonts w:hint="eastAsia"/>
        </w:rPr>
        <w:instrText>é</w:instrText>
      </w:r>
      <w:r w:rsidR="008A2546">
        <w:instrText>dard","given":"Leanne"},{"family":"Blouin","given":"Marc"},{"family":"Campeau","given":"Louis-Charles"},{"family":"Cauchon","given":"Elizabeth"},{"family":"Chan","given":"Manuel"},{"family":"Chefson","given":"Amandine"},{"family":"Coulombe","given":"Nathalie"},{"family":"Cromlish","given":"Wanda"},{"family":"Debnath","given":"Smita"},{"family":"Desch</w:instrText>
      </w:r>
      <w:r w:rsidR="008A2546">
        <w:rPr>
          <w:rFonts w:hint="eastAsia"/>
        </w:rPr>
        <w:instrText>ê</w:instrText>
      </w:r>
      <w:r w:rsidR="008A2546">
        <w:instrText>nes","given":"Denis"},{"family":"Dupont-Gaudet","given":"Kristina"},{"family":"Falgueyret","given":"Jean-Pierre"},{"family":"Forget","given":"Robert"},{"family":"Gagn</w:instrText>
      </w:r>
      <w:r w:rsidR="008A2546">
        <w:rPr>
          <w:rFonts w:hint="eastAsia"/>
        </w:rPr>
        <w:instrText>é</w:instrText>
      </w:r>
      <w:r w:rsidR="008A2546">
        <w:instrText>","given":"S</w:instrText>
      </w:r>
      <w:r w:rsidR="008A2546">
        <w:rPr>
          <w:rFonts w:hint="eastAsia"/>
        </w:rPr>
        <w:instrText>é</w:instrText>
      </w:r>
      <w:r w:rsidR="008A2546">
        <w:instrText>bastien"},{"family":"Gauvreau","given":"Danny"},{"family":"Girardin","given":"Melina"},{"family":"Guiral","given":"S</w:instrText>
      </w:r>
      <w:r w:rsidR="008A2546">
        <w:rPr>
          <w:rFonts w:hint="eastAsia"/>
        </w:rPr>
        <w:instrText>é</w:instrText>
      </w:r>
      <w:r w:rsidR="008A2546">
        <w:instrText>bastien"},{"family":"Langlois","given":"Eric"},{"family":"Li","given":"Chun Sing"},{"family":"Nguyen","given":"Natalie"},{"family":"Papp","given":"Rob"},{"family":"Plamondon","given":"Serge"},{"family":"Roy","given":"Am</w:instrText>
      </w:r>
      <w:r w:rsidR="008A2546">
        <w:rPr>
          <w:rFonts w:hint="eastAsia"/>
        </w:rPr>
        <w:instrText>é</w:instrText>
      </w:r>
      <w:r w:rsidR="008A2546">
        <w:instrText>lie"},{"family":"Roy","given":"St</w:instrText>
      </w:r>
      <w:r w:rsidR="008A2546">
        <w:rPr>
          <w:rFonts w:hint="eastAsia"/>
        </w:rPr>
        <w:instrText>é</w:instrText>
      </w:r>
      <w:r w:rsidR="008A2546">
        <w:instrText>phanie"},{"family":"Seliniotakis","given":"Ria"},{"family":"St-Onge","given":"Miguel"},{"family":"Ouellet","given":"St</w:instrText>
      </w:r>
      <w:r w:rsidR="008A2546">
        <w:rPr>
          <w:rFonts w:hint="eastAsia"/>
        </w:rPr>
        <w:instrText>é</w:instrText>
      </w:r>
      <w:r w:rsidR="008A2546">
        <w:instrText>phane"},{"family":"Tawa","given":"Paul"},{"family":"Truchon","given":"Jean-Fran</w:instrText>
      </w:r>
      <w:r w:rsidR="008A2546">
        <w:rPr>
          <w:rFonts w:hint="eastAsia"/>
        </w:rPr>
        <w:instrText>ç</w:instrText>
      </w:r>
      <w:r w:rsidR="008A2546">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tyrosines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rsidR="008A2546">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rPr>
        <w:instrText>ô</w:instrText>
      </w:r>
      <w:r w:rsidR="008A2546">
        <w:instrText>t</w:instrText>
      </w:r>
      <w:r w:rsidR="008A2546">
        <w:rPr>
          <w:rFonts w:hint="eastAsia"/>
        </w:rPr>
        <w:instrText>é</w:instrText>
      </w:r>
      <w:r w:rsidR="008A2546">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5464F436" w14:textId="54C9558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rsidR="008A2546">
        <w:instrText xml:space="preserve"> ADDIN ZOTERO_ITEM CSL_CITATION {"citationID":"u34mWdrt","properties":{"unsorted":false,"formattedCitation":"\\super 19\\uc0\\u8211{}22\\nosupersub{}","plainCitation":"19</w:instrText>
      </w:r>
      <w:r w:rsidR="008A2546">
        <w:rPr>
          <w:rFonts w:hint="eastAsia"/>
        </w:rPr>
        <w:instrText>–</w:instrText>
      </w:r>
      <w:r w:rsidR="008A2546">
        <w:instrText>22","noteIndex":0},"citationItems":[{"id":169,"uris":["http://zotero.org/users/19404620/items/S7WWFBWH"],"itemData":{"id":169,"type":"article-journal","abstract":"BackgroundDoravirine is a non-nucleoside reverse transcriptase inhibitor (NNRTI) showing high efficacy and tolerability in both na</w:instrText>
      </w:r>
      <w:r w:rsidR="008A2546">
        <w:rPr>
          <w:rFonts w:hint="eastAsia"/>
        </w:rPr>
        <w:instrText>ï</w:instrText>
      </w:r>
      <w:r w:rsidR="008A2546">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sidR="008A2546">
        <w:rPr>
          <w:rFonts w:hint="eastAsia"/>
        </w:rPr>
        <w:instrText> </w:instrText>
      </w:r>
      <w:r w:rsidR="008A2546">
        <w:instrText>mg, lamivudine 300</w:instrText>
      </w:r>
      <w:r w:rsidR="008A2546">
        <w:rPr>
          <w:rFonts w:hint="eastAsia"/>
        </w:rPr>
        <w:instrText> </w:instrText>
      </w:r>
      <w:r w:rsidR="008A2546">
        <w:instrText>mg, and tenofovir disoproxil fumarate 300</w:instrText>
      </w:r>
      <w:r w:rsidR="008A2546">
        <w:rPr>
          <w:rFonts w:hint="eastAsia"/>
        </w:rPr>
        <w:instrText> </w:instrText>
      </w:r>
      <w:r w:rsidR="008A2546">
        <w:instrText>mg.ResultsAs a whole, 62 suppressed patients (51 men, median age, 51.7</w:instrText>
      </w:r>
      <w:r w:rsidR="008A2546">
        <w:rPr>
          <w:rFonts w:hint="eastAsia"/>
        </w:rPr>
        <w:instrText> </w:instrText>
      </w:r>
      <w:r w:rsidR="008A2546">
        <w:instrText>years; median CD4 T+ lymphocyte count, 577</w:instrText>
      </w:r>
      <w:r w:rsidR="008A2546">
        <w:rPr>
          <w:rFonts w:hint="eastAsia"/>
        </w:rPr>
        <w:instrText> </w:instrText>
      </w:r>
      <w:r w:rsidR="008A2546">
        <w:instrText>cells/mm3) were enrolled. After 12</w:instrText>
      </w:r>
      <w:r w:rsidR="008A2546">
        <w:rPr>
          <w:rFonts w:hint="eastAsia"/>
        </w:rPr>
        <w:instrText> </w:instrText>
      </w:r>
      <w:r w:rsidR="008A2546">
        <w:instrText>months, 58 (93.5%) patients showed HIV RNA &lt;20</w:instrText>
      </w:r>
      <w:r w:rsidR="008A2546">
        <w:rPr>
          <w:rFonts w:hint="eastAsia"/>
        </w:rPr>
        <w:instrText> </w:instrText>
      </w:r>
      <w:r w:rsidR="008A2546">
        <w:instrText>copies/mL and reasons for treatment failure were virological failure in one case, missing data in one case, and adverse events in two cases. At month 12, a significant decrease in median serum level of triglycerides (median change −61.2</w:instrText>
      </w:r>
      <w:r w:rsidR="008A2546">
        <w:rPr>
          <w:rFonts w:hint="eastAsia"/>
        </w:rPr>
        <w:instrText> </w:instrText>
      </w:r>
      <w:r w:rsidR="008A2546">
        <w:instrText>mg/dL; p = .009) and total cholesterol (median change −38.4</w:instrText>
      </w:r>
      <w:r w:rsidR="008A2546">
        <w:rPr>
          <w:rFonts w:hint="eastAsia"/>
        </w:rPr>
        <w:instrText> </w:instrText>
      </w:r>
      <w:r w:rsidR="008A2546">
        <w:instrText>mg/dL; p = .021) was reported, while a not significant median weight increase was registered (+0.55</w:instrText>
      </w:r>
      <w:r w:rsidR="008A2546">
        <w:rPr>
          <w:rFonts w:hint="eastAsia"/>
        </w:rPr>
        <w:instrText> </w:instrText>
      </w:r>
      <w:r w:rsidR="008A2546">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sidR="008A2546">
        <w:rPr>
          <w:rFonts w:hint="eastAsia"/>
        </w:rPr>
        <w:instrText>í</w:instrText>
      </w:r>
      <w:r w:rsidR="008A2546">
        <w:instrText>as-Trueba","given":"Marta"},{"family":"Gutierrez-Valencia","given":"Alicia"},{"family":"Llaves-Flores","given":"Silvia"},{"family":"Roca-Oporto","given":"Cristina"},{"family":"Herrero","given":"Marta"},{"family":"Sotomayor de la Piedra","given":"C</w:instrText>
      </w:r>
      <w:r w:rsidR="008A2546">
        <w:rPr>
          <w:rFonts w:hint="eastAsia"/>
        </w:rPr>
        <w:instrText>é</w:instrText>
      </w:r>
      <w:r w:rsidR="008A2546">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sidR="008A2546">
        <w:rPr>
          <w:rFonts w:hint="eastAsia"/>
        </w:rPr>
        <w:instrText>ï</w:instrText>
      </w:r>
      <w:r w:rsidR="008A2546">
        <w:instrText>ve and treatment-experienced PWH. A total of 83 PWH were included from January 1, 2022, to December 31, 2023. The median age was 40 years (32</w:instrText>
      </w:r>
      <w:r w:rsidR="008A2546">
        <w:rPr>
          <w:rFonts w:hint="eastAsia"/>
        </w:rPr>
        <w:instrText>–</w:instrText>
      </w:r>
      <w:r w:rsidR="008A2546">
        <w:instrText>54). Twenty-seven patients (32.5%) were treatment-na</w:instrText>
      </w:r>
      <w:r w:rsidR="008A2546">
        <w:rPr>
          <w:rFonts w:hint="eastAsia"/>
        </w:rPr>
        <w:instrText>ï</w:instrText>
      </w:r>
      <w:r w:rsidR="008A2546">
        <w:instrText>ve PWH, and 56 patients (67.5%) were treatment-experienced PWH, the most common switch was from integrase inhibitors (37/56) to DOR, followed by efavirenz (18/56) and nevirapine (1/56). In treatment-na</w:instrText>
      </w:r>
      <w:r w:rsidR="008A2546">
        <w:rPr>
          <w:rFonts w:hint="eastAsia"/>
        </w:rPr>
        <w:instrText>ï</w:instrText>
      </w:r>
      <w:r w:rsidR="008A2546">
        <w:instrText xml:space="preserve">ve PWH, the median CD4+ T-cell count was 222.9 </w:instrText>
      </w:r>
      <w:r w:rsidR="008A2546">
        <w:rPr>
          <w:rFonts w:hint="eastAsia"/>
        </w:rPr>
        <w:instrText>±</w:instrText>
      </w:r>
      <w:r w:rsidR="008A2546">
        <w:instrText xml:space="preserve"> 144.2 cells/mL at baseline, which increased to 337.8 </w:instrText>
      </w:r>
      <w:r w:rsidR="008A2546">
        <w:rPr>
          <w:rFonts w:hint="eastAsia"/>
        </w:rPr>
        <w:instrText>±</w:instrText>
      </w:r>
      <w:r w:rsidR="008A2546">
        <w:instrText xml:space="preserve"> 189.6 cells/</w:instrText>
      </w:r>
      <w:r w:rsidR="008A2546">
        <w:rPr>
          <w:rFonts w:hint="eastAsia"/>
        </w:rPr>
        <w:instrText>μ</w:instrText>
      </w:r>
      <w:r w:rsidR="008A2546">
        <w:instrText xml:space="preserve">L at week 24 (p &lt; 0.001) and to 431.6 </w:instrText>
      </w:r>
      <w:r w:rsidR="008A2546">
        <w:rPr>
          <w:rFonts w:hint="eastAsia"/>
        </w:rPr>
        <w:instrText>±</w:instrText>
      </w:r>
      <w:r w:rsidR="008A2546">
        <w:instrText xml:space="preserve"> 259.9 cells/</w:instrText>
      </w:r>
      <w:r w:rsidR="008A2546">
        <w:rPr>
          <w:rFonts w:hint="eastAsia"/>
        </w:rPr>
        <w:instrText>μ</w:instrText>
      </w:r>
      <w:r w:rsidR="008A2546">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sidR="008A2546">
        <w:rPr>
          <w:rFonts w:hint="eastAsia"/>
        </w:rPr>
        <w:instrText>ï</w:instrText>
      </w:r>
      <w:r w:rsidR="008A2546">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sidR="008A2546">
        <w:rPr>
          <w:rFonts w:hint="eastAsia"/>
        </w:rPr>
        <w:instrText>·</w:instrText>
      </w:r>
      <w:r w:rsidR="008A2546">
        <w:instrText>25 mg) once daily in virologically suppressed adults with HIV-1 on oral antiretroviral therapy: 48-week results of a phase 3, multicentre, randomised, open-label, non-inferiority trial","title-short":"Switch to fixed-dose doravirine (100 mg) and islatravir (0</w:instrText>
      </w:r>
      <w:r w:rsidR="008A2546">
        <w:rPr>
          <w:rFonts w:hint="eastAsia"/>
        </w:rPr>
        <w:instrText>·</w:instrText>
      </w:r>
      <w:r w:rsidR="008A2546">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sidR="008A2546" w:rsidRPr="008A2546">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instrText xml:space="preserve"> ADDIN ZOTERO_ITEM CSL_CITATION {"citationID":"tnQIzrR7","properties":{"unsorted":true,"formattedCitation":"\\super 23\\uc0\\u8211{}29\\nosupersub{}","plainCitation":"23</w:instrText>
      </w:r>
      <w:r>
        <w:rPr>
          <w:rFonts w:hint="eastAsia"/>
        </w:rPr>
        <w:instrText>–</w:instrText>
      </w:r>
      <w:r>
        <w:instrText>29","noteIndex":0},"citationItems":[{"id":"xBKxukYt/LqgYeKfV","uris":["http://zotero.org/users/19404620/items/PZTYH8TA"],"itemData":{"id":"ypfACyAa/AopWnFJ7","type":"article-journal","container-title":"Journal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Pr>
          <w:rFonts w:hint="eastAsia"/>
        </w:rPr>
        <w:instrText>ć</w:instrText>
      </w:r>
      <w:r>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Pr>
          <w:rFonts w:hint="eastAsia"/>
        </w:rPr>
        <w:instrText>ć</w:instrText>
      </w:r>
      <w:r>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Pr>
          <w:rFonts w:ascii="Cambria Math" w:hAnsi="Cambria Math" w:cs="Cambria Math"/>
        </w:rPr>
        <w:instrText>≫</w:instrText>
      </w:r>
      <w:r>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Pr>
          <w:rFonts w:hint="eastAsia"/>
        </w:rPr>
        <w:instrText>í</w:instrText>
      </w:r>
      <w:r>
        <w:instrText>guez-Barrios","given":"F</w:instrText>
      </w:r>
      <w:r>
        <w:rPr>
          <w:rFonts w:hint="eastAsia"/>
        </w:rPr>
        <w:instrText>á</w:instrText>
      </w:r>
      <w:r>
        <w:instrText>tima"},{"family":"Balzarini","given":"Jan"},{"family":"Gago","given":"Federico"}],"issued":{"date-parts":[["2005",4,30]]}}},{"id":"xBKxukYt/dsC62nKx","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Pr>
          <w:rFonts w:hint="eastAsia"/>
        </w:rPr>
        <w:instrText>–</w:instrText>
      </w:r>
      <w:r>
        <w:instrText xml:space="preserve">829. </w:instrText>
      </w:r>
      <w:r>
        <w:rPr>
          <w:rFonts w:hint="eastAsia"/>
        </w:rPr>
        <w:instrText>©</w:instrText>
      </w:r>
      <w:r>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3FF9954F"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64E1BB6F"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7"/>
                    <a:stretch>
                      <a:fillRect/>
                    </a:stretch>
                  </pic:blipFill>
                  <pic:spPr>
                    <a:xfrm>
                      <a:off x="0" y="0"/>
                      <a:ext cx="5943600" cy="2712085"/>
                    </a:xfrm>
                    <a:prstGeom prst="rect">
                      <a:avLst/>
                    </a:prstGeom>
                  </pic:spPr>
                </pic:pic>
              </a:graphicData>
            </a:graphic>
          </wp:inline>
        </w:drawing>
      </w:r>
    </w:p>
    <w:p w14:paraId="42E072F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7A6EE7B" w14:textId="77777777" w:rsidR="008E233C" w:rsidRPr="008E233C" w:rsidRDefault="008E233C" w:rsidP="008E233C"/>
    <w:p w14:paraId="1A17B77B"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1AE6B883"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2041305D"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8"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9" w:history="1">
        <w:r>
          <w:rPr>
            <w:rStyle w:val="Hyperlink"/>
            <w:rFonts w:ascii="Times New Roman" w:hAnsi="Times New Roman"/>
            <w:szCs w:val="24"/>
          </w:rPr>
          <w:t>https://pubchem.ncbi.nlm.nih.gov/compound/Doravirine</w:t>
        </w:r>
      </w:hyperlink>
      <w:r>
        <w:t>) and rigidly aligned to the crystallographic ligand heavy atoms by least-squares superposition using the Kabsch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7FE93127"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300FAF69" w14:textId="77777777" w:rsidR="004260F0" w:rsidRPr="00E536AD" w:rsidRDefault="0045260D" w:rsidP="004260F0">
      <w:pPr>
        <w:pStyle w:val="TAMainText"/>
        <w:spacing w:after="240"/>
        <w:rPr>
          <w:rFonts w:ascii="Times New Roman" w:hAnsi="Times New Roman"/>
          <w:szCs w:val="24"/>
        </w:rPr>
      </w:pPr>
      <w:r>
        <w:t>Equilibrium MD simulations were performed with OpenMM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OpenMM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OpenFF/SMIRNOFF template generator (openmmforcefields 0.16.0, OpenFF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w:t>
      </w:r>
      <w:r>
        <w:lastRenderedPageBreak/>
        <w:t>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64C92DED"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and 5,000 unrestrained iterations). Systems were then heated from 10 K to 300 K over 25 ps under NVT conditions. Production simulations were run at 300 K and 1 bar using the Langevin middle integrator, a 2 fs timestep, 1 ps</w:t>
      </w:r>
      <w:r>
        <w:rPr>
          <w:vertAlign w:val="superscript"/>
        </w:rPr>
        <w:t>−1</w:t>
      </w:r>
      <w:r>
        <w:t xml:space="preserve"> friction coefficient, and a Monte Carlo barostat with a 25-step coupling interval. State information was written every 2,000 integration steps. For downstream analysis, stripped protein-plus-ligand DCD trajectories were saved at approximately 200 evenly spaced frames per 100 ns production simulation.</w:t>
      </w:r>
    </w:p>
    <w:p w14:paraId="14F3D4B0"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69331384" w14:textId="77777777" w:rsidR="00C707F9" w:rsidRPr="00E536AD" w:rsidRDefault="004260F0" w:rsidP="00C707F9">
      <w:pPr>
        <w:pStyle w:val="TAMainText"/>
        <w:spacing w:after="240"/>
        <w:rPr>
          <w:rFonts w:ascii="Times New Roman" w:hAnsi="Times New Roman"/>
          <w:szCs w:val="24"/>
        </w:rPr>
      </w:pPr>
      <w:r>
        <w:t>Trajectory analyses were performed with MDAnalysis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MDTraj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678095E7" w14:textId="77777777" w:rsidR="00C707F9" w:rsidRPr="00E536AD" w:rsidRDefault="00C707F9" w:rsidP="00C707F9">
      <w:pPr>
        <w:pStyle w:val="TAMainText"/>
        <w:spacing w:after="240"/>
        <w:rPr>
          <w:rFonts w:ascii="Times New Roman" w:hAnsi="Times New Roman"/>
          <w:szCs w:val="24"/>
        </w:rPr>
      </w:pPr>
      <w:r>
        <w:t>DOR pose root mean squared deviation (RMSD) was computed after protein-pocket alignment from DOR heavy atoms relative to the crystallographic pose, and the DOR–RT center-of-mass distance as the separation between the center of mass of DOR and that of the protein. Residue–</w:t>
      </w:r>
      <w:r>
        <w:lastRenderedPageBreak/>
        <w:t>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4B03AEC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7553620"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4B0A530C"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620E300"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16B16991"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w:lastRenderedPageBreak/>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2F2BAF1A" w14:textId="77777777" w:rsidR="006E0AC1" w:rsidRPr="00E536AD" w:rsidRDefault="006E0AC1" w:rsidP="006E0AC1">
      <w:pPr>
        <w:pStyle w:val="TAMainText"/>
        <w:spacing w:after="240"/>
        <w:rPr>
          <w:rFonts w:ascii="Times New Roman" w:hAnsi="Times New Roman"/>
          <w:szCs w:val="24"/>
        </w:rPr>
      </w:pPr>
      <w:r>
        <w:t>and computed binding components as</w:t>
      </w:r>
    </w:p>
    <w:p w14:paraId="39E9409A"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44602AB6" w14:textId="481427A0" w:rsidR="00904E1B" w:rsidRPr="00E536AD" w:rsidRDefault="006E0AC1" w:rsidP="004260F0">
      <w:pPr>
        <w:pStyle w:val="TAMainText"/>
        <w:spacing w:after="240"/>
        <w:rPr>
          <w:rFonts w:ascii="Times New Roman" w:hAnsi="Times New Roman"/>
          <w:szCs w:val="24"/>
        </w:rPr>
      </w:pPr>
      <w:r>
        <w:t>Here, ∆E</w:t>
      </w:r>
      <w:r>
        <w:rPr>
          <w:vertAlign w:val="subscript"/>
        </w:rPr>
        <w:t>vdW</w:t>
      </w:r>
      <w:r>
        <w:t xml:space="preserve"> and ∆E</w:t>
      </w:r>
      <w:r>
        <w:rPr>
          <w:vertAlign w:val="subscript"/>
        </w:rPr>
        <w:t>elec</w:t>
      </w:r>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Onufriev-Bashford-Case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w:t>
      </w:r>
      <w:r w:rsidR="00DD322A">
        <w:t xml:space="preserve">artificial </w:t>
      </w:r>
      <w:r>
        <w:t xml:space="preserve">steric </w:t>
      </w:r>
      <w:r w:rsidR="009E0510">
        <w:t>clashes</w:t>
      </w:r>
      <w:r>
        <w:t xml:space="preserve">; minimization was run to convergence over 2,000 iterations. Replicate means are reported from 100 snapshots spaced evenly across the post-equilibration portion (final 75 ns) of each production trajectory. WT-referenced shifts were calculated as </w:t>
      </w:r>
    </w:p>
    <w:p w14:paraId="38536EF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73D5EF2C"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1455036"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B2310BF" w14:textId="77777777" w:rsidR="0014765A" w:rsidRPr="00E536AD" w:rsidRDefault="0014765A" w:rsidP="00E50017">
      <w:pPr>
        <w:pStyle w:val="TAMainText"/>
      </w:pPr>
      <w:r>
        <w:t>Our aim is to calculate the effect of each substitution on the DOR binding equilibrium,</w:t>
      </w:r>
    </w:p>
    <w:p w14:paraId="5B461CDE"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7DD4BB8A" w14:textId="77777777" w:rsidR="00432031" w:rsidRDefault="0014765A" w:rsidP="00E50017">
      <w:pPr>
        <w:pStyle w:val="TAMainText"/>
      </w:pPr>
      <w:r>
        <w:t>However, direct calculation of ∆G</w:t>
      </w:r>
      <w:r>
        <w:rPr>
          <w:vertAlign w:val="subscript"/>
        </w:rPr>
        <w:t>bind</w:t>
      </w:r>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2BCE544E" w14:textId="652B9D09" w:rsidR="009D3750" w:rsidRPr="00E536AD" w:rsidRDefault="0014765A" w:rsidP="00E50017">
      <w:pPr>
        <w:pStyle w:val="TAMainText"/>
      </w:pPr>
      <m:oMathPara>
        <m:oMath>
          <m:r>
            <m:rPr>
              <m:sty m:val="p"/>
            </m:rPr>
            <w:rPr>
              <w:rFonts w:ascii="Cambria Math" w:hAnsi="Cambria Math"/>
            </w:rPr>
            <w:lastRenderedPageBreak/>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584FE24" w14:textId="77777777" w:rsidR="00B6721E" w:rsidRPr="00E536AD" w:rsidRDefault="00B6721E" w:rsidP="00F5707E">
      <w:pPr>
        <w:pStyle w:val="NormalWeb"/>
        <w:spacing w:before="0" w:beforeAutospacing="0"/>
        <w:jc w:val="center"/>
      </w:pPr>
      <w:r>
        <w:rPr>
          <w:noProof/>
        </w:rPr>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0">
                      <a:extLst>
                        <a:ext uri="{96DAC541-7B7A-43D3-8B79-37D633B846F1}">
                          <asvg:svgBlip xmlns:asvg="http://schemas.microsoft.com/office/drawing/2016/SVG/main" r:embed="rId11"/>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A1681B1"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4C7A629B"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0E259F2A" w14:textId="77777777" w:rsidR="00E75C39" w:rsidRPr="00E536AD" w:rsidRDefault="00E75C39" w:rsidP="00E50017">
      <w:pPr>
        <w:pStyle w:val="TAMainText"/>
      </w:pPr>
      <w:r>
        <w:t xml:space="preserve">The free energy of each end state is related to its partition function by </w:t>
      </w:r>
    </w:p>
    <w:p w14:paraId="5457D357"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8539C94"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the Hamiltonian of the system at coupling parameter λ. Wild-type and mutant end states were connected by pmx hybrid residues (development branch),</w:t>
      </w:r>
      <w:r>
        <w:fldChar w:fldCharType="begin"/>
      </w:r>
      <w:r>
        <w:instrText xml:space="preserve"> ADDIN ZOTERO_ITEM CSL_CITATION {"citationID":"38VucYMR","properties":{"unsorted":false,"formattedCitation":"\\super 46\\nosupersub{}","plainCitation":"46","noteIndex":0},"citationItems":[{"id":273,"uris":["http://zotero.org/users/19404620/items/P4QQPRMC"],"itemData":{"id":273,"type":"article-journal","abstract":"Computational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Pr>
          <w:vertAlign w:val="superscript"/>
        </w:rPr>
        <w:t>46</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OpenFF 2.0.0 assignment and exported </w:t>
      </w:r>
      <w:r>
        <w:lastRenderedPageBreak/>
        <w:t>to GROMACS format through OpenFF Interchange 0.5.0. The hybrid Hamiltonian interpolates between the two physical end states,</w:t>
      </w:r>
    </w:p>
    <w:p w14:paraId="4AAAA9CA" w14:textId="77777777" w:rsidR="00E75C39" w:rsidRPr="00E536AD"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104083ED" w14:textId="77777777" w:rsidR="0014765A" w:rsidRPr="00E536AD" w:rsidRDefault="00E75C39" w:rsidP="00E50017">
      <w:pPr>
        <w:pStyle w:val="TAMainText"/>
      </w:pPr>
      <w:r>
        <w:t>with λ = 0 the wild type and λ = 1 the mutant residue. Hybrid systems were built in GROMACS 2023.1,</w:t>
      </w:r>
      <w:r>
        <w:fldChar w:fldCharType="begin"/>
      </w:r>
      <w:r>
        <w:instrText xml:space="preserve"> ADDIN ZOTERO_ITEM CSL_CITATION {"citationID":"BLHWYYFl","properties":{"unsorted":false,"formattedCitation":"\\super 47\\nosupersub{}","plainCitation":"47","noteIndex":0},"citationItems":[{"id":276,"uris":["http://zotero.org/users/19404620/items/TBLRHTLF"],"itemData":{"id":276,"type":"article-journal","abstract":"GROMACS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r>
      <w:r>
        <w:fldChar w:fldCharType="separate"/>
      </w:r>
      <w:r>
        <w:rPr>
          <w:vertAlign w:val="superscript"/>
        </w:rPr>
        <w:t>47</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instrText xml:space="preserve"> ADDIN ZOTERO_ITEM CSL_CITATION {"citationID":"1FfJh2e5","properties":{"unsorted":false,"formattedCitation":"\\super 48\\nosupersub{}","plainCitation":"48","noteIndex":0},"citationItems":[{"id":278,"uris":["http://zotero.org/users/19404620/items/2KSP6TK6"],"itemData":{"id":278,"type":"article-journal","abstract":"The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Pr>
          <w:vertAlign w:val="superscript"/>
        </w:rPr>
        <w:t>48</w:t>
      </w:r>
      <w:r>
        <w:fldChar w:fldCharType="end"/>
      </w:r>
      <w:r>
        <w:t xml:space="preserve"> Each replicate was seeded from the corresponding equilibrated MD starting structure.</w:t>
      </w:r>
    </w:p>
    <w:p w14:paraId="1611D0E6" w14:textId="77777777" w:rsidR="00E75C39" w:rsidRPr="00E536AD" w:rsidRDefault="00E75C39" w:rsidP="00E50017">
      <w:pPr>
        <w:pStyle w:val="TAMainText"/>
      </w:pPr>
      <w:r>
        <w:t>Non-equilibrium switching</w:t>
      </w:r>
      <w:r>
        <w:fldChar w:fldCharType="begin"/>
      </w:r>
      <w:r>
        <w:instrText xml:space="preserve"> ADDIN ZOTERO_ITEM CSL_CITATION {"citationID":"sRqAcJeQ","properties":{"unsorted":false,"formattedCitation":"\\super 49,50\\nosupersub{}","plainCitation":"49,50","noteIndex":0},"citationItems":[{"id":280,"uris":["http://zotero.org/users/19404620/items/B29ZBTET"],"itemData":{"id":280,"type":"article-journal","abstract":"An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Pr>
          <w:vertAlign w:val="superscript"/>
        </w:rPr>
        <w:t>49,50</w:t>
      </w:r>
      <w:r>
        <w:fldChar w:fldCharType="end"/>
      </w:r>
      <w:r>
        <w:t xml:space="preserve"> requires sampling only at the two physical end states. Each end state was minimized with the free-energy Hamiltonian active at that λ so that dummy atoms relax, warmed for 500 ps under a C-rescale barostat,</w:t>
      </w:r>
      <w:r>
        <w:fldChar w:fldCharType="begin"/>
      </w:r>
      <w:r>
        <w:instrText xml:space="preserve"> ADDIN ZOTERO_ITEM CSL_CITATION {"citationID":"g1dxHzMV","properties":{"unsorted":false,"formattedCitation":"\\super 51\\nosupersub{}","plainCitation":"51","noteIndex":0},"citationItems":[{"id":286,"uris":["http://zotero.org/users/19404620/items/KHLJJE3I"],"itemData":{"id":286,"type":"article-journal","abstract":"Molecular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Pr>
          <w:vertAlign w:val="superscript"/>
        </w:rPr>
        <w:t>51</w:t>
      </w:r>
      <w:r>
        <w:fldChar w:fldCharType="end"/>
      </w:r>
      <w:r>
        <w:t xml:space="preserve"> and then sampled for 5 ns at 300 K and 1 bar with velocity-rescaling temperature coupling and a Parrinello-Rahman barostat. From each end-state trajectory, 100 evenly spaced frames were extracted after discarding the first 100 ps; each seeded an independent simulation in which λ was driven linearly to the opposite end state, giving 100 forward and 100 reverse work values per phase per replicate. The work accumulated along each switch is</w:t>
      </w:r>
    </w:p>
    <w:p w14:paraId="4487CB11"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88617E7" w14:textId="77777777" w:rsidR="00E75C39" w:rsidRPr="00E536AD" w:rsidRDefault="00E75C39" w:rsidP="00E50017">
      <w:pPr>
        <w:pStyle w:val="TAMainText"/>
      </w:pPr>
      <w:r>
        <w:t>Switching times were 100 ps, or 500 ps for legs with widely separated forward and reverse work distributions (e.g. charge-changing WT→K103N leg inherited by the K103N-containing genotypes); control runs on neutral legs gave ∆G values invariant to switching time.</w:t>
      </w:r>
    </w:p>
    <w:p w14:paraId="3B4FD2C2" w14:textId="77777777"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instrText xml:space="preserve"> ADDIN ZOTERO_ITEM CSL_CITATION {"citationID":"BjgPcEXs","properties":{"unsorted":false,"formattedCitation":"\\super 49\\nosupersub{}","plainCitation":"49","noteIndex":0},"citationItems":[{"id":280,"uris":["http://zotero.org/users/19404620/items/B29ZBTET"],"itemData":{"id":280,"type":"article-journal","abstract":"An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Pr>
          <w:vertAlign w:val="superscript"/>
        </w:rPr>
        <w:t>49</w:t>
      </w:r>
      <w:r>
        <w:fldChar w:fldCharType="end"/>
      </w:r>
      <w:r>
        <w:t xml:space="preserve"> relates the two:</w:t>
      </w:r>
    </w:p>
    <w:p w14:paraId="00552E27"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5ED84131" w14:textId="77777777" w:rsidR="00E75C39" w:rsidRPr="00E536AD" w:rsidRDefault="00FE75D4" w:rsidP="00E50017">
      <w:pPr>
        <w:pStyle w:val="TAMainText"/>
      </w:pPr>
      <w:r>
        <w:t>while the Crooks fluctuation theorem</w:t>
      </w:r>
      <w:r>
        <w:fldChar w:fldCharType="begin"/>
      </w:r>
      <w:r>
        <w:instrText xml:space="preserve"> ADDIN ZOTERO_ITEM CSL_CITATION {"citationID":"RVpkaJiG","properties":{"unsorted":false,"formattedCitation":"\\super 50\\nosupersub{}","plainCitation":"50","noteIndex":0},"citationItems":[{"id":283,"uris":["http://zotero.org/users/19404620/items/WZDHYTP8"],"itemData":{"id":283,"type":"article-journal","abstract":"There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Pr>
          <w:vertAlign w:val="superscript"/>
        </w:rPr>
        <w:t>50</w:t>
      </w:r>
      <w:r>
        <w:fldChar w:fldCharType="end"/>
      </w:r>
      <w:r>
        <w:t xml:space="preserve"> relates the forward and reverse work distributions P</w:t>
      </w:r>
      <w:r>
        <w:rPr>
          <w:vertAlign w:val="subscript"/>
        </w:rPr>
        <w:t>F</w:t>
      </w:r>
      <w:r>
        <w:t>(W) and P</w:t>
      </w:r>
      <w:r>
        <w:rPr>
          <w:vertAlign w:val="subscript"/>
        </w:rPr>
        <w:t>R</w:t>
      </w:r>
      <w:r>
        <w:t>(W):</w:t>
      </w:r>
    </w:p>
    <w:p w14:paraId="2949E964"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138B7B78" w14:textId="77777777" w:rsidR="001719C5" w:rsidRPr="00E536AD" w:rsidRDefault="001719C5" w:rsidP="00DD2D9A">
      <w:pPr>
        <w:pStyle w:val="TAMainText"/>
      </w:pPr>
      <w:r>
        <w:t>The maximum-likelihood estimate of ∆G from the above theorem is the Bennett acceptance ratio.</w:t>
      </w:r>
      <w:r>
        <w:fldChar w:fldCharType="begin"/>
      </w:r>
      <w:r>
        <w:instrText xml:space="preserve"> ADDIN ZOTERO_ITEM CSL_CITATION {"citationID":"xyDqDfup","properties":{"unsorted":false,"formattedCitation":"\\super 52\\nosupersub{}","plainCitation":"52","noteIndex":0},"citationItems":[{"id":289,"uris":["http://zotero.org/users/19404620/items/DLL2VZVI"],"itemData":{"id":289,"type":"article-journal","abstract":"Near-optimal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Pr>
          <w:vertAlign w:val="superscript"/>
        </w:rPr>
        <w:t>52</w:t>
      </w:r>
      <w:r>
        <w:fldChar w:fldCharType="end"/>
      </w:r>
      <w:r>
        <w:t xml:space="preserve"> For equal number of forward and reverse switches (n</w:t>
      </w:r>
      <w:r>
        <w:rPr>
          <w:vertAlign w:val="subscript"/>
        </w:rPr>
        <w:t xml:space="preserve">F </w:t>
      </w:r>
      <w:r>
        <w:t>= n</w:t>
      </w:r>
      <w:r>
        <w:rPr>
          <w:vertAlign w:val="subscript"/>
        </w:rPr>
        <w:t>R</w:t>
      </w:r>
      <w:r>
        <w:t xml:space="preserve"> =100 here), ∆G is the value satisfying the self-consistent equation</w:t>
      </w:r>
    </w:p>
    <w:p w14:paraId="690C71C6"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1D75A833" w14:textId="77777777" w:rsidR="001B09BA" w:rsidRPr="00E536AD" w:rsidRDefault="001719C5" w:rsidP="00A3640F">
      <w:pPr>
        <w:pStyle w:val="TAMainText"/>
      </w:pPr>
      <w:r>
        <w:t xml:space="preserve">Free energies were estimated from the above equation as implemented in pmx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instrText xml:space="preserve"> ADDIN ZOTERO_ITEM CSL_CITATION {"citationID":"32E8oipi","properties":{"unsorted":false,"formattedCitation":"\\super 53\\nosupersub{}","plainCitation":"53","noteIndex":0},"citationItems":[{"id":291,"uris":["http://zotero.org/users/19404620/items/AM8GLI8P"],"itemData":{"id":291,"type":"article-journal","abstract":"The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r>
      <w:r>
        <w:fldChar w:fldCharType="separate"/>
      </w:r>
      <w:r>
        <w:rPr>
          <w:vertAlign w:val="superscript"/>
        </w:rPr>
        <w:t>53</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45C27C40" w14:textId="77777777" w:rsidR="00D53F77" w:rsidRPr="00E536AD" w:rsidRDefault="00D53F77" w:rsidP="00D53F77">
      <w:pPr>
        <w:pStyle w:val="TAMainText"/>
        <w:rPr>
          <w:rFonts w:ascii="Times New Roman" w:hAnsi="Times New Roman"/>
          <w:szCs w:val="24"/>
        </w:rPr>
      </w:pPr>
      <w:r>
        <w:rPr>
          <w:b/>
          <w:bCs/>
          <w:u w:val="single"/>
        </w:rPr>
        <w:t>Statistical analysis</w:t>
      </w:r>
    </w:p>
    <w:p w14:paraId="51258747" w14:textId="77777777" w:rsidR="00D53F77" w:rsidRDefault="00D53F77" w:rsidP="00C06CDC">
      <w:pPr>
        <w:pStyle w:val="TAMainText"/>
        <w:spacing w:after="240"/>
      </w:pPr>
      <w:r>
        <w:t xml:space="preserve">Associations between the computed energies and phenotype were assessed by ordinary least-squares regression against log₁₀-transformed fold-change in susceptibility, reported as the coefficient of determination R² with the two-sided p-value for a non-zero slope </w:t>
      </w:r>
      <w:r>
        <w:lastRenderedPageBreak/>
        <w:t>(scipy.stats.linregress). Given the small size of the panel, these statistics are reported as descriptive effect sizes rather than as hypothesis tests, and no correction for multiple comparisons was applied.</w:t>
      </w:r>
    </w:p>
    <w:p w14:paraId="27C39B71" w14:textId="77777777" w:rsidR="00766EBA" w:rsidRPr="00E536AD" w:rsidRDefault="00766EBA" w:rsidP="00C06CDC">
      <w:pPr>
        <w:pStyle w:val="TAMainText"/>
        <w:spacing w:after="240"/>
        <w:rPr>
          <w:rFonts w:ascii="Times New Roman" w:hAnsi="Times New Roman"/>
          <w:szCs w:val="24"/>
        </w:rPr>
      </w:pPr>
    </w:p>
    <w:p w14:paraId="162F0011"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242240A1"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511619A8"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57E33293"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21804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2E7166D6"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4F82EC65"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2" w:history="1">
        <w:r>
          <w:rPr>
            <w:rStyle w:val="Hyperlink"/>
            <w:rFonts w:ascii="Times New Roman" w:hAnsi="Times New Roman"/>
            <w:szCs w:val="24"/>
          </w:rPr>
          <w:t>https://hivdb.stanford.edu/</w:t>
        </w:r>
      </w:hyperlink>
      <w:r>
        <w:t xml:space="preserve">). These susceptibility data were derived from assays performed using </w:t>
      </w:r>
      <w:r>
        <w:lastRenderedPageBreak/>
        <w:t xml:space="preserve">the Monogram PhenoSense assay and the relatively similar Merck reporter-gene assay. Isolates undergoing testing were either site-directed mutants or clinical isolates for which known NNRTI-resistance mutations were specified. </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44AFB71B" w14:textId="77777777" w:rsidTr="005A06D4">
        <w:trPr>
          <w:trHeight w:val="260"/>
        </w:trPr>
        <w:tc>
          <w:tcPr>
            <w:tcW w:w="9558" w:type="dxa"/>
            <w:gridSpan w:val="6"/>
            <w:tcBorders>
              <w:bottom w:val="single" w:sz="4" w:space="0" w:color="auto"/>
            </w:tcBorders>
          </w:tcPr>
          <w:p w14:paraId="6CB3B18F" w14:textId="77777777" w:rsidR="00BA0839" w:rsidRPr="003968DD" w:rsidRDefault="00BA0839" w:rsidP="005A06D4">
            <w:pPr>
              <w:pStyle w:val="TCTableBody"/>
              <w:rPr>
                <w:rFonts w:ascii="Times New Roman" w:hAnsi="Times New Roman"/>
                <w:b/>
                <w:bCs/>
                <w:color w:val="000000"/>
                <w:sz w:val="22"/>
                <w:szCs w:val="22"/>
              </w:rPr>
            </w:pPr>
            <w:r>
              <w:rPr>
                <w:b/>
                <w:bCs/>
                <w:color w:val="000000"/>
                <w:sz w:val="22"/>
                <w:szCs w:val="22"/>
              </w:rPr>
              <w:t>Table 1. Fold-change in DOR susceptibility associated with selected genotypes</w:t>
            </w:r>
          </w:p>
        </w:tc>
      </w:tr>
      <w:tr w:rsidR="00BA0839" w:rsidRPr="00E536AD" w14:paraId="2F61D6EA" w14:textId="77777777" w:rsidTr="005A06D4">
        <w:trPr>
          <w:trHeight w:val="539"/>
        </w:trPr>
        <w:tc>
          <w:tcPr>
            <w:tcW w:w="1206" w:type="dxa"/>
            <w:tcBorders>
              <w:top w:val="single" w:sz="4" w:space="0" w:color="auto"/>
              <w:bottom w:val="single" w:sz="4" w:space="0" w:color="auto"/>
            </w:tcBorders>
            <w:hideMark/>
          </w:tcPr>
          <w:p w14:paraId="24105FE6"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233BD346"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4924DA4E"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25D7ACD1"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5E0D968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4A54B99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2B57EA09" w14:textId="77777777" w:rsidTr="005A06D4">
        <w:trPr>
          <w:trHeight w:val="340"/>
        </w:trPr>
        <w:tc>
          <w:tcPr>
            <w:tcW w:w="1206" w:type="dxa"/>
            <w:vMerge w:val="restart"/>
            <w:tcBorders>
              <w:top w:val="single" w:sz="4" w:space="0" w:color="auto"/>
            </w:tcBorders>
            <w:vAlign w:val="center"/>
            <w:hideMark/>
          </w:tcPr>
          <w:p w14:paraId="577E93CA"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DF8A2D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368C18F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37A706D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DBF102C"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45DC3130" w14:textId="31B7A01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580E0E">
              <w:rPr>
                <w:color w:val="000000"/>
                <w:sz w:val="22"/>
                <w:szCs w:val="22"/>
              </w:rPr>
              <w:instrText xml:space="preserve"> ADDIN ZOTERO_ITEM CSL_CITATION {"citationID":"du2T48Z8","properties":{"unsorted":false,"formattedCitation":"\\super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54</w:t>
            </w:r>
            <w:r>
              <w:rPr>
                <w:color w:val="000000"/>
                <w:sz w:val="22"/>
                <w:szCs w:val="22"/>
              </w:rPr>
              <w:fldChar w:fldCharType="end"/>
            </w:r>
          </w:p>
        </w:tc>
      </w:tr>
      <w:tr w:rsidR="00BA0839" w:rsidRPr="00E536AD" w14:paraId="03E5EB02" w14:textId="77777777" w:rsidTr="005A06D4">
        <w:trPr>
          <w:trHeight w:val="340"/>
        </w:trPr>
        <w:tc>
          <w:tcPr>
            <w:tcW w:w="1206" w:type="dxa"/>
            <w:vMerge/>
            <w:hideMark/>
          </w:tcPr>
          <w:p w14:paraId="66BA2ED0" w14:textId="77777777" w:rsidR="00BA0839" w:rsidRPr="003968DD" w:rsidRDefault="00BA0839" w:rsidP="005A06D4">
            <w:pPr>
              <w:rPr>
                <w:rFonts w:ascii="Times New Roman" w:hAnsi="Times New Roman"/>
                <w:color w:val="000000"/>
                <w:sz w:val="22"/>
                <w:szCs w:val="22"/>
              </w:rPr>
            </w:pPr>
          </w:p>
        </w:tc>
        <w:tc>
          <w:tcPr>
            <w:tcW w:w="1648" w:type="dxa"/>
            <w:hideMark/>
          </w:tcPr>
          <w:p w14:paraId="0FA2CFB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74072D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257D41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0E71439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2A39BBCA" w14:textId="5DD53E55"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75F5187" w14:textId="77777777" w:rsidTr="005A06D4">
        <w:trPr>
          <w:trHeight w:val="340"/>
        </w:trPr>
        <w:tc>
          <w:tcPr>
            <w:tcW w:w="1206" w:type="dxa"/>
            <w:vMerge/>
            <w:hideMark/>
          </w:tcPr>
          <w:p w14:paraId="26756F2A" w14:textId="77777777" w:rsidR="00BA0839" w:rsidRPr="003968DD" w:rsidRDefault="00BA0839" w:rsidP="005A06D4">
            <w:pPr>
              <w:rPr>
                <w:rFonts w:ascii="Times New Roman" w:hAnsi="Times New Roman"/>
                <w:color w:val="000000"/>
                <w:sz w:val="22"/>
                <w:szCs w:val="22"/>
              </w:rPr>
            </w:pPr>
          </w:p>
        </w:tc>
        <w:tc>
          <w:tcPr>
            <w:tcW w:w="1648" w:type="dxa"/>
            <w:hideMark/>
          </w:tcPr>
          <w:p w14:paraId="023664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7BA7CB6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6F3372C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3C83C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3CF6B97" w14:textId="222D3A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6C3D663" w14:textId="77777777" w:rsidTr="005A06D4">
        <w:trPr>
          <w:trHeight w:val="359"/>
        </w:trPr>
        <w:tc>
          <w:tcPr>
            <w:tcW w:w="1206" w:type="dxa"/>
            <w:vMerge/>
            <w:tcBorders>
              <w:bottom w:val="single" w:sz="4" w:space="0" w:color="auto"/>
            </w:tcBorders>
            <w:hideMark/>
          </w:tcPr>
          <w:p w14:paraId="7EC7816E"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46BD4D8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754E5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3F0773C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1BF239F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36A799CB" w14:textId="51650F21"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4E079204" w14:textId="77777777" w:rsidTr="005A06D4">
        <w:trPr>
          <w:trHeight w:val="340"/>
        </w:trPr>
        <w:tc>
          <w:tcPr>
            <w:tcW w:w="1206" w:type="dxa"/>
            <w:vMerge w:val="restart"/>
            <w:tcBorders>
              <w:top w:val="single" w:sz="4" w:space="0" w:color="auto"/>
            </w:tcBorders>
            <w:vAlign w:val="center"/>
            <w:hideMark/>
          </w:tcPr>
          <w:p w14:paraId="32048568"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727EC0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3B625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7DBD00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C8D71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1F1383E" w14:textId="05A2B70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580E0E">
              <w:rPr>
                <w:color w:val="000000"/>
                <w:sz w:val="22"/>
                <w:szCs w:val="22"/>
              </w:rPr>
              <w:instrText xml:space="preserve"> ADDIN ZOTERO_ITEM CSL_CITATION {"citationID":"EX1gvYm7","properties":{"unsorted":false,"formattedCitation":"\\super 55\\nosupersub{}","plainCitation":"55","noteIndex":0},"citationItems":[{"id":131,"uris":["http://zotero.org/users/19404620/items/B8KKE9VH"],"itemData":{"id":131,"type":"article-journal","abstract":"Clinical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580E0E">
              <w:rPr>
                <w:rFonts w:hint="eastAsia"/>
                <w:color w:val="000000"/>
                <w:sz w:val="22"/>
                <w:szCs w:val="22"/>
              </w:rPr>
              <w:instrText>–</w:instrText>
            </w:r>
            <w:r w:rsidR="00580E0E">
              <w:rPr>
                <w:color w:val="000000"/>
                <w:sz w:val="22"/>
                <w:szCs w:val="22"/>
              </w:rPr>
              <w:instrText>96.7%) than to etravirine (91.5%), rilpivirine (89.5%), efavirenz (81.5%), or nevirapine (77.5%). Based on a 3-fold cutoff, doravirine susceptibility was retained in 44.7</w:instrText>
            </w:r>
            <w:r w:rsidR="00580E0E">
              <w:rPr>
                <w:rFonts w:hint="eastAsia"/>
                <w:color w:val="000000"/>
                <w:sz w:val="22"/>
                <w:szCs w:val="22"/>
              </w:rPr>
              <w:instrText>–</w:instrText>
            </w:r>
            <w:r w:rsidR="00580E0E">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55</w:t>
            </w:r>
            <w:r>
              <w:rPr>
                <w:color w:val="000000"/>
                <w:sz w:val="22"/>
                <w:szCs w:val="22"/>
              </w:rPr>
              <w:fldChar w:fldCharType="end"/>
            </w:r>
          </w:p>
        </w:tc>
      </w:tr>
      <w:tr w:rsidR="00BA0839" w:rsidRPr="00E536AD" w14:paraId="60204ACF" w14:textId="77777777" w:rsidTr="005A06D4">
        <w:trPr>
          <w:trHeight w:val="340"/>
        </w:trPr>
        <w:tc>
          <w:tcPr>
            <w:tcW w:w="1206" w:type="dxa"/>
            <w:vMerge/>
            <w:hideMark/>
          </w:tcPr>
          <w:p w14:paraId="13798816" w14:textId="77777777" w:rsidR="00BA0839" w:rsidRPr="003968DD" w:rsidRDefault="00BA0839" w:rsidP="005A06D4">
            <w:pPr>
              <w:rPr>
                <w:rFonts w:ascii="Times New Roman" w:hAnsi="Times New Roman"/>
                <w:color w:val="000000"/>
                <w:sz w:val="22"/>
                <w:szCs w:val="22"/>
              </w:rPr>
            </w:pPr>
          </w:p>
        </w:tc>
        <w:tc>
          <w:tcPr>
            <w:tcW w:w="1648" w:type="dxa"/>
            <w:hideMark/>
          </w:tcPr>
          <w:p w14:paraId="3866654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4B48DC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52D6343" w14:textId="422C3E2E"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7945EB0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0A57A9F8" w14:textId="3CD65D6F"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sidR="008A2546">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color w:val="000000"/>
                <w:sz w:val="22"/>
                <w:szCs w:val="22"/>
              </w:rPr>
              <w:instrText>×</w:instrText>
            </w:r>
            <w:r w:rsidR="008A2546">
              <w:rPr>
                <w:color w:val="000000"/>
                <w:sz w:val="22"/>
                <w:szCs w:val="22"/>
              </w:rPr>
              <w:instrText xml:space="preserve"> EC95) to 1,000</w:instrText>
            </w:r>
            <w:r w:rsidR="008A2546">
              <w:rPr>
                <w:rFonts w:hint="eastAsia"/>
                <w:color w:val="000000"/>
                <w:sz w:val="22"/>
                <w:szCs w:val="22"/>
              </w:rPr>
              <w:instrText>×</w:instrText>
            </w:r>
            <w:r w:rsidR="008A2546">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1CDCFF00" w14:textId="77777777" w:rsidTr="005A06D4">
        <w:trPr>
          <w:trHeight w:val="340"/>
        </w:trPr>
        <w:tc>
          <w:tcPr>
            <w:tcW w:w="1206" w:type="dxa"/>
            <w:vMerge/>
            <w:hideMark/>
          </w:tcPr>
          <w:p w14:paraId="51E2DE7C" w14:textId="77777777" w:rsidR="00BA0839" w:rsidRPr="003968DD" w:rsidRDefault="00BA0839" w:rsidP="005A06D4">
            <w:pPr>
              <w:rPr>
                <w:rFonts w:ascii="Times New Roman" w:hAnsi="Times New Roman"/>
                <w:color w:val="000000"/>
                <w:sz w:val="22"/>
                <w:szCs w:val="22"/>
              </w:rPr>
            </w:pPr>
          </w:p>
        </w:tc>
        <w:tc>
          <w:tcPr>
            <w:tcW w:w="1648" w:type="dxa"/>
            <w:hideMark/>
          </w:tcPr>
          <w:p w14:paraId="077E1B7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0BF10E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39CFF07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79498D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5D4B97F" w14:textId="6AEBC4E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{"citationID":"A8Oinhsw","properties":{"unsorted":false,"formattedCitation":"\\super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p>
        </w:tc>
      </w:tr>
      <w:tr w:rsidR="00BA0839" w:rsidRPr="00E536AD" w14:paraId="25920E86" w14:textId="77777777" w:rsidTr="005A06D4">
        <w:trPr>
          <w:trHeight w:val="340"/>
        </w:trPr>
        <w:tc>
          <w:tcPr>
            <w:tcW w:w="1206" w:type="dxa"/>
            <w:vMerge/>
            <w:hideMark/>
          </w:tcPr>
          <w:p w14:paraId="652F6FE0" w14:textId="77777777" w:rsidR="00BA0839" w:rsidRPr="003968DD" w:rsidRDefault="00BA0839" w:rsidP="005A06D4">
            <w:pPr>
              <w:rPr>
                <w:rFonts w:ascii="Times New Roman" w:hAnsi="Times New Roman"/>
                <w:color w:val="000000"/>
                <w:sz w:val="22"/>
                <w:szCs w:val="22"/>
              </w:rPr>
            </w:pPr>
          </w:p>
        </w:tc>
        <w:tc>
          <w:tcPr>
            <w:tcW w:w="1648" w:type="dxa"/>
            <w:hideMark/>
          </w:tcPr>
          <w:p w14:paraId="67E3CC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291BBD9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284570B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0B02306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6E07353B" w14:textId="1D99F5C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{"citationID":"lcT7Ijjb","properties":{"unsorted":false,"formattedCitation":"\\super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p>
        </w:tc>
      </w:tr>
      <w:tr w:rsidR="00BA0839" w:rsidRPr="00E536AD" w14:paraId="5BC24F28" w14:textId="77777777" w:rsidTr="005A06D4">
        <w:trPr>
          <w:trHeight w:val="340"/>
        </w:trPr>
        <w:tc>
          <w:tcPr>
            <w:tcW w:w="1206" w:type="dxa"/>
            <w:vMerge/>
            <w:hideMark/>
          </w:tcPr>
          <w:p w14:paraId="6F43E858" w14:textId="77777777" w:rsidR="00BA0839" w:rsidRPr="003968DD" w:rsidRDefault="00BA0839" w:rsidP="005A06D4">
            <w:pPr>
              <w:rPr>
                <w:rFonts w:ascii="Times New Roman" w:hAnsi="Times New Roman"/>
                <w:color w:val="000000"/>
                <w:sz w:val="22"/>
                <w:szCs w:val="22"/>
              </w:rPr>
            </w:pPr>
          </w:p>
        </w:tc>
        <w:tc>
          <w:tcPr>
            <w:tcW w:w="1648" w:type="dxa"/>
            <w:hideMark/>
          </w:tcPr>
          <w:p w14:paraId="1B3564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6A61C3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43926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63912F8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53D98B50" w14:textId="6EB62A40"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580E0E">
              <w:rPr>
                <w:color w:val="000000"/>
                <w:sz w:val="22"/>
                <w:szCs w:val="22"/>
              </w:rPr>
              <w:instrText xml:space="preserve"> ADDIN ZOTERO_ITEM CSL_CITATION {"citationID":"nW736a0j","properties":{"unsorted":false,"formattedCitation":"\\super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54</w:t>
            </w:r>
            <w:r>
              <w:rPr>
                <w:color w:val="000000"/>
                <w:sz w:val="22"/>
                <w:szCs w:val="22"/>
              </w:rPr>
              <w:fldChar w:fldCharType="end"/>
            </w:r>
          </w:p>
        </w:tc>
      </w:tr>
      <w:tr w:rsidR="00BA0839" w:rsidRPr="00E536AD" w14:paraId="56A7212A" w14:textId="77777777" w:rsidTr="005A06D4">
        <w:trPr>
          <w:trHeight w:val="340"/>
        </w:trPr>
        <w:tc>
          <w:tcPr>
            <w:tcW w:w="1206" w:type="dxa"/>
            <w:vMerge/>
            <w:hideMark/>
          </w:tcPr>
          <w:p w14:paraId="48639C3B" w14:textId="77777777" w:rsidR="00BA0839" w:rsidRPr="003968DD" w:rsidRDefault="00BA0839" w:rsidP="005A06D4">
            <w:pPr>
              <w:rPr>
                <w:rFonts w:ascii="Times New Roman" w:hAnsi="Times New Roman"/>
                <w:color w:val="000000"/>
                <w:sz w:val="22"/>
                <w:szCs w:val="22"/>
              </w:rPr>
            </w:pPr>
          </w:p>
        </w:tc>
        <w:tc>
          <w:tcPr>
            <w:tcW w:w="1648" w:type="dxa"/>
            <w:hideMark/>
          </w:tcPr>
          <w:p w14:paraId="306D501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6CA62E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3E60AA1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D699A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7536DC5" w14:textId="0B43D53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580E0E">
              <w:rPr>
                <w:color w:val="000000"/>
                <w:sz w:val="22"/>
                <w:szCs w:val="22"/>
              </w:rPr>
              <w:instrText xml:space="preserve"> ADDIN ZOTERO_ITEM CSL_CITATION {"citationID":"iEuvspek","properties":{"unsorted":false,"formattedCitation":"\\super 57\\nosupersub{}","plainCitation":"57","noteIndex":0},"citationItems":[{"id":210,"uris":["http://zotero.org/users/19404620/items/JW4TMFXK"],"itemData":{"id":210,"type":"webpage","publisher":"22nd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57</w:t>
            </w:r>
            <w:r>
              <w:rPr>
                <w:color w:val="000000"/>
                <w:sz w:val="22"/>
                <w:szCs w:val="22"/>
              </w:rPr>
              <w:fldChar w:fldCharType="end"/>
            </w:r>
            <w:r>
              <w:rPr>
                <w:color w:val="000000"/>
                <w:sz w:val="22"/>
                <w:szCs w:val="22"/>
              </w:rPr>
              <w:t>; Lai et al (2018)</w:t>
            </w:r>
            <w:r>
              <w:rPr>
                <w:color w:val="000000"/>
                <w:sz w:val="22"/>
                <w:szCs w:val="22"/>
              </w:rPr>
              <w:fldChar w:fldCharType="begin"/>
            </w:r>
            <w:r w:rsidR="00580E0E">
              <w:rPr>
                <w:color w:val="000000"/>
                <w:sz w:val="22"/>
                <w:szCs w:val="22"/>
              </w:rPr>
              <w:instrText xml:space="preserve"> ADDIN ZOTERO_ITEM CSL_CITATION {"citationID":"r5HkVSPs","properties":{"unsorted":false,"formattedCitation":"\\super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r>
              <w:rPr>
                <w:color w:val="000000"/>
                <w:sz w:val="22"/>
                <w:szCs w:val="22"/>
              </w:rPr>
              <w:t>; Orkin et al (2026)</w:t>
            </w:r>
            <w:r>
              <w:rPr>
                <w:color w:val="000000"/>
                <w:sz w:val="22"/>
                <w:szCs w:val="22"/>
              </w:rPr>
              <w:fldChar w:fldCharType="begin"/>
            </w:r>
            <w:r w:rsidR="00580E0E">
              <w:rPr>
                <w:color w:val="000000"/>
                <w:sz w:val="22"/>
                <w:szCs w:val="22"/>
              </w:rPr>
              <w:instrText xml:space="preserve"> ADDIN ZOTERO_ITEM CSL_CITATION {"citationID":"VCuZmtqv","properties":{"unsorted":false,"formattedCitation":"\\super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54</w:t>
            </w:r>
            <w:r>
              <w:rPr>
                <w:color w:val="000000"/>
                <w:sz w:val="22"/>
                <w:szCs w:val="22"/>
              </w:rPr>
              <w:fldChar w:fldCharType="end"/>
            </w:r>
          </w:p>
        </w:tc>
      </w:tr>
      <w:tr w:rsidR="00BA0839" w:rsidRPr="00E536AD" w14:paraId="54AEDC42" w14:textId="77777777" w:rsidTr="005A06D4">
        <w:trPr>
          <w:trHeight w:val="340"/>
        </w:trPr>
        <w:tc>
          <w:tcPr>
            <w:tcW w:w="1206" w:type="dxa"/>
            <w:vMerge/>
            <w:hideMark/>
          </w:tcPr>
          <w:p w14:paraId="64B0392C" w14:textId="77777777" w:rsidR="00BA0839" w:rsidRPr="003968DD" w:rsidRDefault="00BA0839" w:rsidP="005A06D4">
            <w:pPr>
              <w:rPr>
                <w:rFonts w:ascii="Times New Roman" w:hAnsi="Times New Roman"/>
                <w:color w:val="000000"/>
                <w:sz w:val="22"/>
                <w:szCs w:val="22"/>
              </w:rPr>
            </w:pPr>
          </w:p>
        </w:tc>
        <w:tc>
          <w:tcPr>
            <w:tcW w:w="1648" w:type="dxa"/>
            <w:hideMark/>
          </w:tcPr>
          <w:p w14:paraId="578E42E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7AA2DD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26ACEC8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2FB51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0E7C6156" w14:textId="009525D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{"citationID":"y9MGbkL3","properties":{"unsorted":false,"formattedCitation":"\\super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r>
              <w:rPr>
                <w:color w:val="000000"/>
                <w:sz w:val="22"/>
                <w:szCs w:val="22"/>
              </w:rPr>
              <w:t>; Orkin et al (2026)</w:t>
            </w:r>
            <w:r>
              <w:rPr>
                <w:color w:val="000000"/>
                <w:sz w:val="22"/>
                <w:szCs w:val="22"/>
              </w:rPr>
              <w:fldChar w:fldCharType="begin"/>
            </w:r>
            <w:r w:rsidR="00580E0E">
              <w:rPr>
                <w:color w:val="000000"/>
                <w:sz w:val="22"/>
                <w:szCs w:val="22"/>
              </w:rPr>
              <w:instrText xml:space="preserve"> ADDIN ZOTERO_ITEM CSL_CITATION {"citationID":"AGv01cke","properties":{"unsorted":false,"formattedCitation":"\\super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54</w:t>
            </w:r>
            <w:r>
              <w:rPr>
                <w:color w:val="000000"/>
                <w:sz w:val="22"/>
                <w:szCs w:val="22"/>
              </w:rPr>
              <w:fldChar w:fldCharType="end"/>
            </w:r>
          </w:p>
        </w:tc>
      </w:tr>
      <w:tr w:rsidR="00BA0839" w:rsidRPr="00E536AD" w14:paraId="009854BD" w14:textId="77777777" w:rsidTr="005A06D4">
        <w:trPr>
          <w:trHeight w:val="386"/>
        </w:trPr>
        <w:tc>
          <w:tcPr>
            <w:tcW w:w="1206" w:type="dxa"/>
            <w:vMerge/>
            <w:hideMark/>
          </w:tcPr>
          <w:p w14:paraId="5344BCC6" w14:textId="77777777" w:rsidR="00BA0839" w:rsidRPr="003968DD" w:rsidRDefault="00BA0839" w:rsidP="005A06D4">
            <w:pPr>
              <w:rPr>
                <w:rFonts w:ascii="Times New Roman" w:hAnsi="Times New Roman"/>
                <w:color w:val="000000"/>
                <w:sz w:val="22"/>
                <w:szCs w:val="22"/>
              </w:rPr>
            </w:pPr>
          </w:p>
        </w:tc>
        <w:tc>
          <w:tcPr>
            <w:tcW w:w="1648" w:type="dxa"/>
            <w:hideMark/>
          </w:tcPr>
          <w:p w14:paraId="0F0AC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BA2D55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20DE17F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034AE1B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6AC0C6D2" w14:textId="5059A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sidR="008A2546">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color w:val="000000"/>
                <w:sz w:val="22"/>
                <w:szCs w:val="22"/>
              </w:rPr>
              <w:instrText>×</w:instrText>
            </w:r>
            <w:r w:rsidR="008A2546">
              <w:rPr>
                <w:color w:val="000000"/>
                <w:sz w:val="22"/>
                <w:szCs w:val="22"/>
              </w:rPr>
              <w:instrText xml:space="preserve"> EC95) to 1,000</w:instrText>
            </w:r>
            <w:r w:rsidR="008A2546">
              <w:rPr>
                <w:rFonts w:hint="eastAsia"/>
                <w:color w:val="000000"/>
                <w:sz w:val="22"/>
                <w:szCs w:val="22"/>
              </w:rPr>
              <w:instrText>×</w:instrText>
            </w:r>
            <w:r w:rsidR="008A2546">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580E0E">
              <w:rPr>
                <w:color w:val="000000"/>
                <w:sz w:val="22"/>
                <w:szCs w:val="22"/>
              </w:rPr>
              <w:instrText xml:space="preserve"> ADDIN ZOTERO_ITEM CSL_CITATION {"citationID":"jt8k6vke","properties":{"unsorted":false,"formattedCitation":"\\super 58\\nosupersub{}","plainCitation":"58","noteIndex":0},"citationItems":[{"id":212,"uris":["http://zotero.org/users/19404620/items/HLTMG9NM"],"itemData":{"id":212,"type":"article-journal","abstract":"Background:</w:instrText>
            </w:r>
            <w:r w:rsidR="00580E0E">
              <w:rPr>
                <w:rFonts w:hint="eastAsia"/>
                <w:color w:val="000000"/>
                <w:sz w:val="22"/>
                <w:szCs w:val="22"/>
              </w:rPr>
              <w:instrText> </w:instrText>
            </w:r>
            <w:r w:rsidR="00580E0E">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580E0E">
              <w:rPr>
                <w:rFonts w:hint="eastAsia"/>
                <w:color w:val="000000"/>
                <w:sz w:val="22"/>
                <w:szCs w:val="22"/>
              </w:rPr>
              <w:instrText>Å</w:instrText>
            </w:r>
            <w:r w:rsidR="00580E0E">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580E0E">
              <w:rPr>
                <w:rFonts w:hint="eastAsia"/>
                <w:color w:val="000000"/>
                <w:sz w:val="22"/>
                <w:szCs w:val="22"/>
              </w:rPr>
              <w:instrText> </w:instrText>
            </w:r>
            <w:r w:rsidR="00580E0E">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580E0E">
              <w:rPr>
                <w:rFonts w:hint="eastAsia"/>
                <w:color w:val="000000"/>
                <w:sz w:val="22"/>
                <w:szCs w:val="22"/>
              </w:rPr>
              <w:instrText> </w:instrText>
            </w:r>
            <w:r w:rsidR="00580E0E">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580E0E">
              <w:rPr>
                <w:rFonts w:hint="eastAsia"/>
                <w:color w:val="000000"/>
                <w:sz w:val="22"/>
                <w:szCs w:val="22"/>
              </w:rPr>
              <w:instrText> </w:instrText>
            </w:r>
            <w:r w:rsidR="00580E0E">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58</w:t>
            </w:r>
            <w:r>
              <w:rPr>
                <w:color w:val="000000"/>
                <w:sz w:val="22"/>
                <w:szCs w:val="22"/>
              </w:rPr>
              <w:fldChar w:fldCharType="end"/>
            </w:r>
          </w:p>
        </w:tc>
      </w:tr>
      <w:tr w:rsidR="00BA0839" w:rsidRPr="00E536AD" w14:paraId="6D9187D7" w14:textId="77777777" w:rsidTr="005A06D4">
        <w:trPr>
          <w:trHeight w:val="386"/>
        </w:trPr>
        <w:tc>
          <w:tcPr>
            <w:tcW w:w="1206" w:type="dxa"/>
            <w:tcBorders>
              <w:bottom w:val="single" w:sz="4" w:space="0" w:color="auto"/>
            </w:tcBorders>
          </w:tcPr>
          <w:p w14:paraId="6EF79719"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2B6C7C04"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7BDE73E6"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0114594"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51A6FE61"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0E79B13F" w14:textId="4E3882A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{"citationID":"0N5BrjjB","properties":{"unsorted":false,"formattedCitation":"\\super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p>
        </w:tc>
      </w:tr>
      <w:tr w:rsidR="00BA0839" w:rsidRPr="00E536AD" w14:paraId="373FE016" w14:textId="77777777" w:rsidTr="005A06D4">
        <w:trPr>
          <w:trHeight w:val="340"/>
        </w:trPr>
        <w:tc>
          <w:tcPr>
            <w:tcW w:w="1206" w:type="dxa"/>
            <w:vMerge w:val="restart"/>
            <w:tcBorders>
              <w:top w:val="single" w:sz="4" w:space="0" w:color="auto"/>
            </w:tcBorders>
            <w:vAlign w:val="center"/>
            <w:hideMark/>
          </w:tcPr>
          <w:p w14:paraId="031527AA"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5D9F4F1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43AA17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6F4AC05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1C114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0735D52D" w14:textId="57378A71"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1DE754F" w14:textId="77777777" w:rsidTr="005A06D4">
        <w:trPr>
          <w:trHeight w:val="467"/>
        </w:trPr>
        <w:tc>
          <w:tcPr>
            <w:tcW w:w="1206" w:type="dxa"/>
            <w:vMerge/>
            <w:hideMark/>
          </w:tcPr>
          <w:p w14:paraId="288483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EB3123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36CDA59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A573A5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F6638A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1F985415" w14:textId="467F6DB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3053C9" w14:textId="77777777" w:rsidTr="005A06D4">
        <w:trPr>
          <w:trHeight w:val="521"/>
        </w:trPr>
        <w:tc>
          <w:tcPr>
            <w:tcW w:w="1206" w:type="dxa"/>
            <w:vMerge/>
            <w:hideMark/>
          </w:tcPr>
          <w:p w14:paraId="3E471CB5"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492530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32CC5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6423EAE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50F865C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646581C5" w14:textId="084EC2D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EED43B6" w14:textId="77777777" w:rsidTr="005A06D4">
        <w:trPr>
          <w:trHeight w:val="350"/>
        </w:trPr>
        <w:tc>
          <w:tcPr>
            <w:tcW w:w="1206" w:type="dxa"/>
            <w:vMerge/>
            <w:hideMark/>
          </w:tcPr>
          <w:p w14:paraId="4A0B0B1A"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24B5D06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6E0968E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7A09F2B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AB1CC2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41F27E8A" w14:textId="221F1E81"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093DF5F" w14:textId="77777777" w:rsidTr="005A06D4">
        <w:trPr>
          <w:trHeight w:val="350"/>
        </w:trPr>
        <w:tc>
          <w:tcPr>
            <w:tcW w:w="1206" w:type="dxa"/>
            <w:vMerge/>
            <w:tcBorders>
              <w:bottom w:val="single" w:sz="4" w:space="0" w:color="auto"/>
            </w:tcBorders>
          </w:tcPr>
          <w:p w14:paraId="3F4B4CD9"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6CFEF5B"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321E5DB0"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51FCE46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6DD43257"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09C2068" w14:textId="581C268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{"citationID":"clMt889n","properties":{"unsorted":false,"formattedCitation":"\\super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p>
        </w:tc>
      </w:tr>
    </w:tbl>
    <w:p w14:paraId="43ECEBB8" w14:textId="77777777" w:rsidR="000E15E2" w:rsidRPr="00E536AD" w:rsidRDefault="000E15E2" w:rsidP="000E15E2">
      <w:pPr>
        <w:rPr>
          <w:rFonts w:ascii="Times New Roman" w:hAnsi="Times New Roman"/>
        </w:rPr>
      </w:pPr>
    </w:p>
    <w:p w14:paraId="731BDD9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0F12244F"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4607B4CE" w14:textId="58924B20"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580E0E">
        <w:instrText xml:space="preserve"> ADDIN ZOTERO_ITEM CSL_CITATION {"citationID":"7g77Zrf7","properties":{"unsorted":false,"formattedCitation":"\\super 59\\nosupersub{}","plainCitation":"59","noteIndex":0},"citationItems":[{"id":314,"uris":["http://zotero.org/users/19404620/items/IZKA6784"],"itemData":{"id":314,"type":"article-journal","abstract":"Single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580E0E" w:rsidRPr="00580E0E">
        <w:rPr>
          <w:rFonts w:cs="Mangal"/>
          <w:szCs w:val="24"/>
          <w:vertAlign w:val="superscript"/>
          <w:lang w:bidi="hi-IN"/>
        </w:rPr>
        <w:t>59</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30B00EF7"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∆∆G</w:t>
      </w:r>
      <w:r>
        <w:rPr>
          <w:vertAlign w:val="subscript"/>
        </w:rPr>
        <w:t>bind</w:t>
      </w:r>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(∆∆E</w:t>
      </w:r>
      <w:r>
        <w:rPr>
          <w:vertAlign w:val="subscript"/>
        </w:rPr>
        <w:t>Total</w:t>
      </w:r>
      <w:r>
        <w:t xml:space="preserve">) and for four individual energy </w:t>
      </w:r>
      <w:r>
        <w:lastRenderedPageBreak/>
        <w:t>components: van der Waals (∆∆E</w:t>
      </w:r>
      <w:r>
        <w:rPr>
          <w:vertAlign w:val="subscript"/>
        </w:rPr>
        <w:t>vdW</w:t>
      </w:r>
      <w:r>
        <w:t>), electrostatic (∆∆E</w:t>
      </w:r>
      <w:r>
        <w:rPr>
          <w:vertAlign w:val="subscript"/>
        </w:rPr>
        <w:t>elec</w:t>
      </w:r>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∆∆G</w:t>
      </w:r>
      <w:r>
        <w:rPr>
          <w:vertAlign w:val="subscript"/>
        </w:rPr>
        <w:t>bind</w:t>
      </w:r>
      <w:r>
        <w:t xml:space="preserve"> or ∆∆E</w:t>
      </w:r>
      <w:r>
        <w:rPr>
          <w:vertAlign w:val="subscript"/>
        </w:rPr>
        <w:t>Total</w:t>
      </w:r>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6D3AE22F"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3"/>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∆∆G</w:t>
      </w:r>
      <w:r>
        <w:rPr>
          <w:b/>
          <w:bCs/>
          <w:sz w:val="22"/>
          <w:szCs w:val="18"/>
          <w:vertAlign w:val="subscript"/>
        </w:rPr>
        <w:t>bind</w:t>
      </w:r>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w:t>
      </w:r>
      <w:r>
        <w:rPr>
          <w:sz w:val="22"/>
          <w:szCs w:val="18"/>
        </w:rPr>
        <w:lastRenderedPageBreak/>
        <w:t xml:space="preserve">(red)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∆∆G</w:t>
      </w:r>
      <w:r>
        <w:rPr>
          <w:sz w:val="22"/>
          <w:szCs w:val="18"/>
          <w:vertAlign w:val="subscript"/>
        </w:rPr>
        <w:t>bind</w:t>
      </w:r>
      <w:r>
        <w:rPr>
          <w:sz w:val="22"/>
          <w:szCs w:val="18"/>
        </w:rPr>
        <w:t>, computed using this protocol plotted against median DOR fold-reduction values for each genotype. Error bars denote standard errors of the mean across triplicates.</w:t>
      </w:r>
    </w:p>
    <w:p w14:paraId="070417B8"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430E9DDF"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58930BD8" w14:textId="77777777" w:rsidTr="005F306B">
        <w:trPr>
          <w:trHeight w:val="539"/>
        </w:trPr>
        <w:tc>
          <w:tcPr>
            <w:tcW w:w="1260" w:type="dxa"/>
            <w:tcBorders>
              <w:top w:val="single" w:sz="4" w:space="0" w:color="auto"/>
              <w:bottom w:val="single" w:sz="4" w:space="0" w:color="auto"/>
            </w:tcBorders>
            <w:hideMark/>
          </w:tcPr>
          <w:p w14:paraId="22CB5E69"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6EF1B94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A5E08E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Total</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14874DA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vdW</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5BB8039"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elec</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2532E226"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2C1AA4A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152C1E4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∆∆G</w:t>
            </w:r>
            <w:r>
              <w:rPr>
                <w:b/>
                <w:bCs/>
                <w:color w:val="000000"/>
                <w:sz w:val="22"/>
                <w:szCs w:val="22"/>
                <w:vertAlign w:val="subscript"/>
              </w:rPr>
              <w:t>bind</w:t>
            </w:r>
            <w:r>
              <w:rPr>
                <w:b/>
                <w:bCs/>
                <w:color w:val="000000"/>
                <w:sz w:val="22"/>
                <w:szCs w:val="22"/>
                <w:vertAlign w:val="superscript"/>
              </w:rPr>
              <w:t>**</w:t>
            </w:r>
            <w:r>
              <w:rPr>
                <w:b/>
                <w:bCs/>
                <w:color w:val="000000"/>
                <w:sz w:val="22"/>
                <w:szCs w:val="22"/>
              </w:rPr>
              <w:t xml:space="preserve"> (kcal/mol)</w:t>
            </w:r>
          </w:p>
        </w:tc>
      </w:tr>
      <w:tr w:rsidR="003020DF" w:rsidRPr="00D06532" w14:paraId="660BA246" w14:textId="77777777" w:rsidTr="005F306B">
        <w:trPr>
          <w:trHeight w:val="340"/>
        </w:trPr>
        <w:tc>
          <w:tcPr>
            <w:tcW w:w="1260" w:type="dxa"/>
            <w:vMerge w:val="restart"/>
            <w:tcBorders>
              <w:top w:val="single" w:sz="4" w:space="0" w:color="auto"/>
            </w:tcBorders>
            <w:hideMark/>
          </w:tcPr>
          <w:p w14:paraId="1C3A4D30"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03AFFD9D"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1A114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6BAE835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0F1E6F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B357DE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E2BAB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C6FB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70DAB00" w14:textId="77777777" w:rsidTr="005F306B">
        <w:trPr>
          <w:trHeight w:val="340"/>
        </w:trPr>
        <w:tc>
          <w:tcPr>
            <w:tcW w:w="1260" w:type="dxa"/>
            <w:vMerge/>
            <w:hideMark/>
          </w:tcPr>
          <w:p w14:paraId="675D5070" w14:textId="77777777" w:rsidR="003020DF" w:rsidRPr="00D06532" w:rsidRDefault="003020DF" w:rsidP="003020DF">
            <w:pPr>
              <w:rPr>
                <w:rFonts w:ascii="Times New Roman" w:hAnsi="Times New Roman"/>
                <w:color w:val="000000"/>
                <w:sz w:val="22"/>
                <w:szCs w:val="22"/>
              </w:rPr>
            </w:pPr>
          </w:p>
        </w:tc>
        <w:tc>
          <w:tcPr>
            <w:tcW w:w="1080" w:type="dxa"/>
            <w:hideMark/>
          </w:tcPr>
          <w:p w14:paraId="01E3BFF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9473F9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5D5E6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0ABA5B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2A566F43"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50F724AC"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3446B15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42263A37" w14:textId="77777777" w:rsidTr="005F306B">
        <w:trPr>
          <w:trHeight w:val="340"/>
        </w:trPr>
        <w:tc>
          <w:tcPr>
            <w:tcW w:w="1260" w:type="dxa"/>
            <w:vMerge/>
            <w:hideMark/>
          </w:tcPr>
          <w:p w14:paraId="0265DD6B" w14:textId="77777777" w:rsidR="003020DF" w:rsidRPr="00D06532" w:rsidRDefault="003020DF" w:rsidP="003020DF">
            <w:pPr>
              <w:rPr>
                <w:rFonts w:ascii="Times New Roman" w:hAnsi="Times New Roman"/>
                <w:color w:val="000000"/>
                <w:sz w:val="22"/>
                <w:szCs w:val="22"/>
              </w:rPr>
            </w:pPr>
          </w:p>
        </w:tc>
        <w:tc>
          <w:tcPr>
            <w:tcW w:w="1080" w:type="dxa"/>
            <w:hideMark/>
          </w:tcPr>
          <w:p w14:paraId="18EC111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335944B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02AD7C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5491867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6DE08CB9"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5A8391F6"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48374D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597ECCB8" w14:textId="77777777" w:rsidTr="005F306B">
        <w:trPr>
          <w:trHeight w:val="359"/>
        </w:trPr>
        <w:tc>
          <w:tcPr>
            <w:tcW w:w="1260" w:type="dxa"/>
            <w:vMerge/>
            <w:tcBorders>
              <w:bottom w:val="single" w:sz="4" w:space="0" w:color="auto"/>
            </w:tcBorders>
            <w:hideMark/>
          </w:tcPr>
          <w:p w14:paraId="4F942F37"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02E425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058534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24AAB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659A9A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772DFFF8"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AC1D4B7"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390A417B"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336C95BF" w14:textId="77777777" w:rsidTr="005F306B">
        <w:trPr>
          <w:trHeight w:val="340"/>
        </w:trPr>
        <w:tc>
          <w:tcPr>
            <w:tcW w:w="1260" w:type="dxa"/>
            <w:vMerge w:val="restart"/>
            <w:tcBorders>
              <w:top w:val="single" w:sz="4" w:space="0" w:color="auto"/>
            </w:tcBorders>
            <w:hideMark/>
          </w:tcPr>
          <w:p w14:paraId="7080A228"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Resistant</w:t>
            </w:r>
          </w:p>
        </w:tc>
        <w:tc>
          <w:tcPr>
            <w:tcW w:w="1080" w:type="dxa"/>
            <w:tcBorders>
              <w:top w:val="single" w:sz="4" w:space="0" w:color="auto"/>
            </w:tcBorders>
            <w:hideMark/>
          </w:tcPr>
          <w:p w14:paraId="11D9C74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6ABEB4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311023F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34058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67DDF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05E8C5D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4DFB0E9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0A0673EC" w14:textId="77777777" w:rsidTr="005F306B">
        <w:trPr>
          <w:trHeight w:val="340"/>
        </w:trPr>
        <w:tc>
          <w:tcPr>
            <w:tcW w:w="1260" w:type="dxa"/>
            <w:vMerge/>
            <w:hideMark/>
          </w:tcPr>
          <w:p w14:paraId="67B98BC3" w14:textId="77777777" w:rsidR="003020DF" w:rsidRPr="00D06532" w:rsidRDefault="003020DF" w:rsidP="003020DF">
            <w:pPr>
              <w:rPr>
                <w:rFonts w:ascii="Times New Roman" w:hAnsi="Times New Roman"/>
                <w:color w:val="000000"/>
                <w:sz w:val="22"/>
                <w:szCs w:val="22"/>
              </w:rPr>
            </w:pPr>
          </w:p>
        </w:tc>
        <w:tc>
          <w:tcPr>
            <w:tcW w:w="1080" w:type="dxa"/>
            <w:hideMark/>
          </w:tcPr>
          <w:p w14:paraId="5433AD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5D9BA18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69017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50E62FD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29C5E3C2"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27BF5A1A"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72F05C00"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322B4F09" w14:textId="77777777" w:rsidTr="005F306B">
        <w:trPr>
          <w:trHeight w:val="340"/>
        </w:trPr>
        <w:tc>
          <w:tcPr>
            <w:tcW w:w="1260" w:type="dxa"/>
            <w:vMerge/>
            <w:hideMark/>
          </w:tcPr>
          <w:p w14:paraId="3499EB3E" w14:textId="77777777" w:rsidR="003020DF" w:rsidRPr="00D06532" w:rsidRDefault="003020DF" w:rsidP="003020DF">
            <w:pPr>
              <w:rPr>
                <w:rFonts w:ascii="Times New Roman" w:hAnsi="Times New Roman"/>
                <w:color w:val="000000"/>
                <w:sz w:val="22"/>
                <w:szCs w:val="22"/>
              </w:rPr>
            </w:pPr>
          </w:p>
        </w:tc>
        <w:tc>
          <w:tcPr>
            <w:tcW w:w="1080" w:type="dxa"/>
            <w:hideMark/>
          </w:tcPr>
          <w:p w14:paraId="0FE2807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7F663D7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1052382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3D413C8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0ABB293D"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4929ACC0"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ED5264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31D9128A" w14:textId="77777777" w:rsidTr="005F306B">
        <w:trPr>
          <w:trHeight w:val="340"/>
        </w:trPr>
        <w:tc>
          <w:tcPr>
            <w:tcW w:w="1260" w:type="dxa"/>
            <w:vMerge/>
            <w:hideMark/>
          </w:tcPr>
          <w:p w14:paraId="4283D7CC" w14:textId="77777777" w:rsidR="003020DF" w:rsidRPr="00D06532" w:rsidRDefault="003020DF" w:rsidP="003020DF">
            <w:pPr>
              <w:rPr>
                <w:rFonts w:ascii="Times New Roman" w:hAnsi="Times New Roman"/>
                <w:color w:val="000000"/>
                <w:sz w:val="22"/>
                <w:szCs w:val="22"/>
              </w:rPr>
            </w:pPr>
          </w:p>
        </w:tc>
        <w:tc>
          <w:tcPr>
            <w:tcW w:w="1080" w:type="dxa"/>
            <w:hideMark/>
          </w:tcPr>
          <w:p w14:paraId="56FA8A8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64A1E3B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31AAC3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7F17C01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D30A1CC"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5DBBE38D"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0C158D4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6718443F" w14:textId="77777777" w:rsidTr="005F306B">
        <w:trPr>
          <w:trHeight w:val="340"/>
        </w:trPr>
        <w:tc>
          <w:tcPr>
            <w:tcW w:w="1260" w:type="dxa"/>
            <w:vMerge/>
            <w:hideMark/>
          </w:tcPr>
          <w:p w14:paraId="6FA911BF" w14:textId="77777777" w:rsidR="003020DF" w:rsidRPr="00D06532" w:rsidRDefault="003020DF" w:rsidP="003020DF">
            <w:pPr>
              <w:rPr>
                <w:rFonts w:ascii="Times New Roman" w:hAnsi="Times New Roman"/>
                <w:color w:val="000000"/>
                <w:sz w:val="22"/>
                <w:szCs w:val="22"/>
              </w:rPr>
            </w:pPr>
          </w:p>
        </w:tc>
        <w:tc>
          <w:tcPr>
            <w:tcW w:w="1080" w:type="dxa"/>
            <w:hideMark/>
          </w:tcPr>
          <w:p w14:paraId="441AA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4ECC40C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0CDE0CB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D9B0DC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06BFC03"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49AFB078"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7411B9F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6D36F55D" w14:textId="77777777" w:rsidTr="005F306B">
        <w:trPr>
          <w:trHeight w:val="340"/>
        </w:trPr>
        <w:tc>
          <w:tcPr>
            <w:tcW w:w="1260" w:type="dxa"/>
            <w:vMerge/>
            <w:hideMark/>
          </w:tcPr>
          <w:p w14:paraId="28FF06F8" w14:textId="77777777" w:rsidR="003020DF" w:rsidRPr="00D06532" w:rsidRDefault="003020DF" w:rsidP="003020DF">
            <w:pPr>
              <w:rPr>
                <w:rFonts w:ascii="Times New Roman" w:hAnsi="Times New Roman"/>
                <w:color w:val="000000"/>
                <w:sz w:val="22"/>
                <w:szCs w:val="22"/>
              </w:rPr>
            </w:pPr>
          </w:p>
        </w:tc>
        <w:tc>
          <w:tcPr>
            <w:tcW w:w="1080" w:type="dxa"/>
            <w:hideMark/>
          </w:tcPr>
          <w:p w14:paraId="5ABB29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59215EE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7041F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2E5BA5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0CDB1EF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D40794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3D79301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0732911F" w14:textId="77777777" w:rsidTr="005F306B">
        <w:trPr>
          <w:trHeight w:val="340"/>
        </w:trPr>
        <w:tc>
          <w:tcPr>
            <w:tcW w:w="1260" w:type="dxa"/>
            <w:vMerge/>
            <w:hideMark/>
          </w:tcPr>
          <w:p w14:paraId="706FD928" w14:textId="77777777" w:rsidR="003020DF" w:rsidRPr="00D06532" w:rsidRDefault="003020DF" w:rsidP="003020DF">
            <w:pPr>
              <w:rPr>
                <w:rFonts w:ascii="Times New Roman" w:hAnsi="Times New Roman"/>
                <w:color w:val="000000"/>
                <w:sz w:val="22"/>
                <w:szCs w:val="22"/>
              </w:rPr>
            </w:pPr>
          </w:p>
        </w:tc>
        <w:tc>
          <w:tcPr>
            <w:tcW w:w="1080" w:type="dxa"/>
            <w:hideMark/>
          </w:tcPr>
          <w:p w14:paraId="0DEAD4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04F1E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4EA741D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1950B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4DD3E68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55408A1C"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27FF462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4257F70B" w14:textId="77777777" w:rsidTr="005F306B">
        <w:trPr>
          <w:trHeight w:val="386"/>
        </w:trPr>
        <w:tc>
          <w:tcPr>
            <w:tcW w:w="1260" w:type="dxa"/>
            <w:vMerge/>
            <w:hideMark/>
          </w:tcPr>
          <w:p w14:paraId="39F61506" w14:textId="77777777" w:rsidR="003020DF" w:rsidRPr="00D06532" w:rsidRDefault="003020DF" w:rsidP="003020DF">
            <w:pPr>
              <w:rPr>
                <w:rFonts w:ascii="Times New Roman" w:hAnsi="Times New Roman"/>
                <w:color w:val="000000"/>
                <w:sz w:val="22"/>
                <w:szCs w:val="22"/>
              </w:rPr>
            </w:pPr>
          </w:p>
        </w:tc>
        <w:tc>
          <w:tcPr>
            <w:tcW w:w="1080" w:type="dxa"/>
            <w:hideMark/>
          </w:tcPr>
          <w:p w14:paraId="30915A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535AF8F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640DE9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04C9A84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74961E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653D4736"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7AE1C5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6227588" w14:textId="77777777" w:rsidTr="005F306B">
        <w:trPr>
          <w:trHeight w:val="386"/>
        </w:trPr>
        <w:tc>
          <w:tcPr>
            <w:tcW w:w="1260" w:type="dxa"/>
            <w:vMerge/>
            <w:tcBorders>
              <w:bottom w:val="single" w:sz="4" w:space="0" w:color="auto"/>
            </w:tcBorders>
          </w:tcPr>
          <w:p w14:paraId="43AD4B05"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6A23D97A"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7C5B1547"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4D4C3D94"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00E3291E"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5AD08E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7A3BC881"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287FDD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2088B081" w14:textId="77777777" w:rsidTr="005F306B">
        <w:trPr>
          <w:trHeight w:val="340"/>
        </w:trPr>
        <w:tc>
          <w:tcPr>
            <w:tcW w:w="1260" w:type="dxa"/>
            <w:vMerge w:val="restart"/>
            <w:tcBorders>
              <w:top w:val="single" w:sz="4" w:space="0" w:color="auto"/>
            </w:tcBorders>
            <w:hideMark/>
          </w:tcPr>
          <w:p w14:paraId="4303940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51F4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120ABE0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4129E3F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F1A91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395F269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2578788"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2F733B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779A0728" w14:textId="77777777" w:rsidTr="005F306B">
        <w:trPr>
          <w:trHeight w:val="467"/>
        </w:trPr>
        <w:tc>
          <w:tcPr>
            <w:tcW w:w="1260" w:type="dxa"/>
            <w:vMerge/>
            <w:hideMark/>
          </w:tcPr>
          <w:p w14:paraId="36E80C5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F2E70B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33A834F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5705B3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10C1AE4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71468991"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3A1861FB"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5473C00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47C5E15C" w14:textId="77777777" w:rsidTr="005F306B">
        <w:trPr>
          <w:trHeight w:val="521"/>
        </w:trPr>
        <w:tc>
          <w:tcPr>
            <w:tcW w:w="1260" w:type="dxa"/>
            <w:vMerge/>
            <w:hideMark/>
          </w:tcPr>
          <w:p w14:paraId="6B118217"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B890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58822C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4F521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1B0D4F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68B507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03E0C62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611D9ABB"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3EDB753E" w14:textId="77777777" w:rsidTr="005F306B">
        <w:trPr>
          <w:trHeight w:val="350"/>
        </w:trPr>
        <w:tc>
          <w:tcPr>
            <w:tcW w:w="1260" w:type="dxa"/>
            <w:vMerge/>
            <w:hideMark/>
          </w:tcPr>
          <w:p w14:paraId="0D634FB5"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5F578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25202EA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5EAA38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4336ED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2D4F84B6"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EA2FCA7"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2DC377E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3509C52F" w14:textId="77777777" w:rsidTr="005F306B">
        <w:trPr>
          <w:trHeight w:val="350"/>
        </w:trPr>
        <w:tc>
          <w:tcPr>
            <w:tcW w:w="1260" w:type="dxa"/>
            <w:vMerge/>
            <w:tcBorders>
              <w:bottom w:val="single" w:sz="4" w:space="0" w:color="auto"/>
            </w:tcBorders>
          </w:tcPr>
          <w:p w14:paraId="042D985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643988F5"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0E4812EC"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E0A9B22"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77EE586A"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0DC2DE76"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07DD0367"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44D8322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2DE77EF"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∆∆E</w:t>
      </w:r>
      <w:r>
        <w:rPr>
          <w:sz w:val="22"/>
          <w:szCs w:val="22"/>
          <w:vertAlign w:val="subscript"/>
        </w:rPr>
        <w:t>Total</w:t>
      </w:r>
      <w:r>
        <w:rPr>
          <w:sz w:val="22"/>
          <w:szCs w:val="22"/>
        </w:rPr>
        <w:t>, WT-referenced shift in total MM/GBSA interaction energy; ∆∆E</w:t>
      </w:r>
      <w:r>
        <w:rPr>
          <w:sz w:val="22"/>
          <w:szCs w:val="22"/>
          <w:vertAlign w:val="subscript"/>
        </w:rPr>
        <w:t>vdW</w:t>
      </w:r>
      <w:r>
        <w:rPr>
          <w:sz w:val="22"/>
          <w:szCs w:val="22"/>
        </w:rPr>
        <w:t>, van der Waals component; ∆∆E</w:t>
      </w:r>
      <w:r>
        <w:rPr>
          <w:sz w:val="22"/>
          <w:szCs w:val="22"/>
          <w:vertAlign w:val="subscript"/>
        </w:rPr>
        <w:t>elec</w:t>
      </w:r>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∆∆G</w:t>
      </w:r>
      <w:r>
        <w:rPr>
          <w:sz w:val="22"/>
          <w:szCs w:val="22"/>
          <w:vertAlign w:val="subscript"/>
        </w:rPr>
        <w:t>bind</w:t>
      </w:r>
      <w:r>
        <w:rPr>
          <w:sz w:val="22"/>
          <w:szCs w:val="22"/>
        </w:rPr>
        <w:t xml:space="preserve">, relative DOR binding free energy </w:t>
      </w:r>
      <w:r>
        <w:rPr>
          <w:sz w:val="22"/>
          <w:szCs w:val="22"/>
        </w:rPr>
        <w:lastRenderedPageBreak/>
        <w:t>between mutant and WT RT. For all quantities, positive values indicate a less favorable contribution to DOR binding relative to WT.</w:t>
      </w:r>
    </w:p>
    <w:p w14:paraId="3BAC0030"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0900EA6"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418ECEA5"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(∆∆E</w:t>
      </w:r>
      <w:r>
        <w:rPr>
          <w:vertAlign w:val="subscript"/>
        </w:rPr>
        <w:t>Total</w:t>
      </w:r>
      <w:r>
        <w:t xml:space="preserve"> = -0.75 ± 0.13 kcal/mol), K103N+M230L (∆∆E</w:t>
      </w:r>
      <w:r>
        <w:rPr>
          <w:vertAlign w:val="subscript"/>
        </w:rPr>
        <w:t>Total</w:t>
      </w:r>
      <w:r>
        <w:t xml:space="preserve"> = -1.42 ± 0.67 kcal/mol) and L100I+K103N (∆∆E</w:t>
      </w:r>
      <w:r>
        <w:rPr>
          <w:vertAlign w:val="subscript"/>
        </w:rPr>
        <w:t>Total</w:t>
      </w:r>
      <w:r>
        <w:t xml:space="preserve"> = -0.59 ± 1.01 kcal/mol) had net </w:t>
      </w:r>
      <w:r>
        <w:rPr>
          <w:i/>
          <w:iCs/>
        </w:rPr>
        <w:t>negative</w:t>
      </w:r>
      <w:r>
        <w:t xml:space="preserve"> interface energy, all three driven by electrostatic stabilization, ∆∆Eelec &lt; -1.8 kcal/mol. Along the same lines, amongst the Uncertain phenotype, L100I+K103N and K103N+P225H are predicted to have weak impact on RT-DOR interface energy, while the rest (V106M, G190S, and G190E) are predicted to have a strong impact. Out of the 13 genotypes with ∆∆E</w:t>
      </w:r>
      <w:r>
        <w:rPr>
          <w:vertAlign w:val="subscript"/>
        </w:rPr>
        <w:t>Total</w:t>
      </w:r>
      <w:r>
        <w:t xml:space="preserve"> above the thermal energy threshold, 9 involve ∆∆E</w:t>
      </w:r>
      <w:r>
        <w:rPr>
          <w:vertAlign w:val="subscript"/>
        </w:rPr>
        <w:t>vdW</w:t>
      </w:r>
      <w:r>
        <w:t xml:space="preserve"> as the dominant contribution. In the remaining 4 genotypes, ∆∆E</w:t>
      </w:r>
      <w:r>
        <w:rPr>
          <w:vertAlign w:val="subscript"/>
        </w:rPr>
        <w:t>GB</w:t>
      </w:r>
      <w:r>
        <w:t xml:space="preserve"> has the major contribution in 3 of them, and ∆∆E</w:t>
      </w:r>
      <w:r>
        <w:rPr>
          <w:vertAlign w:val="subscript"/>
        </w:rPr>
        <w:t xml:space="preserve">elec </w:t>
      </w:r>
      <w:r>
        <w:t>has the dominant contribution in one. Notably, ∆∆E</w:t>
      </w:r>
      <w:r>
        <w:rPr>
          <w:vertAlign w:val="subscript"/>
        </w:rPr>
        <w:t>elec</w:t>
      </w:r>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E9A6FB4" w14:textId="77777777" w:rsidR="006F69F6" w:rsidRPr="00E536AD" w:rsidRDefault="00DE712C" w:rsidP="00AB26F7">
      <w:pPr>
        <w:pStyle w:val="TAMainText"/>
        <w:spacing w:after="240"/>
        <w:rPr>
          <w:rFonts w:ascii="Times New Roman" w:hAnsi="Times New Roman"/>
        </w:rPr>
      </w:pPr>
      <w:r>
        <w:t>While ∆∆G</w:t>
      </w:r>
      <w:r>
        <w:rPr>
          <w:vertAlign w:val="subscript"/>
        </w:rPr>
        <w:t>bind</w:t>
      </w:r>
      <w:r>
        <w:t xml:space="preserve"> and ∆∆E</w:t>
      </w:r>
      <w:r>
        <w:rPr>
          <w:vertAlign w:val="subscript"/>
        </w:rPr>
        <w:t>Total</w:t>
      </w:r>
      <w:r>
        <w:t xml:space="preserve"> exhibit a weak correlation with each other (R</w:t>
      </w:r>
      <w:r>
        <w:rPr>
          <w:vertAlign w:val="superscript"/>
        </w:rPr>
        <w:t xml:space="preserve">2 </w:t>
      </w:r>
      <w:r>
        <w:t>= 0.18, p = 0.08), both of these metrics show practically no correlation with DOR fold-change values observed experimentally - ∆∆G</w:t>
      </w:r>
      <w:r>
        <w:rPr>
          <w:vertAlign w:val="subscript"/>
        </w:rPr>
        <w:t>bind</w:t>
      </w:r>
      <w:r>
        <w:t xml:space="preserve"> vs log</w:t>
      </w:r>
      <w:r>
        <w:rPr>
          <w:vertAlign w:val="subscript"/>
        </w:rPr>
        <w:t>10</w:t>
      </w:r>
      <w:r>
        <w:t>(Fold-change) (R</w:t>
      </w:r>
      <w:r>
        <w:rPr>
          <w:vertAlign w:val="superscript"/>
        </w:rPr>
        <w:t>2</w:t>
      </w:r>
      <w:r>
        <w:t xml:space="preserve"> = 0.08, p = 0.26) and ∆∆E</w:t>
      </w:r>
      <w:r>
        <w:rPr>
          <w:vertAlign w:val="subscript"/>
        </w:rPr>
        <w:t>Total</w:t>
      </w:r>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w:t>
      </w:r>
      <w:r>
        <w:lastRenderedPageBreak/>
        <w:t xml:space="preserve">and DOR </w:t>
      </w:r>
      <w:r>
        <w:rPr>
          <w:i/>
          <w:iCs/>
        </w:rPr>
        <w:t>Resistant</w:t>
      </w:r>
      <w:r>
        <w:t xml:space="preserve"> phenotype mutations (i.e. dropping the </w:t>
      </w:r>
      <w:r>
        <w:rPr>
          <w:i/>
          <w:iCs/>
        </w:rPr>
        <w:t>Uncertain</w:t>
      </w:r>
      <w:r>
        <w:t xml:space="preserve"> phenotype set), ∆∆G</w:t>
      </w:r>
      <w:r>
        <w:rPr>
          <w:vertAlign w:val="subscript"/>
        </w:rPr>
        <w:t>bind</w:t>
      </w:r>
      <w:r>
        <w:t xml:space="preserve"> exhibits weak correlation with log</w:t>
      </w:r>
      <w:r>
        <w:rPr>
          <w:vertAlign w:val="subscript"/>
        </w:rPr>
        <w:t>10</w:t>
      </w:r>
      <w:r>
        <w:t>(Fold-change) (R</w:t>
      </w:r>
      <w:r>
        <w:rPr>
          <w:vertAlign w:val="superscript"/>
        </w:rPr>
        <w:t>2</w:t>
      </w:r>
      <w:r>
        <w:t xml:space="preserve"> = 0.26, p = 0.07), while ∆∆E</w:t>
      </w:r>
      <w:r>
        <w:rPr>
          <w:vertAlign w:val="subscript"/>
        </w:rPr>
        <w:t>Total</w:t>
      </w:r>
      <w:r>
        <w:t xml:space="preserve"> correlation with log</w:t>
      </w:r>
      <w:r>
        <w:rPr>
          <w:vertAlign w:val="subscript"/>
        </w:rPr>
        <w:t>10</w:t>
      </w:r>
      <w:r>
        <w:t>(Fold-change) is weaker still (R</w:t>
      </w:r>
      <w:r>
        <w:rPr>
          <w:vertAlign w:val="superscript"/>
        </w:rPr>
        <w:t>2</w:t>
      </w:r>
      <w:r>
        <w:t xml:space="preserve"> = 0.13, p = 0.23).</w:t>
      </w:r>
    </w:p>
    <w:p w14:paraId="25BC051D"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391CF045" w14:textId="77777777" w:rsidR="004240A7" w:rsidRPr="00E536AD" w:rsidRDefault="008F1E59" w:rsidP="00007567">
      <w:pPr>
        <w:pStyle w:val="TAMainText"/>
        <w:spacing w:after="240"/>
        <w:rPr>
          <w:rFonts w:ascii="Times New Roman" w:hAnsi="Times New Roman"/>
          <w:szCs w:val="24"/>
        </w:rPr>
      </w:pPr>
      <w:r>
        <w:t>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Asn at position 103 shortens the side chain and brings its polar atoms closer to DOR, from 8.38 ± 0.15 Å in WT to 4.80–5.43 Å in every K103N-containing genotype. In contrast, this distance is 8.07–9.20 Å in every genotype that retains Lys103.</w:t>
      </w:r>
    </w:p>
    <w:p w14:paraId="263A4C87"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5969922" w14:textId="77777777" w:rsidR="00453EE8" w:rsidRPr="00E536AD" w:rsidRDefault="00453EE8" w:rsidP="004240A7">
      <w:pPr>
        <w:rPr>
          <w:rFonts w:ascii="Times New Roman" w:hAnsi="Times New Roman"/>
          <w:b/>
          <w:bCs/>
          <w:color w:val="000000"/>
          <w:sz w:val="22"/>
          <w:szCs w:val="22"/>
        </w:rPr>
        <w:sectPr w:rsidR="00453EE8" w:rsidRPr="00E536AD" w:rsidSect="00453EE8">
          <w:pgSz w:w="12240" w:h="15840"/>
          <w:pgMar w:top="1440" w:right="1440" w:bottom="1440" w:left="1440" w:header="0" w:footer="0" w:gutter="0"/>
          <w:cols w:space="720"/>
          <w:docGrid w:linePitch="360"/>
        </w:sectPr>
      </w:pPr>
    </w:p>
    <w:p w14:paraId="1D7D68C6"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Layout w:type="fixed"/>
        <w:tblLook w:val="04A0" w:firstRow="1" w:lastRow="0" w:firstColumn="1" w:lastColumn="0" w:noHBand="0" w:noVBand="1"/>
      </w:tblPr>
      <w:tblGrid>
        <w:gridCol w:w="895"/>
        <w:gridCol w:w="810"/>
        <w:gridCol w:w="1260"/>
        <w:gridCol w:w="1260"/>
        <w:gridCol w:w="1530"/>
        <w:gridCol w:w="1440"/>
        <w:gridCol w:w="1260"/>
        <w:gridCol w:w="1260"/>
        <w:gridCol w:w="1170"/>
        <w:gridCol w:w="990"/>
        <w:gridCol w:w="990"/>
      </w:tblGrid>
      <w:tr w:rsidR="00EA289C" w:rsidRPr="00C634FF" w14:paraId="1282DF6A" w14:textId="77777777" w:rsidTr="00453EE8">
        <w:trPr>
          <w:trHeight w:val="539"/>
        </w:trPr>
        <w:tc>
          <w:tcPr>
            <w:tcW w:w="895" w:type="dxa"/>
            <w:hideMark/>
          </w:tcPr>
          <w:p w14:paraId="6F2928FA" w14:textId="77777777" w:rsidR="00EA289C" w:rsidRPr="00C634FF" w:rsidRDefault="00EA289C" w:rsidP="00EA289C">
            <w:pPr>
              <w:pStyle w:val="TCTableBody"/>
              <w:jc w:val="center"/>
              <w:rPr>
                <w:rFonts w:ascii="Times New Roman" w:hAnsi="Times New Roman"/>
                <w:b/>
                <w:bCs/>
                <w:color w:val="000000"/>
                <w:sz w:val="20"/>
              </w:rPr>
            </w:pPr>
            <w:r>
              <w:rPr>
                <w:b/>
                <w:bCs/>
                <w:color w:val="000000"/>
                <w:sz w:val="20"/>
              </w:rPr>
              <w:t>Category</w:t>
            </w:r>
          </w:p>
        </w:tc>
        <w:tc>
          <w:tcPr>
            <w:tcW w:w="810" w:type="dxa"/>
            <w:hideMark/>
          </w:tcPr>
          <w:p w14:paraId="1915EFBD" w14:textId="77777777" w:rsidR="00EA289C" w:rsidRPr="00C634FF" w:rsidRDefault="00EA289C" w:rsidP="00EA289C">
            <w:pPr>
              <w:pStyle w:val="TCTableBody"/>
              <w:spacing w:line="480" w:lineRule="auto"/>
              <w:jc w:val="center"/>
              <w:rPr>
                <w:rFonts w:ascii="Times New Roman" w:hAnsi="Times New Roman"/>
                <w:b/>
                <w:bCs/>
                <w:color w:val="000000"/>
                <w:sz w:val="20"/>
              </w:rPr>
            </w:pPr>
            <w:r>
              <w:rPr>
                <w:b/>
                <w:bCs/>
                <w:color w:val="000000"/>
                <w:sz w:val="20"/>
              </w:rPr>
              <w:t>Genotype</w:t>
            </w:r>
          </w:p>
        </w:tc>
        <w:tc>
          <w:tcPr>
            <w:tcW w:w="1260" w:type="dxa"/>
            <w:hideMark/>
          </w:tcPr>
          <w:p w14:paraId="799AF54E" w14:textId="77777777" w:rsidR="00EA289C" w:rsidRPr="00C634FF" w:rsidRDefault="00453EE8" w:rsidP="00EA289C">
            <w:pPr>
              <w:pStyle w:val="TCTableBody"/>
              <w:jc w:val="center"/>
              <w:rPr>
                <w:rFonts w:ascii="Times New Roman" w:hAnsi="Times New Roman"/>
                <w:b/>
                <w:bCs/>
                <w:color w:val="000000"/>
                <w:sz w:val="20"/>
              </w:rPr>
            </w:pPr>
            <w:r>
              <w:rPr>
                <w:b/>
                <w:bCs/>
                <w:sz w:val="20"/>
              </w:rPr>
              <w:t>Lys103 C=O to DOR triazolinone N (Å)</w:t>
            </w:r>
          </w:p>
        </w:tc>
        <w:tc>
          <w:tcPr>
            <w:tcW w:w="1260" w:type="dxa"/>
            <w:hideMark/>
          </w:tcPr>
          <w:p w14:paraId="48C1B4C3" w14:textId="77777777" w:rsidR="00EA289C" w:rsidRPr="00C634FF" w:rsidRDefault="00453EE8" w:rsidP="00EA289C">
            <w:pPr>
              <w:pStyle w:val="TCTableBody"/>
              <w:jc w:val="center"/>
              <w:rPr>
                <w:rFonts w:ascii="Times New Roman" w:hAnsi="Times New Roman"/>
                <w:b/>
                <w:bCs/>
                <w:color w:val="000000"/>
                <w:sz w:val="20"/>
              </w:rPr>
            </w:pPr>
            <w:r>
              <w:rPr>
                <w:b/>
                <w:bCs/>
                <w:sz w:val="20"/>
              </w:rPr>
              <w:t>Lys103 side-chain polar atoms to DOR (Å)</w:t>
            </w:r>
          </w:p>
        </w:tc>
        <w:tc>
          <w:tcPr>
            <w:tcW w:w="1530" w:type="dxa"/>
            <w:hideMark/>
          </w:tcPr>
          <w:p w14:paraId="4A40673E" w14:textId="77777777" w:rsidR="00EA289C" w:rsidRPr="00C634FF" w:rsidRDefault="00EA289C" w:rsidP="00EA289C">
            <w:pPr>
              <w:pStyle w:val="TCTableBody"/>
              <w:jc w:val="center"/>
              <w:rPr>
                <w:rFonts w:ascii="Times New Roman" w:hAnsi="Times New Roman"/>
                <w:b/>
                <w:bCs/>
                <w:color w:val="000000"/>
                <w:sz w:val="20"/>
              </w:rPr>
            </w:pPr>
            <w:r>
              <w:rPr>
                <w:b/>
                <w:bCs/>
                <w:sz w:val="20"/>
              </w:rPr>
              <w:t>RT heavy-atom contacts &lt; 4.0 Å of chlorocyanophenyl ring</w:t>
            </w:r>
          </w:p>
        </w:tc>
        <w:tc>
          <w:tcPr>
            <w:tcW w:w="1440" w:type="dxa"/>
          </w:tcPr>
          <w:p w14:paraId="23C59D87" w14:textId="77777777" w:rsidR="00EA289C" w:rsidRPr="00C634FF" w:rsidRDefault="00EA289C" w:rsidP="00EA289C">
            <w:pPr>
              <w:pStyle w:val="TCTableBody"/>
              <w:jc w:val="center"/>
              <w:rPr>
                <w:rFonts w:ascii="Times New Roman" w:hAnsi="Times New Roman"/>
                <w:b/>
                <w:bCs/>
                <w:color w:val="000000"/>
                <w:sz w:val="20"/>
              </w:rPr>
            </w:pPr>
            <w:r>
              <w:rPr>
                <w:b/>
                <w:bCs/>
                <w:sz w:val="20"/>
              </w:rPr>
              <w:t>Tyr188 / chlorocyanophenyl interplanar angle (°)</w:t>
            </w:r>
          </w:p>
        </w:tc>
        <w:tc>
          <w:tcPr>
            <w:tcW w:w="1260" w:type="dxa"/>
          </w:tcPr>
          <w:p w14:paraId="6F38FC03" w14:textId="77777777" w:rsidR="00EA289C" w:rsidRPr="00C634FF" w:rsidRDefault="00EA289C" w:rsidP="00EA289C">
            <w:pPr>
              <w:pStyle w:val="TCTableBody"/>
              <w:jc w:val="center"/>
              <w:rPr>
                <w:rFonts w:ascii="Times New Roman" w:hAnsi="Times New Roman"/>
                <w:b/>
                <w:bCs/>
                <w:color w:val="000000"/>
                <w:sz w:val="20"/>
              </w:rPr>
            </w:pPr>
            <w:r>
              <w:rPr>
                <w:b/>
                <w:bCs/>
                <w:sz w:val="20"/>
              </w:rPr>
              <w:t>Val179 to DOR minimum distance (Å)</w:t>
            </w:r>
          </w:p>
        </w:tc>
        <w:tc>
          <w:tcPr>
            <w:tcW w:w="1260" w:type="dxa"/>
          </w:tcPr>
          <w:p w14:paraId="7828F33A" w14:textId="77777777" w:rsidR="00EA289C" w:rsidRPr="00C634FF" w:rsidRDefault="00EA289C" w:rsidP="00EA289C">
            <w:pPr>
              <w:pStyle w:val="TCTableBody"/>
              <w:jc w:val="center"/>
              <w:rPr>
                <w:rFonts w:ascii="Times New Roman" w:hAnsi="Times New Roman"/>
                <w:b/>
                <w:bCs/>
                <w:color w:val="000000"/>
                <w:sz w:val="20"/>
              </w:rPr>
            </w:pPr>
            <w:r>
              <w:rPr>
                <w:b/>
                <w:bCs/>
                <w:sz w:val="20"/>
              </w:rPr>
              <w:t>Ser105 to DOR minimum distance (Å)</w:t>
            </w:r>
          </w:p>
        </w:tc>
        <w:tc>
          <w:tcPr>
            <w:tcW w:w="1170" w:type="dxa"/>
          </w:tcPr>
          <w:p w14:paraId="5607E6BD" w14:textId="77777777" w:rsidR="00EA289C" w:rsidRPr="00C634FF" w:rsidRDefault="00453EE8" w:rsidP="00EA289C">
            <w:pPr>
              <w:pStyle w:val="TCTableBody"/>
              <w:jc w:val="center"/>
              <w:rPr>
                <w:rFonts w:ascii="Times New Roman" w:hAnsi="Times New Roman"/>
                <w:b/>
                <w:bCs/>
                <w:color w:val="000000"/>
                <w:sz w:val="20"/>
              </w:rPr>
            </w:pPr>
            <w:r>
              <w:rPr>
                <w:b/>
                <w:bCs/>
                <w:sz w:val="20"/>
              </w:rPr>
              <w:t>Val106 to DOR minimum distance (Å)</w:t>
            </w:r>
          </w:p>
        </w:tc>
        <w:tc>
          <w:tcPr>
            <w:tcW w:w="990" w:type="dxa"/>
          </w:tcPr>
          <w:p w14:paraId="082BC571" w14:textId="77777777" w:rsidR="00EA289C" w:rsidRPr="00C634FF" w:rsidRDefault="00EA289C" w:rsidP="00EA289C">
            <w:pPr>
              <w:pStyle w:val="TCTableBody"/>
              <w:jc w:val="center"/>
              <w:rPr>
                <w:rFonts w:ascii="Times New Roman" w:hAnsi="Times New Roman"/>
                <w:b/>
                <w:bCs/>
                <w:color w:val="000000"/>
                <w:sz w:val="20"/>
              </w:rPr>
            </w:pPr>
            <w:r>
              <w:rPr>
                <w:b/>
                <w:bCs/>
                <w:sz w:val="20"/>
              </w:rPr>
              <w:t>Pyridinone moiety contacts &lt; 4.0 Å</w:t>
            </w:r>
          </w:p>
        </w:tc>
        <w:tc>
          <w:tcPr>
            <w:tcW w:w="990" w:type="dxa"/>
          </w:tcPr>
          <w:p w14:paraId="12423F4B" w14:textId="77777777" w:rsidR="00EA289C" w:rsidRPr="00C634FF" w:rsidRDefault="00EA289C" w:rsidP="00EA289C">
            <w:pPr>
              <w:pStyle w:val="TCTableBody"/>
              <w:jc w:val="center"/>
              <w:rPr>
                <w:rFonts w:ascii="Times New Roman" w:hAnsi="Times New Roman"/>
                <w:b/>
                <w:bCs/>
                <w:color w:val="000000"/>
                <w:sz w:val="20"/>
              </w:rPr>
            </w:pPr>
            <w:r>
              <w:rPr>
                <w:b/>
                <w:bCs/>
                <w:sz w:val="20"/>
              </w:rPr>
              <w:t>NNIBP volume (Å</w:t>
            </w:r>
            <w:r>
              <w:rPr>
                <w:b/>
                <w:bCs/>
                <w:sz w:val="20"/>
                <w:vertAlign w:val="superscript"/>
              </w:rPr>
              <w:t>3</w:t>
            </w:r>
            <w:r>
              <w:rPr>
                <w:b/>
                <w:bCs/>
                <w:sz w:val="20"/>
              </w:rPr>
              <w:t>)</w:t>
            </w:r>
          </w:p>
        </w:tc>
      </w:tr>
      <w:tr w:rsidR="00FA0CDB" w:rsidRPr="00C634FF" w14:paraId="6A4BF709" w14:textId="77777777" w:rsidTr="00453EE8">
        <w:trPr>
          <w:trHeight w:val="340"/>
        </w:trPr>
        <w:tc>
          <w:tcPr>
            <w:tcW w:w="895" w:type="dxa"/>
          </w:tcPr>
          <w:p w14:paraId="41C19DB4" w14:textId="77777777" w:rsidR="00FA0CDB" w:rsidRPr="00C634FF" w:rsidRDefault="00FA0CDB" w:rsidP="00FA0CDB">
            <w:pPr>
              <w:pStyle w:val="TCTableBody"/>
              <w:jc w:val="center"/>
              <w:rPr>
                <w:rFonts w:ascii="Times New Roman" w:hAnsi="Times New Roman"/>
                <w:b/>
                <w:bCs/>
                <w:i/>
                <w:iCs/>
                <w:color w:val="000000"/>
                <w:sz w:val="20"/>
              </w:rPr>
            </w:pPr>
            <w:r>
              <w:rPr>
                <w:b/>
                <w:bCs/>
                <w:i/>
                <w:iCs/>
                <w:color w:val="000000"/>
                <w:sz w:val="20"/>
              </w:rPr>
              <w:t>Wild Type</w:t>
            </w:r>
          </w:p>
        </w:tc>
        <w:tc>
          <w:tcPr>
            <w:tcW w:w="810" w:type="dxa"/>
          </w:tcPr>
          <w:p w14:paraId="3BCBE512" w14:textId="77777777" w:rsidR="00FA0CDB" w:rsidRPr="00C634FF" w:rsidRDefault="00FA0CDB" w:rsidP="00FA0CDB">
            <w:pPr>
              <w:pStyle w:val="TCTableBody"/>
              <w:jc w:val="center"/>
              <w:rPr>
                <w:rFonts w:ascii="Times New Roman" w:hAnsi="Times New Roman"/>
                <w:color w:val="000000"/>
                <w:sz w:val="20"/>
              </w:rPr>
            </w:pPr>
            <w:r>
              <w:rPr>
                <w:color w:val="000000"/>
                <w:sz w:val="20"/>
              </w:rPr>
              <w:t>WT</w:t>
            </w:r>
          </w:p>
        </w:tc>
        <w:tc>
          <w:tcPr>
            <w:tcW w:w="1260" w:type="dxa"/>
          </w:tcPr>
          <w:p w14:paraId="181FC5D9" w14:textId="77777777" w:rsidR="00FA0CDB" w:rsidRPr="00C634FF" w:rsidRDefault="00FA0CDB" w:rsidP="00FA0CDB">
            <w:pPr>
              <w:pStyle w:val="TCTableBody"/>
              <w:jc w:val="center"/>
              <w:rPr>
                <w:rFonts w:ascii="Times New Roman" w:hAnsi="Times New Roman"/>
                <w:sz w:val="20"/>
              </w:rPr>
            </w:pPr>
            <w:r>
              <w:rPr>
                <w:sz w:val="20"/>
              </w:rPr>
              <w:t>2.97 ± 0.01</w:t>
            </w:r>
          </w:p>
        </w:tc>
        <w:tc>
          <w:tcPr>
            <w:tcW w:w="1260" w:type="dxa"/>
          </w:tcPr>
          <w:p w14:paraId="15F5D54D" w14:textId="77777777" w:rsidR="00FA0CDB" w:rsidRPr="00C634FF" w:rsidRDefault="00FA0CDB" w:rsidP="00FA0CDB">
            <w:pPr>
              <w:pStyle w:val="TCTableBody"/>
              <w:jc w:val="center"/>
              <w:rPr>
                <w:rFonts w:ascii="Times New Roman" w:hAnsi="Times New Roman"/>
                <w:sz w:val="20"/>
              </w:rPr>
            </w:pPr>
            <w:r>
              <w:rPr>
                <w:sz w:val="20"/>
              </w:rPr>
              <w:t>8.38 ± 0.15</w:t>
            </w:r>
          </w:p>
        </w:tc>
        <w:tc>
          <w:tcPr>
            <w:tcW w:w="1530" w:type="dxa"/>
          </w:tcPr>
          <w:p w14:paraId="130498AF" w14:textId="77777777" w:rsidR="00FA0CDB" w:rsidRPr="00C634FF" w:rsidRDefault="00FA0CDB" w:rsidP="00FA0CDB">
            <w:pPr>
              <w:pStyle w:val="TCTableBody"/>
              <w:jc w:val="center"/>
              <w:rPr>
                <w:rFonts w:ascii="Times New Roman" w:hAnsi="Times New Roman"/>
                <w:sz w:val="20"/>
              </w:rPr>
            </w:pPr>
            <w:r>
              <w:rPr>
                <w:sz w:val="20"/>
              </w:rPr>
              <w:t>19.5 ± 0.5</w:t>
            </w:r>
          </w:p>
        </w:tc>
        <w:tc>
          <w:tcPr>
            <w:tcW w:w="1440" w:type="dxa"/>
          </w:tcPr>
          <w:p w14:paraId="32621D69" w14:textId="77777777" w:rsidR="00FA0CDB" w:rsidRPr="00C634FF" w:rsidRDefault="00FA0CDB" w:rsidP="00FA0CDB">
            <w:pPr>
              <w:pStyle w:val="TCTableBody"/>
              <w:jc w:val="center"/>
              <w:rPr>
                <w:rFonts w:ascii="Times New Roman" w:hAnsi="Times New Roman"/>
                <w:sz w:val="20"/>
              </w:rPr>
            </w:pPr>
            <w:r>
              <w:rPr>
                <w:sz w:val="20"/>
              </w:rPr>
              <w:t>13.4 ± 0.4</w:t>
            </w:r>
          </w:p>
        </w:tc>
        <w:tc>
          <w:tcPr>
            <w:tcW w:w="1260" w:type="dxa"/>
          </w:tcPr>
          <w:p w14:paraId="790F0295" w14:textId="77777777" w:rsidR="00FA0CDB" w:rsidRPr="00C634FF" w:rsidRDefault="00FA0CDB" w:rsidP="00FA0CDB">
            <w:pPr>
              <w:pStyle w:val="TCTableBody"/>
              <w:jc w:val="center"/>
              <w:rPr>
                <w:rFonts w:ascii="Times New Roman" w:hAnsi="Times New Roman"/>
                <w:sz w:val="20"/>
              </w:rPr>
            </w:pPr>
            <w:r>
              <w:rPr>
                <w:sz w:val="20"/>
              </w:rPr>
              <w:t>3.62 ± 0.06</w:t>
            </w:r>
          </w:p>
        </w:tc>
        <w:tc>
          <w:tcPr>
            <w:tcW w:w="1260" w:type="dxa"/>
          </w:tcPr>
          <w:p w14:paraId="4FE30C3C" w14:textId="77777777" w:rsidR="00FA0CDB" w:rsidRPr="00C634FF" w:rsidRDefault="00FA0CDB" w:rsidP="00FA0CDB">
            <w:pPr>
              <w:pStyle w:val="TCTableBody"/>
              <w:jc w:val="center"/>
              <w:rPr>
                <w:rFonts w:ascii="Times New Roman" w:hAnsi="Times New Roman"/>
                <w:b/>
                <w:bCs/>
                <w:color w:val="000000"/>
                <w:sz w:val="20"/>
              </w:rPr>
            </w:pPr>
            <w:r>
              <w:rPr>
                <w:sz w:val="20"/>
              </w:rPr>
              <w:t>6.65 ± 0.09</w:t>
            </w:r>
          </w:p>
        </w:tc>
        <w:tc>
          <w:tcPr>
            <w:tcW w:w="1170" w:type="dxa"/>
          </w:tcPr>
          <w:p w14:paraId="5459283F" w14:textId="77777777" w:rsidR="00FA0CDB" w:rsidRPr="00C634FF" w:rsidRDefault="00FA0CDB" w:rsidP="00FA0CDB">
            <w:pPr>
              <w:pStyle w:val="TCTableBody"/>
              <w:jc w:val="center"/>
              <w:rPr>
                <w:rFonts w:ascii="Times New Roman" w:hAnsi="Times New Roman"/>
                <w:b/>
                <w:bCs/>
                <w:color w:val="000000"/>
                <w:sz w:val="20"/>
              </w:rPr>
            </w:pPr>
            <w:r>
              <w:rPr>
                <w:sz w:val="20"/>
              </w:rPr>
              <w:t>3.36 ± 0.07</w:t>
            </w:r>
          </w:p>
        </w:tc>
        <w:tc>
          <w:tcPr>
            <w:tcW w:w="990" w:type="dxa"/>
          </w:tcPr>
          <w:p w14:paraId="7B69D98A" w14:textId="77777777" w:rsidR="00FA0CDB" w:rsidRPr="00C634FF" w:rsidRDefault="00FA0CDB" w:rsidP="00FA0CDB">
            <w:pPr>
              <w:pStyle w:val="TCTableBody"/>
              <w:jc w:val="center"/>
              <w:rPr>
                <w:rFonts w:ascii="Times New Roman" w:hAnsi="Times New Roman"/>
                <w:b/>
                <w:bCs/>
                <w:color w:val="000000"/>
                <w:sz w:val="20"/>
              </w:rPr>
            </w:pPr>
            <w:r>
              <w:rPr>
                <w:sz w:val="20"/>
              </w:rPr>
              <w:t>14.8 ± 1.4</w:t>
            </w:r>
          </w:p>
        </w:tc>
        <w:tc>
          <w:tcPr>
            <w:tcW w:w="990" w:type="dxa"/>
          </w:tcPr>
          <w:p w14:paraId="26CB8F7A" w14:textId="77777777" w:rsidR="00FA0CDB" w:rsidRPr="00C634FF" w:rsidRDefault="00FA0CDB" w:rsidP="00FA0CDB">
            <w:pPr>
              <w:pStyle w:val="TCTableBody"/>
              <w:jc w:val="center"/>
              <w:rPr>
                <w:rFonts w:ascii="Times New Roman" w:hAnsi="Times New Roman"/>
                <w:b/>
                <w:bCs/>
                <w:color w:val="000000"/>
                <w:sz w:val="20"/>
              </w:rPr>
            </w:pPr>
            <w:r>
              <w:rPr>
                <w:sz w:val="20"/>
              </w:rPr>
              <w:t>228.4 ± 11.7</w:t>
            </w:r>
          </w:p>
        </w:tc>
      </w:tr>
      <w:tr w:rsidR="00FA0CDB" w:rsidRPr="00C634FF" w14:paraId="446F738F" w14:textId="77777777" w:rsidTr="00453EE8">
        <w:trPr>
          <w:trHeight w:val="340"/>
        </w:trPr>
        <w:tc>
          <w:tcPr>
            <w:tcW w:w="895" w:type="dxa"/>
            <w:vMerge w:val="restart"/>
            <w:hideMark/>
          </w:tcPr>
          <w:p w14:paraId="7F510B8D" w14:textId="77777777" w:rsidR="00FA0CDB" w:rsidRPr="00C634FF" w:rsidRDefault="00FA0CDB" w:rsidP="00FA0CDB">
            <w:pPr>
              <w:pStyle w:val="TCTableBody"/>
              <w:jc w:val="center"/>
              <w:rPr>
                <w:rFonts w:ascii="Times New Roman" w:hAnsi="Times New Roman"/>
                <w:b/>
                <w:bCs/>
                <w:i/>
                <w:iCs/>
                <w:color w:val="000000"/>
                <w:sz w:val="20"/>
              </w:rPr>
            </w:pPr>
            <w:r>
              <w:rPr>
                <w:b/>
                <w:bCs/>
                <w:i/>
                <w:iCs/>
                <w:color w:val="000000"/>
                <w:sz w:val="20"/>
              </w:rPr>
              <w:t>Susceptible</w:t>
            </w:r>
          </w:p>
        </w:tc>
        <w:tc>
          <w:tcPr>
            <w:tcW w:w="810" w:type="dxa"/>
            <w:hideMark/>
          </w:tcPr>
          <w:p w14:paraId="63352704" w14:textId="77777777" w:rsidR="00FA0CDB" w:rsidRPr="00C634FF" w:rsidRDefault="00FA0CDB" w:rsidP="00FA0CDB">
            <w:pPr>
              <w:pStyle w:val="TCTableBody"/>
              <w:jc w:val="center"/>
              <w:rPr>
                <w:rFonts w:ascii="Times New Roman" w:hAnsi="Times New Roman"/>
                <w:color w:val="000000"/>
                <w:sz w:val="20"/>
              </w:rPr>
            </w:pPr>
            <w:r>
              <w:rPr>
                <w:color w:val="000000"/>
                <w:sz w:val="20"/>
              </w:rPr>
              <w:t>V106I</w:t>
            </w:r>
          </w:p>
        </w:tc>
        <w:tc>
          <w:tcPr>
            <w:tcW w:w="1260" w:type="dxa"/>
            <w:hideMark/>
          </w:tcPr>
          <w:p w14:paraId="0926BBF8" w14:textId="77777777" w:rsidR="00FA0CDB" w:rsidRPr="00C634FF" w:rsidRDefault="00FA0CDB" w:rsidP="00FA0CDB">
            <w:pPr>
              <w:pStyle w:val="TCTableBody"/>
              <w:jc w:val="center"/>
              <w:rPr>
                <w:rFonts w:ascii="Times New Roman" w:hAnsi="Times New Roman"/>
                <w:color w:val="000000"/>
                <w:sz w:val="20"/>
              </w:rPr>
            </w:pPr>
            <w:r>
              <w:rPr>
                <w:sz w:val="20"/>
              </w:rPr>
              <w:t>3.62 ± 0.30</w:t>
            </w:r>
          </w:p>
        </w:tc>
        <w:tc>
          <w:tcPr>
            <w:tcW w:w="1260" w:type="dxa"/>
            <w:hideMark/>
          </w:tcPr>
          <w:p w14:paraId="2E05C1B5" w14:textId="77777777" w:rsidR="00FA0CDB" w:rsidRPr="00C634FF" w:rsidRDefault="00FA0CDB" w:rsidP="00FA0CDB">
            <w:pPr>
              <w:pStyle w:val="TCTableBody"/>
              <w:jc w:val="center"/>
              <w:rPr>
                <w:rFonts w:ascii="Times New Roman" w:hAnsi="Times New Roman"/>
                <w:color w:val="000000"/>
                <w:sz w:val="20"/>
              </w:rPr>
            </w:pPr>
            <w:r>
              <w:rPr>
                <w:sz w:val="20"/>
              </w:rPr>
              <w:t>9.20 ± 0.50</w:t>
            </w:r>
          </w:p>
        </w:tc>
        <w:tc>
          <w:tcPr>
            <w:tcW w:w="1530" w:type="dxa"/>
            <w:hideMark/>
          </w:tcPr>
          <w:p w14:paraId="2DE50177" w14:textId="77777777" w:rsidR="00FA0CDB" w:rsidRPr="00C634FF" w:rsidRDefault="00FA0CDB" w:rsidP="00FA0CDB">
            <w:pPr>
              <w:pStyle w:val="TCTableBody"/>
              <w:jc w:val="center"/>
              <w:rPr>
                <w:rFonts w:ascii="Times New Roman" w:hAnsi="Times New Roman"/>
                <w:color w:val="000000"/>
                <w:sz w:val="20"/>
              </w:rPr>
            </w:pPr>
            <w:r>
              <w:rPr>
                <w:sz w:val="20"/>
              </w:rPr>
              <w:t>20.2 ± 0.3</w:t>
            </w:r>
          </w:p>
        </w:tc>
        <w:tc>
          <w:tcPr>
            <w:tcW w:w="1440" w:type="dxa"/>
          </w:tcPr>
          <w:p w14:paraId="4575FB5C" w14:textId="77777777" w:rsidR="00FA0CDB" w:rsidRPr="00C634FF" w:rsidRDefault="00FA0CDB" w:rsidP="00FA0CDB">
            <w:pPr>
              <w:pStyle w:val="TCTableBody"/>
              <w:jc w:val="center"/>
              <w:rPr>
                <w:rFonts w:ascii="Times New Roman" w:hAnsi="Times New Roman"/>
                <w:color w:val="000000"/>
                <w:sz w:val="20"/>
              </w:rPr>
            </w:pPr>
            <w:r>
              <w:rPr>
                <w:sz w:val="20"/>
              </w:rPr>
              <w:t>14.7 ± 2.3</w:t>
            </w:r>
          </w:p>
        </w:tc>
        <w:tc>
          <w:tcPr>
            <w:tcW w:w="1260" w:type="dxa"/>
          </w:tcPr>
          <w:p w14:paraId="5A38DD0D" w14:textId="77777777" w:rsidR="00FA0CDB" w:rsidRPr="00C634FF" w:rsidRDefault="00FA0CDB" w:rsidP="00FA0CDB">
            <w:pPr>
              <w:pStyle w:val="TCTableBody"/>
              <w:jc w:val="center"/>
              <w:rPr>
                <w:rFonts w:ascii="Times New Roman" w:hAnsi="Times New Roman"/>
                <w:color w:val="000000"/>
                <w:sz w:val="20"/>
              </w:rPr>
            </w:pPr>
            <w:r>
              <w:rPr>
                <w:sz w:val="20"/>
              </w:rPr>
              <w:t>3.74 ± 0.20</w:t>
            </w:r>
          </w:p>
        </w:tc>
        <w:tc>
          <w:tcPr>
            <w:tcW w:w="1260" w:type="dxa"/>
          </w:tcPr>
          <w:p w14:paraId="52851363" w14:textId="77777777" w:rsidR="00FA0CDB" w:rsidRPr="00C634FF" w:rsidRDefault="00FA0CDB" w:rsidP="00FA0CDB">
            <w:pPr>
              <w:pStyle w:val="TCTableBody"/>
              <w:jc w:val="center"/>
              <w:rPr>
                <w:rFonts w:ascii="Times New Roman" w:hAnsi="Times New Roman"/>
                <w:b/>
                <w:bCs/>
                <w:color w:val="000000"/>
                <w:sz w:val="20"/>
              </w:rPr>
            </w:pPr>
            <w:r>
              <w:rPr>
                <w:sz w:val="20"/>
              </w:rPr>
              <w:t>7.15 ± 0.14</w:t>
            </w:r>
          </w:p>
        </w:tc>
        <w:tc>
          <w:tcPr>
            <w:tcW w:w="1170" w:type="dxa"/>
          </w:tcPr>
          <w:p w14:paraId="5645AABC" w14:textId="77777777" w:rsidR="00FA0CDB" w:rsidRPr="00C634FF" w:rsidRDefault="00FA0CDB" w:rsidP="00FA0CDB">
            <w:pPr>
              <w:pStyle w:val="TCTableBody"/>
              <w:jc w:val="center"/>
              <w:rPr>
                <w:rFonts w:ascii="Times New Roman" w:hAnsi="Times New Roman"/>
                <w:b/>
                <w:bCs/>
                <w:color w:val="000000"/>
                <w:sz w:val="20"/>
              </w:rPr>
            </w:pPr>
            <w:r>
              <w:rPr>
                <w:sz w:val="20"/>
              </w:rPr>
              <w:t>3.22 ± 0.09</w:t>
            </w:r>
          </w:p>
        </w:tc>
        <w:tc>
          <w:tcPr>
            <w:tcW w:w="990" w:type="dxa"/>
          </w:tcPr>
          <w:p w14:paraId="49B3CC1B" w14:textId="77777777" w:rsidR="00FA0CDB" w:rsidRPr="00C634FF" w:rsidRDefault="00FA0CDB" w:rsidP="00FA0CDB">
            <w:pPr>
              <w:pStyle w:val="TCTableBody"/>
              <w:jc w:val="center"/>
              <w:rPr>
                <w:rFonts w:ascii="Times New Roman" w:hAnsi="Times New Roman"/>
                <w:b/>
                <w:bCs/>
                <w:color w:val="000000"/>
                <w:sz w:val="20"/>
              </w:rPr>
            </w:pPr>
            <w:r>
              <w:rPr>
                <w:sz w:val="20"/>
              </w:rPr>
              <w:t>16.0 ± 0.8</w:t>
            </w:r>
          </w:p>
        </w:tc>
        <w:tc>
          <w:tcPr>
            <w:tcW w:w="990" w:type="dxa"/>
          </w:tcPr>
          <w:p w14:paraId="11AA1189" w14:textId="77777777" w:rsidR="00FA0CDB" w:rsidRPr="00C634FF" w:rsidRDefault="00FA0CDB" w:rsidP="00FA0CDB">
            <w:pPr>
              <w:pStyle w:val="TCTableBody"/>
              <w:jc w:val="center"/>
              <w:rPr>
                <w:rFonts w:ascii="Times New Roman" w:hAnsi="Times New Roman"/>
                <w:b/>
                <w:bCs/>
                <w:color w:val="000000"/>
                <w:sz w:val="20"/>
              </w:rPr>
            </w:pPr>
            <w:r>
              <w:rPr>
                <w:sz w:val="20"/>
              </w:rPr>
              <w:t>247.3 ± 6.7</w:t>
            </w:r>
          </w:p>
        </w:tc>
      </w:tr>
      <w:tr w:rsidR="00FA0CDB" w:rsidRPr="00C634FF" w14:paraId="594E5961" w14:textId="77777777" w:rsidTr="00453EE8">
        <w:trPr>
          <w:trHeight w:val="340"/>
        </w:trPr>
        <w:tc>
          <w:tcPr>
            <w:tcW w:w="895" w:type="dxa"/>
            <w:vMerge/>
            <w:hideMark/>
          </w:tcPr>
          <w:p w14:paraId="02B11709" w14:textId="77777777" w:rsidR="00FA0CDB" w:rsidRPr="00C634FF" w:rsidRDefault="00FA0CDB" w:rsidP="00FA0CDB">
            <w:pPr>
              <w:rPr>
                <w:rFonts w:ascii="Times New Roman" w:hAnsi="Times New Roman"/>
                <w:color w:val="000000"/>
                <w:sz w:val="20"/>
              </w:rPr>
            </w:pPr>
          </w:p>
        </w:tc>
        <w:tc>
          <w:tcPr>
            <w:tcW w:w="810" w:type="dxa"/>
            <w:hideMark/>
          </w:tcPr>
          <w:p w14:paraId="5ECD5ED4" w14:textId="77777777" w:rsidR="00FA0CDB" w:rsidRPr="00C634FF" w:rsidRDefault="00FA0CDB" w:rsidP="00FA0CDB">
            <w:pPr>
              <w:pStyle w:val="TCTableBody"/>
              <w:jc w:val="center"/>
              <w:rPr>
                <w:rFonts w:ascii="Times New Roman" w:hAnsi="Times New Roman"/>
                <w:color w:val="000000"/>
                <w:sz w:val="20"/>
              </w:rPr>
            </w:pPr>
            <w:r>
              <w:rPr>
                <w:sz w:val="20"/>
              </w:rPr>
              <w:t>K103N</w:t>
            </w:r>
          </w:p>
        </w:tc>
        <w:tc>
          <w:tcPr>
            <w:tcW w:w="1260" w:type="dxa"/>
            <w:hideMark/>
          </w:tcPr>
          <w:p w14:paraId="07BBCB74" w14:textId="77777777" w:rsidR="00FA0CDB" w:rsidRPr="00C634FF" w:rsidRDefault="00FA0CDB" w:rsidP="00FA0CDB">
            <w:pPr>
              <w:pStyle w:val="TCTableBody"/>
              <w:jc w:val="center"/>
              <w:rPr>
                <w:rFonts w:ascii="Times New Roman" w:hAnsi="Times New Roman"/>
                <w:color w:val="000000"/>
                <w:sz w:val="20"/>
              </w:rPr>
            </w:pPr>
            <w:r>
              <w:rPr>
                <w:sz w:val="20"/>
              </w:rPr>
              <w:t>3.08 ± 0.06</w:t>
            </w:r>
          </w:p>
        </w:tc>
        <w:tc>
          <w:tcPr>
            <w:tcW w:w="1260" w:type="dxa"/>
            <w:hideMark/>
          </w:tcPr>
          <w:p w14:paraId="4A78E2DA" w14:textId="77777777" w:rsidR="00FA0CDB" w:rsidRPr="00C634FF" w:rsidRDefault="00FA0CDB" w:rsidP="00FA0CDB">
            <w:pPr>
              <w:pStyle w:val="TCTableBody"/>
              <w:jc w:val="center"/>
              <w:rPr>
                <w:rFonts w:ascii="Times New Roman" w:hAnsi="Times New Roman"/>
                <w:color w:val="000000"/>
                <w:sz w:val="20"/>
              </w:rPr>
            </w:pPr>
            <w:r>
              <w:rPr>
                <w:sz w:val="20"/>
              </w:rPr>
              <w:t>5.07 ± 0.04</w:t>
            </w:r>
          </w:p>
        </w:tc>
        <w:tc>
          <w:tcPr>
            <w:tcW w:w="1530" w:type="dxa"/>
            <w:hideMark/>
          </w:tcPr>
          <w:p w14:paraId="1AA3AA80" w14:textId="77777777" w:rsidR="00FA0CDB" w:rsidRPr="00C634FF" w:rsidRDefault="00FA0CDB" w:rsidP="00FA0CDB">
            <w:pPr>
              <w:pStyle w:val="TCTableBody"/>
              <w:jc w:val="center"/>
              <w:rPr>
                <w:rFonts w:ascii="Times New Roman" w:hAnsi="Times New Roman"/>
                <w:color w:val="000000"/>
                <w:sz w:val="20"/>
              </w:rPr>
            </w:pPr>
            <w:r>
              <w:rPr>
                <w:sz w:val="20"/>
              </w:rPr>
              <w:t>20.3 ± 0.6</w:t>
            </w:r>
          </w:p>
        </w:tc>
        <w:tc>
          <w:tcPr>
            <w:tcW w:w="1440" w:type="dxa"/>
          </w:tcPr>
          <w:p w14:paraId="13D0BA28" w14:textId="77777777" w:rsidR="00FA0CDB" w:rsidRPr="00C634FF" w:rsidRDefault="00FA0CDB" w:rsidP="00FA0CDB">
            <w:pPr>
              <w:pStyle w:val="TCTableBody"/>
              <w:jc w:val="center"/>
              <w:rPr>
                <w:rFonts w:ascii="Times New Roman" w:hAnsi="Times New Roman"/>
                <w:sz w:val="20"/>
              </w:rPr>
            </w:pPr>
            <w:r>
              <w:rPr>
                <w:sz w:val="20"/>
              </w:rPr>
              <w:t>14.2 ± 1.7</w:t>
            </w:r>
          </w:p>
        </w:tc>
        <w:tc>
          <w:tcPr>
            <w:tcW w:w="1260" w:type="dxa"/>
          </w:tcPr>
          <w:p w14:paraId="49825936" w14:textId="77777777" w:rsidR="00FA0CDB" w:rsidRPr="00C634FF" w:rsidRDefault="00FA0CDB" w:rsidP="00FA0CDB">
            <w:pPr>
              <w:pStyle w:val="TCTableBody"/>
              <w:jc w:val="center"/>
              <w:rPr>
                <w:rFonts w:ascii="Times New Roman" w:hAnsi="Times New Roman"/>
                <w:sz w:val="20"/>
              </w:rPr>
            </w:pPr>
            <w:r>
              <w:rPr>
                <w:sz w:val="20"/>
              </w:rPr>
              <w:t>3.77 ± 0.13</w:t>
            </w:r>
          </w:p>
        </w:tc>
        <w:tc>
          <w:tcPr>
            <w:tcW w:w="1260" w:type="dxa"/>
          </w:tcPr>
          <w:p w14:paraId="28A54DCD" w14:textId="77777777" w:rsidR="00FA0CDB" w:rsidRPr="00C634FF" w:rsidRDefault="00FA0CDB" w:rsidP="00FA0CDB">
            <w:pPr>
              <w:pStyle w:val="TCTableBody"/>
              <w:jc w:val="center"/>
              <w:rPr>
                <w:rFonts w:ascii="Times New Roman" w:hAnsi="Times New Roman"/>
                <w:b/>
                <w:bCs/>
                <w:color w:val="000000"/>
                <w:sz w:val="20"/>
              </w:rPr>
            </w:pPr>
            <w:r>
              <w:rPr>
                <w:sz w:val="20"/>
              </w:rPr>
              <w:t>6.48 ± 0.10</w:t>
            </w:r>
          </w:p>
        </w:tc>
        <w:tc>
          <w:tcPr>
            <w:tcW w:w="1170" w:type="dxa"/>
          </w:tcPr>
          <w:p w14:paraId="68A67B80" w14:textId="77777777" w:rsidR="00FA0CDB" w:rsidRPr="00C634FF" w:rsidRDefault="00FA0CDB" w:rsidP="00FA0CDB">
            <w:pPr>
              <w:pStyle w:val="TCTableBody"/>
              <w:jc w:val="center"/>
              <w:rPr>
                <w:rFonts w:ascii="Times New Roman" w:hAnsi="Times New Roman"/>
                <w:b/>
                <w:bCs/>
                <w:color w:val="000000"/>
                <w:sz w:val="20"/>
              </w:rPr>
            </w:pPr>
            <w:r>
              <w:rPr>
                <w:sz w:val="20"/>
              </w:rPr>
              <w:t>3.15 ± 0.14</w:t>
            </w:r>
          </w:p>
        </w:tc>
        <w:tc>
          <w:tcPr>
            <w:tcW w:w="990" w:type="dxa"/>
          </w:tcPr>
          <w:p w14:paraId="55DCC905" w14:textId="77777777" w:rsidR="00FA0CDB" w:rsidRPr="00C634FF" w:rsidRDefault="00FA0CDB" w:rsidP="00FA0CDB">
            <w:pPr>
              <w:pStyle w:val="TCTableBody"/>
              <w:jc w:val="center"/>
              <w:rPr>
                <w:rFonts w:ascii="Times New Roman" w:hAnsi="Times New Roman"/>
                <w:b/>
                <w:bCs/>
                <w:color w:val="000000"/>
                <w:sz w:val="20"/>
              </w:rPr>
            </w:pPr>
            <w:r>
              <w:rPr>
                <w:sz w:val="20"/>
              </w:rPr>
              <w:t>17.4 ± 1.7</w:t>
            </w:r>
          </w:p>
        </w:tc>
        <w:tc>
          <w:tcPr>
            <w:tcW w:w="990" w:type="dxa"/>
          </w:tcPr>
          <w:p w14:paraId="1218B7C2" w14:textId="77777777" w:rsidR="00FA0CDB" w:rsidRPr="00C634FF" w:rsidRDefault="00FA0CDB" w:rsidP="00FA0CDB">
            <w:pPr>
              <w:pStyle w:val="TCTableBody"/>
              <w:jc w:val="center"/>
              <w:rPr>
                <w:rFonts w:ascii="Times New Roman" w:hAnsi="Times New Roman"/>
                <w:b/>
                <w:bCs/>
                <w:color w:val="000000"/>
                <w:sz w:val="20"/>
              </w:rPr>
            </w:pPr>
            <w:r>
              <w:rPr>
                <w:sz w:val="20"/>
              </w:rPr>
              <w:t>236.8 ± 3.7</w:t>
            </w:r>
          </w:p>
        </w:tc>
      </w:tr>
      <w:tr w:rsidR="00FA0CDB" w:rsidRPr="00C634FF" w14:paraId="4A928BC3" w14:textId="77777777" w:rsidTr="00453EE8">
        <w:trPr>
          <w:trHeight w:val="340"/>
        </w:trPr>
        <w:tc>
          <w:tcPr>
            <w:tcW w:w="895" w:type="dxa"/>
            <w:vMerge/>
            <w:hideMark/>
          </w:tcPr>
          <w:p w14:paraId="2DC7B827" w14:textId="77777777" w:rsidR="00FA0CDB" w:rsidRPr="00C634FF" w:rsidRDefault="00FA0CDB" w:rsidP="00FA0CDB">
            <w:pPr>
              <w:rPr>
                <w:rFonts w:ascii="Times New Roman" w:hAnsi="Times New Roman"/>
                <w:color w:val="000000"/>
                <w:sz w:val="20"/>
              </w:rPr>
            </w:pPr>
          </w:p>
        </w:tc>
        <w:tc>
          <w:tcPr>
            <w:tcW w:w="810" w:type="dxa"/>
            <w:hideMark/>
          </w:tcPr>
          <w:p w14:paraId="61F088CE" w14:textId="77777777" w:rsidR="00FA0CDB" w:rsidRPr="00C634FF" w:rsidRDefault="00FA0CDB" w:rsidP="00FA0CDB">
            <w:pPr>
              <w:pStyle w:val="TCTableBody"/>
              <w:jc w:val="center"/>
              <w:rPr>
                <w:rFonts w:ascii="Times New Roman" w:hAnsi="Times New Roman"/>
                <w:color w:val="000000"/>
                <w:sz w:val="20"/>
              </w:rPr>
            </w:pPr>
            <w:r>
              <w:rPr>
                <w:sz w:val="20"/>
              </w:rPr>
              <w:t>Y181C</w:t>
            </w:r>
          </w:p>
        </w:tc>
        <w:tc>
          <w:tcPr>
            <w:tcW w:w="1260" w:type="dxa"/>
            <w:hideMark/>
          </w:tcPr>
          <w:p w14:paraId="63BD4277" w14:textId="77777777" w:rsidR="00FA0CDB" w:rsidRPr="00C634FF" w:rsidRDefault="00FA0CDB" w:rsidP="00FA0CDB">
            <w:pPr>
              <w:pStyle w:val="TCTableBody"/>
              <w:jc w:val="center"/>
              <w:rPr>
                <w:rFonts w:ascii="Times New Roman" w:hAnsi="Times New Roman"/>
                <w:color w:val="000000"/>
                <w:sz w:val="20"/>
              </w:rPr>
            </w:pPr>
            <w:r>
              <w:rPr>
                <w:sz w:val="20"/>
              </w:rPr>
              <w:t>2.95 ± 0.06</w:t>
            </w:r>
          </w:p>
        </w:tc>
        <w:tc>
          <w:tcPr>
            <w:tcW w:w="1260" w:type="dxa"/>
            <w:hideMark/>
          </w:tcPr>
          <w:p w14:paraId="6EABC431" w14:textId="77777777" w:rsidR="00FA0CDB" w:rsidRPr="00C634FF" w:rsidRDefault="00FA0CDB" w:rsidP="00FA0CDB">
            <w:pPr>
              <w:pStyle w:val="TCTableBody"/>
              <w:jc w:val="center"/>
              <w:rPr>
                <w:rFonts w:ascii="Times New Roman" w:hAnsi="Times New Roman"/>
                <w:color w:val="000000"/>
                <w:sz w:val="20"/>
              </w:rPr>
            </w:pPr>
            <w:r>
              <w:rPr>
                <w:sz w:val="20"/>
              </w:rPr>
              <w:t>8.17 ± 0.26</w:t>
            </w:r>
          </w:p>
        </w:tc>
        <w:tc>
          <w:tcPr>
            <w:tcW w:w="1530" w:type="dxa"/>
            <w:hideMark/>
          </w:tcPr>
          <w:p w14:paraId="4E927A65" w14:textId="77777777" w:rsidR="00FA0CDB" w:rsidRPr="00C634FF" w:rsidRDefault="00FA0CDB" w:rsidP="00FA0CDB">
            <w:pPr>
              <w:pStyle w:val="TCTableBody"/>
              <w:jc w:val="center"/>
              <w:rPr>
                <w:rFonts w:ascii="Times New Roman" w:hAnsi="Times New Roman"/>
                <w:color w:val="000000"/>
                <w:sz w:val="20"/>
              </w:rPr>
            </w:pPr>
            <w:r>
              <w:rPr>
                <w:sz w:val="20"/>
              </w:rPr>
              <w:t>24.0 ± 2.6</w:t>
            </w:r>
          </w:p>
        </w:tc>
        <w:tc>
          <w:tcPr>
            <w:tcW w:w="1440" w:type="dxa"/>
          </w:tcPr>
          <w:p w14:paraId="646E526D" w14:textId="77777777" w:rsidR="00FA0CDB" w:rsidRPr="00C634FF" w:rsidRDefault="00FA0CDB" w:rsidP="00FA0CDB">
            <w:pPr>
              <w:pStyle w:val="TCTableBody"/>
              <w:jc w:val="center"/>
              <w:rPr>
                <w:rFonts w:ascii="Times New Roman" w:hAnsi="Times New Roman"/>
                <w:sz w:val="20"/>
              </w:rPr>
            </w:pPr>
            <w:r>
              <w:rPr>
                <w:sz w:val="20"/>
              </w:rPr>
              <w:t>14.9 ± 1.6</w:t>
            </w:r>
          </w:p>
        </w:tc>
        <w:tc>
          <w:tcPr>
            <w:tcW w:w="1260" w:type="dxa"/>
          </w:tcPr>
          <w:p w14:paraId="775D025A" w14:textId="77777777" w:rsidR="00FA0CDB" w:rsidRPr="00C634FF" w:rsidRDefault="00FA0CDB" w:rsidP="00FA0CDB">
            <w:pPr>
              <w:pStyle w:val="TCTableBody"/>
              <w:jc w:val="center"/>
              <w:rPr>
                <w:rFonts w:ascii="Times New Roman" w:hAnsi="Times New Roman"/>
                <w:sz w:val="20"/>
              </w:rPr>
            </w:pPr>
            <w:r>
              <w:rPr>
                <w:sz w:val="20"/>
              </w:rPr>
              <w:t>3.51 ± 0.13</w:t>
            </w:r>
          </w:p>
        </w:tc>
        <w:tc>
          <w:tcPr>
            <w:tcW w:w="1260" w:type="dxa"/>
          </w:tcPr>
          <w:p w14:paraId="46301FF8" w14:textId="77777777" w:rsidR="00FA0CDB" w:rsidRPr="00C634FF" w:rsidRDefault="00FA0CDB" w:rsidP="00FA0CDB">
            <w:pPr>
              <w:pStyle w:val="TCTableBody"/>
              <w:jc w:val="center"/>
              <w:rPr>
                <w:rFonts w:ascii="Times New Roman" w:hAnsi="Times New Roman"/>
                <w:b/>
                <w:bCs/>
                <w:color w:val="000000"/>
                <w:sz w:val="20"/>
              </w:rPr>
            </w:pPr>
            <w:r>
              <w:rPr>
                <w:sz w:val="20"/>
              </w:rPr>
              <w:t>5.99 ± 0.15</w:t>
            </w:r>
          </w:p>
        </w:tc>
        <w:tc>
          <w:tcPr>
            <w:tcW w:w="1170" w:type="dxa"/>
          </w:tcPr>
          <w:p w14:paraId="3F474EE0" w14:textId="77777777" w:rsidR="00FA0CDB" w:rsidRPr="00C634FF" w:rsidRDefault="00FA0CDB" w:rsidP="00FA0CDB">
            <w:pPr>
              <w:pStyle w:val="TCTableBody"/>
              <w:jc w:val="center"/>
              <w:rPr>
                <w:rFonts w:ascii="Times New Roman" w:hAnsi="Times New Roman"/>
                <w:b/>
                <w:bCs/>
                <w:color w:val="000000"/>
                <w:sz w:val="20"/>
              </w:rPr>
            </w:pPr>
            <w:r>
              <w:rPr>
                <w:sz w:val="20"/>
              </w:rPr>
              <w:t>3.05 ± 0.17</w:t>
            </w:r>
          </w:p>
        </w:tc>
        <w:tc>
          <w:tcPr>
            <w:tcW w:w="990" w:type="dxa"/>
          </w:tcPr>
          <w:p w14:paraId="2DA9C2CA" w14:textId="77777777" w:rsidR="00FA0CDB" w:rsidRPr="00C634FF" w:rsidRDefault="00FA0CDB" w:rsidP="00FA0CDB">
            <w:pPr>
              <w:pStyle w:val="TCTableBody"/>
              <w:jc w:val="center"/>
              <w:rPr>
                <w:rFonts w:ascii="Times New Roman" w:hAnsi="Times New Roman"/>
                <w:b/>
                <w:bCs/>
                <w:color w:val="000000"/>
                <w:sz w:val="20"/>
              </w:rPr>
            </w:pPr>
            <w:r>
              <w:rPr>
                <w:sz w:val="20"/>
              </w:rPr>
              <w:t>16.4 ± 1.1</w:t>
            </w:r>
          </w:p>
        </w:tc>
        <w:tc>
          <w:tcPr>
            <w:tcW w:w="990" w:type="dxa"/>
          </w:tcPr>
          <w:p w14:paraId="64A289EF" w14:textId="77777777" w:rsidR="00FA0CDB" w:rsidRPr="00C634FF" w:rsidRDefault="00FA0CDB" w:rsidP="00FA0CDB">
            <w:pPr>
              <w:pStyle w:val="TCTableBody"/>
              <w:jc w:val="center"/>
              <w:rPr>
                <w:rFonts w:ascii="Times New Roman" w:hAnsi="Times New Roman"/>
                <w:b/>
                <w:bCs/>
                <w:color w:val="000000"/>
                <w:sz w:val="20"/>
              </w:rPr>
            </w:pPr>
            <w:r>
              <w:rPr>
                <w:sz w:val="20"/>
              </w:rPr>
              <w:t>257.3 ± 1.6</w:t>
            </w:r>
          </w:p>
        </w:tc>
      </w:tr>
      <w:tr w:rsidR="00FA0CDB" w:rsidRPr="00C634FF" w14:paraId="236BD366" w14:textId="77777777" w:rsidTr="00453EE8">
        <w:trPr>
          <w:trHeight w:val="359"/>
        </w:trPr>
        <w:tc>
          <w:tcPr>
            <w:tcW w:w="895" w:type="dxa"/>
            <w:vMerge/>
            <w:hideMark/>
          </w:tcPr>
          <w:p w14:paraId="73088DEE" w14:textId="77777777" w:rsidR="00FA0CDB" w:rsidRPr="00C634FF" w:rsidRDefault="00FA0CDB" w:rsidP="00FA0CDB">
            <w:pPr>
              <w:rPr>
                <w:rFonts w:ascii="Times New Roman" w:hAnsi="Times New Roman"/>
                <w:color w:val="000000"/>
                <w:sz w:val="20"/>
              </w:rPr>
            </w:pPr>
          </w:p>
        </w:tc>
        <w:tc>
          <w:tcPr>
            <w:tcW w:w="810" w:type="dxa"/>
            <w:hideMark/>
          </w:tcPr>
          <w:p w14:paraId="2A39D85A" w14:textId="77777777" w:rsidR="00FA0CDB" w:rsidRPr="00C634FF" w:rsidRDefault="00FA0CDB" w:rsidP="00FA0CDB">
            <w:pPr>
              <w:pStyle w:val="TCTableBody"/>
              <w:jc w:val="center"/>
              <w:rPr>
                <w:rFonts w:ascii="Times New Roman" w:hAnsi="Times New Roman"/>
                <w:color w:val="000000"/>
                <w:sz w:val="20"/>
              </w:rPr>
            </w:pPr>
            <w:r>
              <w:rPr>
                <w:sz w:val="20"/>
              </w:rPr>
              <w:t>G190A</w:t>
            </w:r>
          </w:p>
        </w:tc>
        <w:tc>
          <w:tcPr>
            <w:tcW w:w="1260" w:type="dxa"/>
            <w:hideMark/>
          </w:tcPr>
          <w:p w14:paraId="082DB5F6" w14:textId="77777777" w:rsidR="00FA0CDB" w:rsidRPr="00C634FF" w:rsidRDefault="00FA0CDB" w:rsidP="00FA0CDB">
            <w:pPr>
              <w:pStyle w:val="TCTableBody"/>
              <w:jc w:val="center"/>
              <w:rPr>
                <w:rFonts w:ascii="Times New Roman" w:hAnsi="Times New Roman"/>
                <w:color w:val="000000"/>
                <w:sz w:val="20"/>
              </w:rPr>
            </w:pPr>
            <w:r>
              <w:rPr>
                <w:sz w:val="20"/>
              </w:rPr>
              <w:t>3.01 ± 0.03</w:t>
            </w:r>
          </w:p>
        </w:tc>
        <w:tc>
          <w:tcPr>
            <w:tcW w:w="1260" w:type="dxa"/>
            <w:hideMark/>
          </w:tcPr>
          <w:p w14:paraId="5CAA59DC" w14:textId="77777777" w:rsidR="00FA0CDB" w:rsidRPr="00C634FF" w:rsidRDefault="00FA0CDB" w:rsidP="00FA0CDB">
            <w:pPr>
              <w:pStyle w:val="TCTableBody"/>
              <w:jc w:val="center"/>
              <w:rPr>
                <w:rFonts w:ascii="Times New Roman" w:hAnsi="Times New Roman"/>
                <w:color w:val="000000"/>
                <w:sz w:val="20"/>
              </w:rPr>
            </w:pPr>
            <w:r>
              <w:rPr>
                <w:sz w:val="20"/>
              </w:rPr>
              <w:t>8.56 ± 0.20</w:t>
            </w:r>
          </w:p>
        </w:tc>
        <w:tc>
          <w:tcPr>
            <w:tcW w:w="1530" w:type="dxa"/>
            <w:hideMark/>
          </w:tcPr>
          <w:p w14:paraId="0E462F4E" w14:textId="77777777" w:rsidR="00FA0CDB" w:rsidRPr="00C634FF" w:rsidRDefault="00FA0CDB" w:rsidP="00FA0CDB">
            <w:pPr>
              <w:pStyle w:val="TCTableBody"/>
              <w:jc w:val="center"/>
              <w:rPr>
                <w:rFonts w:ascii="Times New Roman" w:hAnsi="Times New Roman"/>
                <w:color w:val="000000"/>
                <w:sz w:val="20"/>
              </w:rPr>
            </w:pPr>
            <w:r>
              <w:rPr>
                <w:sz w:val="20"/>
              </w:rPr>
              <w:t>20.0 ± 1.2</w:t>
            </w:r>
          </w:p>
        </w:tc>
        <w:tc>
          <w:tcPr>
            <w:tcW w:w="1440" w:type="dxa"/>
          </w:tcPr>
          <w:p w14:paraId="359189C5" w14:textId="77777777" w:rsidR="00FA0CDB" w:rsidRPr="00C634FF" w:rsidRDefault="00FA0CDB" w:rsidP="00FA0CDB">
            <w:pPr>
              <w:pStyle w:val="TCTableBody"/>
              <w:jc w:val="center"/>
              <w:rPr>
                <w:rFonts w:ascii="Times New Roman" w:hAnsi="Times New Roman"/>
                <w:sz w:val="20"/>
              </w:rPr>
            </w:pPr>
            <w:r>
              <w:rPr>
                <w:sz w:val="20"/>
              </w:rPr>
              <w:t>16.0 ± 1.8</w:t>
            </w:r>
          </w:p>
        </w:tc>
        <w:tc>
          <w:tcPr>
            <w:tcW w:w="1260" w:type="dxa"/>
          </w:tcPr>
          <w:p w14:paraId="2B5F1A84" w14:textId="77777777" w:rsidR="00FA0CDB" w:rsidRPr="00C634FF" w:rsidRDefault="00FA0CDB" w:rsidP="00FA0CDB">
            <w:pPr>
              <w:pStyle w:val="TCTableBody"/>
              <w:jc w:val="center"/>
              <w:rPr>
                <w:rFonts w:ascii="Times New Roman" w:hAnsi="Times New Roman"/>
                <w:sz w:val="20"/>
              </w:rPr>
            </w:pPr>
            <w:r>
              <w:rPr>
                <w:sz w:val="20"/>
              </w:rPr>
              <w:t>3.51 ± 0.05</w:t>
            </w:r>
          </w:p>
        </w:tc>
        <w:tc>
          <w:tcPr>
            <w:tcW w:w="1260" w:type="dxa"/>
          </w:tcPr>
          <w:p w14:paraId="7A890C85" w14:textId="77777777" w:rsidR="00FA0CDB" w:rsidRPr="00C634FF" w:rsidRDefault="00FA0CDB" w:rsidP="00FA0CDB">
            <w:pPr>
              <w:pStyle w:val="TCTableBody"/>
              <w:jc w:val="center"/>
              <w:rPr>
                <w:rFonts w:ascii="Times New Roman" w:hAnsi="Times New Roman"/>
                <w:b/>
                <w:bCs/>
                <w:color w:val="000000"/>
                <w:sz w:val="20"/>
              </w:rPr>
            </w:pPr>
            <w:r>
              <w:rPr>
                <w:sz w:val="20"/>
              </w:rPr>
              <w:t>6.81 ± 0.08</w:t>
            </w:r>
          </w:p>
        </w:tc>
        <w:tc>
          <w:tcPr>
            <w:tcW w:w="1170" w:type="dxa"/>
          </w:tcPr>
          <w:p w14:paraId="76B250F6" w14:textId="77777777" w:rsidR="00FA0CDB" w:rsidRPr="00C634FF" w:rsidRDefault="00FA0CDB" w:rsidP="00FA0CDB">
            <w:pPr>
              <w:pStyle w:val="TCTableBody"/>
              <w:jc w:val="center"/>
              <w:rPr>
                <w:rFonts w:ascii="Times New Roman" w:hAnsi="Times New Roman"/>
                <w:b/>
                <w:bCs/>
                <w:color w:val="000000"/>
                <w:sz w:val="20"/>
              </w:rPr>
            </w:pPr>
            <w:r>
              <w:rPr>
                <w:sz w:val="20"/>
              </w:rPr>
              <w:t>3.26 ± 0.10</w:t>
            </w:r>
          </w:p>
        </w:tc>
        <w:tc>
          <w:tcPr>
            <w:tcW w:w="990" w:type="dxa"/>
          </w:tcPr>
          <w:p w14:paraId="31D8D6F1" w14:textId="77777777" w:rsidR="00FA0CDB" w:rsidRPr="00C634FF" w:rsidRDefault="00FA0CDB" w:rsidP="00FA0CDB">
            <w:pPr>
              <w:pStyle w:val="TCTableBody"/>
              <w:jc w:val="center"/>
              <w:rPr>
                <w:rFonts w:ascii="Times New Roman" w:hAnsi="Times New Roman"/>
                <w:b/>
                <w:bCs/>
                <w:color w:val="000000"/>
                <w:sz w:val="20"/>
              </w:rPr>
            </w:pPr>
            <w:r>
              <w:rPr>
                <w:sz w:val="20"/>
              </w:rPr>
              <w:t>14.5 ± 0.7</w:t>
            </w:r>
          </w:p>
        </w:tc>
        <w:tc>
          <w:tcPr>
            <w:tcW w:w="990" w:type="dxa"/>
          </w:tcPr>
          <w:p w14:paraId="66BAB2D7" w14:textId="77777777" w:rsidR="00FA0CDB" w:rsidRPr="00C634FF" w:rsidRDefault="00FA0CDB" w:rsidP="00FA0CDB">
            <w:pPr>
              <w:pStyle w:val="TCTableBody"/>
              <w:jc w:val="center"/>
              <w:rPr>
                <w:rFonts w:ascii="Times New Roman" w:hAnsi="Times New Roman"/>
                <w:b/>
                <w:bCs/>
                <w:color w:val="000000"/>
                <w:sz w:val="20"/>
              </w:rPr>
            </w:pPr>
            <w:r>
              <w:rPr>
                <w:sz w:val="20"/>
              </w:rPr>
              <w:t>233.3 ± 1.5</w:t>
            </w:r>
          </w:p>
        </w:tc>
      </w:tr>
      <w:tr w:rsidR="00FA0CDB" w:rsidRPr="00C634FF" w14:paraId="4878E7CB" w14:textId="77777777" w:rsidTr="00453EE8">
        <w:trPr>
          <w:trHeight w:val="340"/>
        </w:trPr>
        <w:tc>
          <w:tcPr>
            <w:tcW w:w="895" w:type="dxa"/>
            <w:vMerge w:val="restart"/>
            <w:hideMark/>
          </w:tcPr>
          <w:p w14:paraId="7A99BC1B" w14:textId="77777777" w:rsidR="00FA0CDB" w:rsidRPr="00C634FF" w:rsidRDefault="00FA0CDB" w:rsidP="00FA0CDB">
            <w:pPr>
              <w:pStyle w:val="TCTableBody"/>
              <w:jc w:val="center"/>
              <w:rPr>
                <w:rFonts w:ascii="Times New Roman" w:hAnsi="Times New Roman"/>
                <w:b/>
                <w:bCs/>
                <w:i/>
                <w:iCs/>
                <w:color w:val="000000"/>
                <w:sz w:val="20"/>
              </w:rPr>
            </w:pPr>
            <w:r>
              <w:rPr>
                <w:b/>
                <w:bCs/>
                <w:i/>
                <w:iCs/>
                <w:color w:val="000000"/>
                <w:sz w:val="20"/>
              </w:rPr>
              <w:t>Resistant</w:t>
            </w:r>
          </w:p>
        </w:tc>
        <w:tc>
          <w:tcPr>
            <w:tcW w:w="810" w:type="dxa"/>
            <w:hideMark/>
          </w:tcPr>
          <w:p w14:paraId="76D23FA8" w14:textId="77777777" w:rsidR="00FA0CDB" w:rsidRPr="00C634FF" w:rsidRDefault="00FA0CDB" w:rsidP="00FA0CDB">
            <w:pPr>
              <w:pStyle w:val="TCTableBody"/>
              <w:jc w:val="center"/>
              <w:rPr>
                <w:rFonts w:ascii="Times New Roman" w:hAnsi="Times New Roman"/>
                <w:color w:val="000000"/>
                <w:sz w:val="20"/>
              </w:rPr>
            </w:pPr>
            <w:r>
              <w:rPr>
                <w:sz w:val="20"/>
              </w:rPr>
              <w:t>Y318F</w:t>
            </w:r>
          </w:p>
        </w:tc>
        <w:tc>
          <w:tcPr>
            <w:tcW w:w="1260" w:type="dxa"/>
            <w:hideMark/>
          </w:tcPr>
          <w:p w14:paraId="7AE106CA" w14:textId="77777777" w:rsidR="00FA0CDB" w:rsidRPr="00C634FF" w:rsidRDefault="00FA0CDB" w:rsidP="00FA0CDB">
            <w:pPr>
              <w:pStyle w:val="TCTableBody"/>
              <w:jc w:val="center"/>
              <w:rPr>
                <w:rFonts w:ascii="Times New Roman" w:hAnsi="Times New Roman"/>
                <w:color w:val="000000"/>
                <w:sz w:val="20"/>
              </w:rPr>
            </w:pPr>
            <w:r>
              <w:rPr>
                <w:sz w:val="20"/>
              </w:rPr>
              <w:t>2.99 ± 0.06</w:t>
            </w:r>
          </w:p>
        </w:tc>
        <w:tc>
          <w:tcPr>
            <w:tcW w:w="1260" w:type="dxa"/>
            <w:hideMark/>
          </w:tcPr>
          <w:p w14:paraId="25CE6FD7" w14:textId="77777777" w:rsidR="00FA0CDB" w:rsidRPr="00C634FF" w:rsidRDefault="00FA0CDB" w:rsidP="00FA0CDB">
            <w:pPr>
              <w:pStyle w:val="TCTableBody"/>
              <w:jc w:val="center"/>
              <w:rPr>
                <w:rFonts w:ascii="Times New Roman" w:hAnsi="Times New Roman"/>
                <w:color w:val="000000"/>
                <w:sz w:val="20"/>
              </w:rPr>
            </w:pPr>
            <w:r>
              <w:rPr>
                <w:sz w:val="20"/>
              </w:rPr>
              <w:t>8.29 ± 0.05</w:t>
            </w:r>
          </w:p>
        </w:tc>
        <w:tc>
          <w:tcPr>
            <w:tcW w:w="1530" w:type="dxa"/>
            <w:hideMark/>
          </w:tcPr>
          <w:p w14:paraId="7BA559B4" w14:textId="77777777" w:rsidR="00FA0CDB" w:rsidRPr="00C634FF" w:rsidRDefault="00FA0CDB" w:rsidP="00FA0CDB">
            <w:pPr>
              <w:pStyle w:val="TCTableBody"/>
              <w:jc w:val="center"/>
              <w:rPr>
                <w:rFonts w:ascii="Times New Roman" w:hAnsi="Times New Roman"/>
                <w:color w:val="000000"/>
                <w:sz w:val="20"/>
              </w:rPr>
            </w:pPr>
            <w:r>
              <w:rPr>
                <w:sz w:val="20"/>
              </w:rPr>
              <w:t>19.2 ± 0.2</w:t>
            </w:r>
          </w:p>
        </w:tc>
        <w:tc>
          <w:tcPr>
            <w:tcW w:w="1440" w:type="dxa"/>
          </w:tcPr>
          <w:p w14:paraId="116F3CFD" w14:textId="77777777" w:rsidR="00FA0CDB" w:rsidRPr="00C634FF" w:rsidRDefault="00FA0CDB" w:rsidP="00FA0CDB">
            <w:pPr>
              <w:pStyle w:val="TCTableBody"/>
              <w:jc w:val="center"/>
              <w:rPr>
                <w:rFonts w:ascii="Times New Roman" w:hAnsi="Times New Roman"/>
                <w:color w:val="000000"/>
                <w:sz w:val="20"/>
              </w:rPr>
            </w:pPr>
            <w:r>
              <w:rPr>
                <w:sz w:val="20"/>
              </w:rPr>
              <w:t>14.2 ± 0.2</w:t>
            </w:r>
          </w:p>
        </w:tc>
        <w:tc>
          <w:tcPr>
            <w:tcW w:w="1260" w:type="dxa"/>
          </w:tcPr>
          <w:p w14:paraId="73836D48" w14:textId="77777777" w:rsidR="00FA0CDB" w:rsidRPr="00C634FF" w:rsidRDefault="00FA0CDB" w:rsidP="00FA0CDB">
            <w:pPr>
              <w:pStyle w:val="TCTableBody"/>
              <w:jc w:val="center"/>
              <w:rPr>
                <w:rFonts w:ascii="Times New Roman" w:hAnsi="Times New Roman"/>
                <w:color w:val="000000"/>
                <w:sz w:val="20"/>
              </w:rPr>
            </w:pPr>
            <w:r>
              <w:rPr>
                <w:sz w:val="20"/>
              </w:rPr>
              <w:t>3.69 ± 0.04</w:t>
            </w:r>
          </w:p>
        </w:tc>
        <w:tc>
          <w:tcPr>
            <w:tcW w:w="1260" w:type="dxa"/>
          </w:tcPr>
          <w:p w14:paraId="140445EA" w14:textId="77777777" w:rsidR="00FA0CDB" w:rsidRPr="00C634FF" w:rsidRDefault="00FA0CDB" w:rsidP="00FA0CDB">
            <w:pPr>
              <w:pStyle w:val="TCTableBody"/>
              <w:jc w:val="center"/>
              <w:rPr>
                <w:rFonts w:ascii="Times New Roman" w:hAnsi="Times New Roman"/>
                <w:b/>
                <w:bCs/>
                <w:color w:val="000000"/>
                <w:sz w:val="20"/>
              </w:rPr>
            </w:pPr>
            <w:r>
              <w:rPr>
                <w:sz w:val="20"/>
              </w:rPr>
              <w:t>6.61 ± 0.09</w:t>
            </w:r>
          </w:p>
        </w:tc>
        <w:tc>
          <w:tcPr>
            <w:tcW w:w="1170" w:type="dxa"/>
          </w:tcPr>
          <w:p w14:paraId="02FAE4EC" w14:textId="77777777" w:rsidR="00FA0CDB" w:rsidRPr="00C634FF" w:rsidRDefault="00FA0CDB" w:rsidP="00FA0CDB">
            <w:pPr>
              <w:pStyle w:val="TCTableBody"/>
              <w:jc w:val="center"/>
              <w:rPr>
                <w:rFonts w:ascii="Times New Roman" w:hAnsi="Times New Roman"/>
                <w:b/>
                <w:bCs/>
                <w:color w:val="000000"/>
                <w:sz w:val="20"/>
              </w:rPr>
            </w:pPr>
            <w:r>
              <w:rPr>
                <w:sz w:val="20"/>
              </w:rPr>
              <w:t>3.30 ± 0.00</w:t>
            </w:r>
          </w:p>
        </w:tc>
        <w:tc>
          <w:tcPr>
            <w:tcW w:w="990" w:type="dxa"/>
          </w:tcPr>
          <w:p w14:paraId="6E2CED13" w14:textId="77777777" w:rsidR="00FA0CDB" w:rsidRPr="00C634FF" w:rsidRDefault="00FA0CDB" w:rsidP="00FA0CDB">
            <w:pPr>
              <w:pStyle w:val="TCTableBody"/>
              <w:jc w:val="center"/>
              <w:rPr>
                <w:rFonts w:ascii="Times New Roman" w:hAnsi="Times New Roman"/>
                <w:b/>
                <w:bCs/>
                <w:color w:val="000000"/>
                <w:sz w:val="20"/>
              </w:rPr>
            </w:pPr>
            <w:r>
              <w:rPr>
                <w:sz w:val="20"/>
              </w:rPr>
              <w:t>14.2 ± 0.4</w:t>
            </w:r>
          </w:p>
        </w:tc>
        <w:tc>
          <w:tcPr>
            <w:tcW w:w="990" w:type="dxa"/>
          </w:tcPr>
          <w:p w14:paraId="4C8FECB6" w14:textId="77777777" w:rsidR="00FA0CDB" w:rsidRPr="00C634FF" w:rsidRDefault="00FA0CDB" w:rsidP="00FA0CDB">
            <w:pPr>
              <w:pStyle w:val="TCTableBody"/>
              <w:jc w:val="center"/>
              <w:rPr>
                <w:rFonts w:ascii="Times New Roman" w:hAnsi="Times New Roman"/>
                <w:b/>
                <w:bCs/>
                <w:color w:val="000000"/>
                <w:sz w:val="20"/>
              </w:rPr>
            </w:pPr>
            <w:r>
              <w:rPr>
                <w:sz w:val="20"/>
              </w:rPr>
              <w:t>233.8 ± 7.8</w:t>
            </w:r>
          </w:p>
        </w:tc>
      </w:tr>
      <w:tr w:rsidR="00FA0CDB" w:rsidRPr="00C634FF" w14:paraId="5C0E3FFA" w14:textId="77777777" w:rsidTr="00453EE8">
        <w:trPr>
          <w:trHeight w:val="340"/>
        </w:trPr>
        <w:tc>
          <w:tcPr>
            <w:tcW w:w="895" w:type="dxa"/>
            <w:vMerge/>
            <w:hideMark/>
          </w:tcPr>
          <w:p w14:paraId="6161433E" w14:textId="77777777" w:rsidR="00FA0CDB" w:rsidRPr="00C634FF" w:rsidRDefault="00FA0CDB" w:rsidP="00FA0CDB">
            <w:pPr>
              <w:rPr>
                <w:rFonts w:ascii="Times New Roman" w:hAnsi="Times New Roman"/>
                <w:color w:val="000000"/>
                <w:sz w:val="20"/>
              </w:rPr>
            </w:pPr>
          </w:p>
        </w:tc>
        <w:tc>
          <w:tcPr>
            <w:tcW w:w="810" w:type="dxa"/>
            <w:hideMark/>
          </w:tcPr>
          <w:p w14:paraId="6B5D7BF6" w14:textId="77777777" w:rsidR="00FA0CDB" w:rsidRPr="00C634FF" w:rsidRDefault="00FA0CDB" w:rsidP="00FA0CDB">
            <w:pPr>
              <w:pStyle w:val="TCTableBody"/>
              <w:jc w:val="center"/>
              <w:rPr>
                <w:rFonts w:ascii="Times New Roman" w:hAnsi="Times New Roman"/>
                <w:color w:val="000000"/>
                <w:sz w:val="20"/>
              </w:rPr>
            </w:pPr>
            <w:r>
              <w:rPr>
                <w:sz w:val="20"/>
              </w:rPr>
              <w:t>V106A</w:t>
            </w:r>
          </w:p>
        </w:tc>
        <w:tc>
          <w:tcPr>
            <w:tcW w:w="1260" w:type="dxa"/>
            <w:hideMark/>
          </w:tcPr>
          <w:p w14:paraId="7C696F6B" w14:textId="77777777" w:rsidR="00FA0CDB" w:rsidRPr="00C634FF" w:rsidRDefault="00FA0CDB" w:rsidP="00FA0CDB">
            <w:pPr>
              <w:pStyle w:val="TCTableBody"/>
              <w:jc w:val="center"/>
              <w:rPr>
                <w:rFonts w:ascii="Times New Roman" w:hAnsi="Times New Roman"/>
                <w:color w:val="000000"/>
                <w:sz w:val="20"/>
              </w:rPr>
            </w:pPr>
            <w:r>
              <w:rPr>
                <w:sz w:val="20"/>
              </w:rPr>
              <w:t>3.05 ± 0.08</w:t>
            </w:r>
          </w:p>
        </w:tc>
        <w:tc>
          <w:tcPr>
            <w:tcW w:w="1260" w:type="dxa"/>
            <w:hideMark/>
          </w:tcPr>
          <w:p w14:paraId="73E46104" w14:textId="77777777" w:rsidR="00FA0CDB" w:rsidRPr="00C634FF" w:rsidRDefault="00FA0CDB" w:rsidP="00FA0CDB">
            <w:pPr>
              <w:pStyle w:val="TCTableBody"/>
              <w:jc w:val="center"/>
              <w:rPr>
                <w:rFonts w:ascii="Times New Roman" w:hAnsi="Times New Roman"/>
                <w:color w:val="000000"/>
                <w:sz w:val="20"/>
              </w:rPr>
            </w:pPr>
            <w:r>
              <w:rPr>
                <w:sz w:val="20"/>
              </w:rPr>
              <w:t>8.45 ± 0.07</w:t>
            </w:r>
          </w:p>
        </w:tc>
        <w:tc>
          <w:tcPr>
            <w:tcW w:w="1530" w:type="dxa"/>
            <w:hideMark/>
          </w:tcPr>
          <w:p w14:paraId="1B6ACE1E" w14:textId="77777777" w:rsidR="00FA0CDB" w:rsidRPr="00C634FF" w:rsidRDefault="00FA0CDB" w:rsidP="00FA0CDB">
            <w:pPr>
              <w:pStyle w:val="TCTableBody"/>
              <w:jc w:val="center"/>
              <w:rPr>
                <w:rFonts w:ascii="Times New Roman" w:hAnsi="Times New Roman"/>
                <w:color w:val="000000"/>
                <w:sz w:val="20"/>
              </w:rPr>
            </w:pPr>
            <w:r>
              <w:rPr>
                <w:sz w:val="20"/>
              </w:rPr>
              <w:t>17.8 ± 0.7</w:t>
            </w:r>
          </w:p>
        </w:tc>
        <w:tc>
          <w:tcPr>
            <w:tcW w:w="1440" w:type="dxa"/>
          </w:tcPr>
          <w:p w14:paraId="6B720B85" w14:textId="77777777" w:rsidR="00FA0CDB" w:rsidRPr="00C634FF" w:rsidRDefault="00FA0CDB" w:rsidP="00FA0CDB">
            <w:pPr>
              <w:pStyle w:val="TCTableBody"/>
              <w:jc w:val="center"/>
              <w:rPr>
                <w:rFonts w:ascii="Times New Roman" w:hAnsi="Times New Roman"/>
                <w:sz w:val="20"/>
              </w:rPr>
            </w:pPr>
            <w:r>
              <w:rPr>
                <w:sz w:val="20"/>
              </w:rPr>
              <w:t>20.5 ± 7.1</w:t>
            </w:r>
          </w:p>
        </w:tc>
        <w:tc>
          <w:tcPr>
            <w:tcW w:w="1260" w:type="dxa"/>
          </w:tcPr>
          <w:p w14:paraId="1130D71E" w14:textId="77777777" w:rsidR="00FA0CDB" w:rsidRPr="00C634FF" w:rsidRDefault="00FA0CDB" w:rsidP="00FA0CDB">
            <w:pPr>
              <w:pStyle w:val="TCTableBody"/>
              <w:jc w:val="center"/>
              <w:rPr>
                <w:rFonts w:ascii="Times New Roman" w:hAnsi="Times New Roman"/>
                <w:sz w:val="20"/>
              </w:rPr>
            </w:pPr>
            <w:r>
              <w:rPr>
                <w:sz w:val="20"/>
              </w:rPr>
              <w:t>3.55 ± 0.07</w:t>
            </w:r>
          </w:p>
        </w:tc>
        <w:tc>
          <w:tcPr>
            <w:tcW w:w="1260" w:type="dxa"/>
          </w:tcPr>
          <w:p w14:paraId="19B95FA9" w14:textId="77777777" w:rsidR="00FA0CDB" w:rsidRPr="00C634FF" w:rsidRDefault="00FA0CDB" w:rsidP="00FA0CDB">
            <w:pPr>
              <w:pStyle w:val="TCTableBody"/>
              <w:jc w:val="center"/>
              <w:rPr>
                <w:rFonts w:ascii="Times New Roman" w:hAnsi="Times New Roman"/>
                <w:b/>
                <w:bCs/>
                <w:color w:val="000000"/>
                <w:sz w:val="20"/>
              </w:rPr>
            </w:pPr>
            <w:r>
              <w:rPr>
                <w:sz w:val="20"/>
              </w:rPr>
              <w:t>5.30 ± 0.02</w:t>
            </w:r>
          </w:p>
        </w:tc>
        <w:tc>
          <w:tcPr>
            <w:tcW w:w="1170" w:type="dxa"/>
          </w:tcPr>
          <w:p w14:paraId="77978DFD" w14:textId="77777777" w:rsidR="00FA0CDB" w:rsidRPr="00C634FF" w:rsidRDefault="00FA0CDB" w:rsidP="00FA0CDB">
            <w:pPr>
              <w:pStyle w:val="TCTableBody"/>
              <w:jc w:val="center"/>
              <w:rPr>
                <w:rFonts w:ascii="Times New Roman" w:hAnsi="Times New Roman"/>
                <w:b/>
                <w:bCs/>
                <w:color w:val="000000"/>
                <w:sz w:val="20"/>
              </w:rPr>
            </w:pPr>
            <w:r>
              <w:rPr>
                <w:sz w:val="20"/>
              </w:rPr>
              <w:t>3.54 ± 0.10</w:t>
            </w:r>
          </w:p>
        </w:tc>
        <w:tc>
          <w:tcPr>
            <w:tcW w:w="990" w:type="dxa"/>
          </w:tcPr>
          <w:p w14:paraId="0C2F1A93" w14:textId="77777777" w:rsidR="00FA0CDB" w:rsidRPr="00C634FF" w:rsidRDefault="00FA0CDB" w:rsidP="00FA0CDB">
            <w:pPr>
              <w:pStyle w:val="TCTableBody"/>
              <w:jc w:val="center"/>
              <w:rPr>
                <w:rFonts w:ascii="Times New Roman" w:hAnsi="Times New Roman"/>
                <w:b/>
                <w:bCs/>
                <w:color w:val="000000"/>
                <w:sz w:val="20"/>
              </w:rPr>
            </w:pPr>
            <w:r>
              <w:rPr>
                <w:sz w:val="20"/>
              </w:rPr>
              <w:t>11.6 ± 1.7</w:t>
            </w:r>
          </w:p>
        </w:tc>
        <w:tc>
          <w:tcPr>
            <w:tcW w:w="990" w:type="dxa"/>
          </w:tcPr>
          <w:p w14:paraId="061B3007" w14:textId="77777777" w:rsidR="00FA0CDB" w:rsidRPr="00C634FF" w:rsidRDefault="00FA0CDB" w:rsidP="00FA0CDB">
            <w:pPr>
              <w:pStyle w:val="TCTableBody"/>
              <w:jc w:val="center"/>
              <w:rPr>
                <w:rFonts w:ascii="Times New Roman" w:hAnsi="Times New Roman"/>
                <w:b/>
                <w:bCs/>
                <w:color w:val="000000"/>
                <w:sz w:val="20"/>
              </w:rPr>
            </w:pPr>
            <w:r>
              <w:rPr>
                <w:sz w:val="20"/>
              </w:rPr>
              <w:t>250.5 ± 7.9</w:t>
            </w:r>
          </w:p>
        </w:tc>
      </w:tr>
      <w:tr w:rsidR="00FA0CDB" w:rsidRPr="00C634FF" w14:paraId="729F8757" w14:textId="77777777" w:rsidTr="00453EE8">
        <w:trPr>
          <w:trHeight w:val="340"/>
        </w:trPr>
        <w:tc>
          <w:tcPr>
            <w:tcW w:w="895" w:type="dxa"/>
            <w:vMerge/>
            <w:hideMark/>
          </w:tcPr>
          <w:p w14:paraId="29B945F2" w14:textId="77777777" w:rsidR="00FA0CDB" w:rsidRPr="00C634FF" w:rsidRDefault="00FA0CDB" w:rsidP="00FA0CDB">
            <w:pPr>
              <w:rPr>
                <w:rFonts w:ascii="Times New Roman" w:hAnsi="Times New Roman"/>
                <w:color w:val="000000"/>
                <w:sz w:val="20"/>
              </w:rPr>
            </w:pPr>
          </w:p>
        </w:tc>
        <w:tc>
          <w:tcPr>
            <w:tcW w:w="810" w:type="dxa"/>
            <w:hideMark/>
          </w:tcPr>
          <w:p w14:paraId="43BD0C83" w14:textId="77777777" w:rsidR="00FA0CDB" w:rsidRPr="00C634FF" w:rsidRDefault="00FA0CDB" w:rsidP="00FA0CDB">
            <w:pPr>
              <w:pStyle w:val="TCTableBody"/>
              <w:jc w:val="center"/>
              <w:rPr>
                <w:rFonts w:ascii="Times New Roman" w:hAnsi="Times New Roman"/>
                <w:color w:val="000000"/>
                <w:sz w:val="20"/>
              </w:rPr>
            </w:pPr>
            <w:r>
              <w:rPr>
                <w:sz w:val="20"/>
              </w:rPr>
              <w:t>A98G + F227C</w:t>
            </w:r>
          </w:p>
        </w:tc>
        <w:tc>
          <w:tcPr>
            <w:tcW w:w="1260" w:type="dxa"/>
            <w:hideMark/>
          </w:tcPr>
          <w:p w14:paraId="4695CEE3" w14:textId="77777777" w:rsidR="00FA0CDB" w:rsidRPr="00C634FF" w:rsidRDefault="00FA0CDB" w:rsidP="00FA0CDB">
            <w:pPr>
              <w:pStyle w:val="TCTableBody"/>
              <w:jc w:val="center"/>
              <w:rPr>
                <w:rFonts w:ascii="Times New Roman" w:hAnsi="Times New Roman"/>
                <w:color w:val="000000"/>
                <w:sz w:val="20"/>
              </w:rPr>
            </w:pPr>
            <w:r>
              <w:rPr>
                <w:sz w:val="20"/>
              </w:rPr>
              <w:t>2.97 ± 0.01</w:t>
            </w:r>
          </w:p>
        </w:tc>
        <w:tc>
          <w:tcPr>
            <w:tcW w:w="1260" w:type="dxa"/>
            <w:hideMark/>
          </w:tcPr>
          <w:p w14:paraId="7C2EB75F" w14:textId="77777777" w:rsidR="00FA0CDB" w:rsidRPr="00C634FF" w:rsidRDefault="00FA0CDB" w:rsidP="00FA0CDB">
            <w:pPr>
              <w:pStyle w:val="TCTableBody"/>
              <w:jc w:val="center"/>
              <w:rPr>
                <w:rFonts w:ascii="Times New Roman" w:hAnsi="Times New Roman"/>
                <w:color w:val="000000"/>
                <w:sz w:val="20"/>
              </w:rPr>
            </w:pPr>
            <w:r>
              <w:rPr>
                <w:sz w:val="20"/>
              </w:rPr>
              <w:t>8.32 ± 0.07</w:t>
            </w:r>
          </w:p>
        </w:tc>
        <w:tc>
          <w:tcPr>
            <w:tcW w:w="1530" w:type="dxa"/>
            <w:hideMark/>
          </w:tcPr>
          <w:p w14:paraId="273DC0B5" w14:textId="77777777" w:rsidR="00FA0CDB" w:rsidRPr="00C634FF" w:rsidRDefault="00FA0CDB" w:rsidP="00FA0CDB">
            <w:pPr>
              <w:pStyle w:val="TCTableBody"/>
              <w:jc w:val="center"/>
              <w:rPr>
                <w:rFonts w:ascii="Times New Roman" w:hAnsi="Times New Roman"/>
                <w:color w:val="000000"/>
                <w:sz w:val="20"/>
              </w:rPr>
            </w:pPr>
            <w:r>
              <w:rPr>
                <w:sz w:val="20"/>
              </w:rPr>
              <w:t>20.4 ± 3.5</w:t>
            </w:r>
          </w:p>
        </w:tc>
        <w:tc>
          <w:tcPr>
            <w:tcW w:w="1440" w:type="dxa"/>
          </w:tcPr>
          <w:p w14:paraId="0716A9B6" w14:textId="77777777" w:rsidR="00FA0CDB" w:rsidRPr="00C634FF" w:rsidRDefault="00FA0CDB" w:rsidP="00FA0CDB">
            <w:pPr>
              <w:pStyle w:val="TCTableBody"/>
              <w:jc w:val="center"/>
              <w:rPr>
                <w:rFonts w:ascii="Times New Roman" w:hAnsi="Times New Roman"/>
                <w:sz w:val="20"/>
              </w:rPr>
            </w:pPr>
            <w:r>
              <w:rPr>
                <w:sz w:val="20"/>
              </w:rPr>
              <w:t>22.0 ± 9.4</w:t>
            </w:r>
          </w:p>
        </w:tc>
        <w:tc>
          <w:tcPr>
            <w:tcW w:w="1260" w:type="dxa"/>
          </w:tcPr>
          <w:p w14:paraId="0B796950" w14:textId="77777777" w:rsidR="00FA0CDB" w:rsidRPr="00C634FF" w:rsidRDefault="00FA0CDB" w:rsidP="00FA0CDB">
            <w:pPr>
              <w:pStyle w:val="TCTableBody"/>
              <w:jc w:val="center"/>
              <w:rPr>
                <w:rFonts w:ascii="Times New Roman" w:hAnsi="Times New Roman"/>
                <w:sz w:val="20"/>
              </w:rPr>
            </w:pPr>
            <w:r>
              <w:rPr>
                <w:sz w:val="20"/>
              </w:rPr>
              <w:t>3.39 ± 0.01</w:t>
            </w:r>
          </w:p>
        </w:tc>
        <w:tc>
          <w:tcPr>
            <w:tcW w:w="1260" w:type="dxa"/>
          </w:tcPr>
          <w:p w14:paraId="4BC9CC66" w14:textId="77777777" w:rsidR="00FA0CDB" w:rsidRPr="00C634FF" w:rsidRDefault="00FA0CDB" w:rsidP="00FA0CDB">
            <w:pPr>
              <w:pStyle w:val="TCTableBody"/>
              <w:jc w:val="center"/>
              <w:rPr>
                <w:rFonts w:ascii="Times New Roman" w:hAnsi="Times New Roman"/>
                <w:b/>
                <w:bCs/>
                <w:color w:val="000000"/>
                <w:sz w:val="20"/>
              </w:rPr>
            </w:pPr>
            <w:r>
              <w:rPr>
                <w:sz w:val="20"/>
              </w:rPr>
              <w:t>6.19 ± 0.21</w:t>
            </w:r>
          </w:p>
        </w:tc>
        <w:tc>
          <w:tcPr>
            <w:tcW w:w="1170" w:type="dxa"/>
          </w:tcPr>
          <w:p w14:paraId="17B33096" w14:textId="77777777" w:rsidR="00FA0CDB" w:rsidRPr="00C634FF" w:rsidRDefault="00FA0CDB" w:rsidP="00FA0CDB">
            <w:pPr>
              <w:pStyle w:val="TCTableBody"/>
              <w:jc w:val="center"/>
              <w:rPr>
                <w:rFonts w:ascii="Times New Roman" w:hAnsi="Times New Roman"/>
                <w:b/>
                <w:bCs/>
                <w:color w:val="000000"/>
                <w:sz w:val="20"/>
              </w:rPr>
            </w:pPr>
            <w:r>
              <w:rPr>
                <w:sz w:val="20"/>
              </w:rPr>
              <w:t>3.41 ± 0.02</w:t>
            </w:r>
          </w:p>
        </w:tc>
        <w:tc>
          <w:tcPr>
            <w:tcW w:w="990" w:type="dxa"/>
          </w:tcPr>
          <w:p w14:paraId="505BA190" w14:textId="77777777" w:rsidR="00FA0CDB" w:rsidRPr="00C634FF" w:rsidRDefault="00FA0CDB" w:rsidP="00FA0CDB">
            <w:pPr>
              <w:pStyle w:val="TCTableBody"/>
              <w:jc w:val="center"/>
              <w:rPr>
                <w:rFonts w:ascii="Times New Roman" w:hAnsi="Times New Roman"/>
                <w:b/>
                <w:bCs/>
                <w:color w:val="000000"/>
                <w:sz w:val="20"/>
              </w:rPr>
            </w:pPr>
            <w:r>
              <w:rPr>
                <w:sz w:val="20"/>
              </w:rPr>
              <w:t>15.2 ± 0.4</w:t>
            </w:r>
          </w:p>
        </w:tc>
        <w:tc>
          <w:tcPr>
            <w:tcW w:w="990" w:type="dxa"/>
          </w:tcPr>
          <w:p w14:paraId="6651FE8E" w14:textId="77777777" w:rsidR="00FA0CDB" w:rsidRPr="00C634FF" w:rsidRDefault="00FA0CDB" w:rsidP="00FA0CDB">
            <w:pPr>
              <w:pStyle w:val="TCTableBody"/>
              <w:jc w:val="center"/>
              <w:rPr>
                <w:rFonts w:ascii="Times New Roman" w:hAnsi="Times New Roman"/>
                <w:b/>
                <w:bCs/>
                <w:color w:val="000000"/>
                <w:sz w:val="20"/>
              </w:rPr>
            </w:pPr>
            <w:r>
              <w:rPr>
                <w:sz w:val="20"/>
              </w:rPr>
              <w:t>238.1 ± 10.2</w:t>
            </w:r>
          </w:p>
        </w:tc>
      </w:tr>
      <w:tr w:rsidR="00FA0CDB" w:rsidRPr="00C634FF" w14:paraId="65D5B89A" w14:textId="77777777" w:rsidTr="00453EE8">
        <w:trPr>
          <w:trHeight w:val="340"/>
        </w:trPr>
        <w:tc>
          <w:tcPr>
            <w:tcW w:w="895" w:type="dxa"/>
            <w:vMerge/>
            <w:hideMark/>
          </w:tcPr>
          <w:p w14:paraId="6D181B2D" w14:textId="77777777" w:rsidR="00FA0CDB" w:rsidRPr="00C634FF" w:rsidRDefault="00FA0CDB" w:rsidP="00FA0CDB">
            <w:pPr>
              <w:rPr>
                <w:rFonts w:ascii="Times New Roman" w:hAnsi="Times New Roman"/>
                <w:color w:val="000000"/>
                <w:sz w:val="20"/>
              </w:rPr>
            </w:pPr>
          </w:p>
        </w:tc>
        <w:tc>
          <w:tcPr>
            <w:tcW w:w="810" w:type="dxa"/>
            <w:hideMark/>
          </w:tcPr>
          <w:p w14:paraId="50D76FE1" w14:textId="77777777" w:rsidR="00FA0CDB" w:rsidRPr="00C634FF" w:rsidRDefault="00FA0CDB" w:rsidP="00FA0CDB">
            <w:pPr>
              <w:pStyle w:val="TCTableBody"/>
              <w:jc w:val="center"/>
              <w:rPr>
                <w:rFonts w:ascii="Times New Roman" w:hAnsi="Times New Roman"/>
                <w:color w:val="000000"/>
                <w:sz w:val="20"/>
              </w:rPr>
            </w:pPr>
            <w:r>
              <w:rPr>
                <w:sz w:val="20"/>
              </w:rPr>
              <w:t>V106I + F227C</w:t>
            </w:r>
          </w:p>
        </w:tc>
        <w:tc>
          <w:tcPr>
            <w:tcW w:w="1260" w:type="dxa"/>
            <w:hideMark/>
          </w:tcPr>
          <w:p w14:paraId="73EBDF2E" w14:textId="77777777" w:rsidR="00FA0CDB" w:rsidRPr="00C634FF" w:rsidRDefault="00FA0CDB" w:rsidP="00FA0CDB">
            <w:pPr>
              <w:pStyle w:val="TCTableBody"/>
              <w:jc w:val="center"/>
              <w:rPr>
                <w:rFonts w:ascii="Times New Roman" w:hAnsi="Times New Roman"/>
                <w:color w:val="000000"/>
                <w:sz w:val="20"/>
              </w:rPr>
            </w:pPr>
            <w:r>
              <w:rPr>
                <w:sz w:val="20"/>
              </w:rPr>
              <w:t>2.80 ± 0.16</w:t>
            </w:r>
          </w:p>
        </w:tc>
        <w:tc>
          <w:tcPr>
            <w:tcW w:w="1260" w:type="dxa"/>
            <w:hideMark/>
          </w:tcPr>
          <w:p w14:paraId="3ADDDCC0" w14:textId="77777777" w:rsidR="00FA0CDB" w:rsidRPr="00C634FF" w:rsidRDefault="00FA0CDB" w:rsidP="00FA0CDB">
            <w:pPr>
              <w:pStyle w:val="TCTableBody"/>
              <w:jc w:val="center"/>
              <w:rPr>
                <w:rFonts w:ascii="Times New Roman" w:hAnsi="Times New Roman"/>
                <w:color w:val="000000"/>
                <w:sz w:val="20"/>
              </w:rPr>
            </w:pPr>
            <w:r>
              <w:rPr>
                <w:sz w:val="20"/>
              </w:rPr>
              <w:t>8.07 ± 0.07</w:t>
            </w:r>
          </w:p>
        </w:tc>
        <w:tc>
          <w:tcPr>
            <w:tcW w:w="1530" w:type="dxa"/>
            <w:hideMark/>
          </w:tcPr>
          <w:p w14:paraId="6C6A80F2" w14:textId="77777777" w:rsidR="00FA0CDB" w:rsidRPr="00C634FF" w:rsidRDefault="00FA0CDB" w:rsidP="00FA0CDB">
            <w:pPr>
              <w:pStyle w:val="TCTableBody"/>
              <w:jc w:val="center"/>
              <w:rPr>
                <w:rFonts w:ascii="Times New Roman" w:hAnsi="Times New Roman"/>
                <w:color w:val="000000"/>
                <w:sz w:val="20"/>
              </w:rPr>
            </w:pPr>
            <w:r>
              <w:rPr>
                <w:sz w:val="20"/>
              </w:rPr>
              <w:t>19.2 ± 2.3</w:t>
            </w:r>
          </w:p>
        </w:tc>
        <w:tc>
          <w:tcPr>
            <w:tcW w:w="1440" w:type="dxa"/>
          </w:tcPr>
          <w:p w14:paraId="4CE1C3E4" w14:textId="77777777" w:rsidR="00FA0CDB" w:rsidRPr="00C634FF" w:rsidRDefault="00FA0CDB" w:rsidP="00FA0CDB">
            <w:pPr>
              <w:pStyle w:val="TCTableBody"/>
              <w:jc w:val="center"/>
              <w:rPr>
                <w:rFonts w:ascii="Times New Roman" w:hAnsi="Times New Roman"/>
                <w:sz w:val="20"/>
              </w:rPr>
            </w:pPr>
            <w:r>
              <w:rPr>
                <w:sz w:val="20"/>
              </w:rPr>
              <w:t>14.0 ± 0.3</w:t>
            </w:r>
          </w:p>
        </w:tc>
        <w:tc>
          <w:tcPr>
            <w:tcW w:w="1260" w:type="dxa"/>
          </w:tcPr>
          <w:p w14:paraId="0C24E4F6" w14:textId="77777777" w:rsidR="00FA0CDB" w:rsidRPr="00C634FF" w:rsidRDefault="00FA0CDB" w:rsidP="00FA0CDB">
            <w:pPr>
              <w:pStyle w:val="TCTableBody"/>
              <w:jc w:val="center"/>
              <w:rPr>
                <w:rFonts w:ascii="Times New Roman" w:hAnsi="Times New Roman"/>
                <w:sz w:val="20"/>
              </w:rPr>
            </w:pPr>
            <w:r>
              <w:rPr>
                <w:sz w:val="20"/>
              </w:rPr>
              <w:t>3.50 ± 0.06</w:t>
            </w:r>
          </w:p>
        </w:tc>
        <w:tc>
          <w:tcPr>
            <w:tcW w:w="1260" w:type="dxa"/>
          </w:tcPr>
          <w:p w14:paraId="7E7070C1" w14:textId="77777777" w:rsidR="00FA0CDB" w:rsidRPr="00C634FF" w:rsidRDefault="00FA0CDB" w:rsidP="00FA0CDB">
            <w:pPr>
              <w:pStyle w:val="TCTableBody"/>
              <w:jc w:val="center"/>
              <w:rPr>
                <w:rFonts w:ascii="Times New Roman" w:hAnsi="Times New Roman"/>
                <w:b/>
                <w:bCs/>
                <w:color w:val="000000"/>
                <w:sz w:val="20"/>
              </w:rPr>
            </w:pPr>
            <w:r>
              <w:rPr>
                <w:sz w:val="20"/>
              </w:rPr>
              <w:t>6.47 ± 0.20</w:t>
            </w:r>
          </w:p>
        </w:tc>
        <w:tc>
          <w:tcPr>
            <w:tcW w:w="1170" w:type="dxa"/>
          </w:tcPr>
          <w:p w14:paraId="3AA28F94" w14:textId="77777777" w:rsidR="00FA0CDB" w:rsidRPr="00C634FF" w:rsidRDefault="00FA0CDB" w:rsidP="00FA0CDB">
            <w:pPr>
              <w:pStyle w:val="TCTableBody"/>
              <w:jc w:val="center"/>
              <w:rPr>
                <w:rFonts w:ascii="Times New Roman" w:hAnsi="Times New Roman"/>
                <w:b/>
                <w:bCs/>
                <w:color w:val="000000"/>
                <w:sz w:val="20"/>
              </w:rPr>
            </w:pPr>
            <w:r>
              <w:rPr>
                <w:sz w:val="20"/>
              </w:rPr>
              <w:t>3.09 ± 0.16</w:t>
            </w:r>
          </w:p>
        </w:tc>
        <w:tc>
          <w:tcPr>
            <w:tcW w:w="990" w:type="dxa"/>
          </w:tcPr>
          <w:p w14:paraId="096AF729" w14:textId="77777777" w:rsidR="00FA0CDB" w:rsidRPr="00C634FF" w:rsidRDefault="00FA0CDB" w:rsidP="00FA0CDB">
            <w:pPr>
              <w:pStyle w:val="TCTableBody"/>
              <w:jc w:val="center"/>
              <w:rPr>
                <w:rFonts w:ascii="Times New Roman" w:hAnsi="Times New Roman"/>
                <w:b/>
                <w:bCs/>
                <w:color w:val="000000"/>
                <w:sz w:val="20"/>
              </w:rPr>
            </w:pPr>
            <w:r>
              <w:rPr>
                <w:sz w:val="20"/>
              </w:rPr>
              <w:t>16.8 ± 2.7</w:t>
            </w:r>
          </w:p>
        </w:tc>
        <w:tc>
          <w:tcPr>
            <w:tcW w:w="990" w:type="dxa"/>
          </w:tcPr>
          <w:p w14:paraId="6798A3ED" w14:textId="77777777" w:rsidR="00FA0CDB" w:rsidRPr="00C634FF" w:rsidRDefault="00FA0CDB" w:rsidP="00FA0CDB">
            <w:pPr>
              <w:pStyle w:val="TCTableBody"/>
              <w:jc w:val="center"/>
              <w:rPr>
                <w:rFonts w:ascii="Times New Roman" w:hAnsi="Times New Roman"/>
                <w:b/>
                <w:bCs/>
                <w:color w:val="000000"/>
                <w:sz w:val="20"/>
              </w:rPr>
            </w:pPr>
            <w:r>
              <w:rPr>
                <w:sz w:val="20"/>
              </w:rPr>
              <w:t>232.8 ± 4.6</w:t>
            </w:r>
          </w:p>
        </w:tc>
      </w:tr>
      <w:tr w:rsidR="00FA0CDB" w:rsidRPr="00C634FF" w14:paraId="76EBBB90" w14:textId="77777777" w:rsidTr="00453EE8">
        <w:trPr>
          <w:trHeight w:val="340"/>
        </w:trPr>
        <w:tc>
          <w:tcPr>
            <w:tcW w:w="895" w:type="dxa"/>
            <w:vMerge/>
            <w:hideMark/>
          </w:tcPr>
          <w:p w14:paraId="5317CF4D" w14:textId="77777777" w:rsidR="00FA0CDB" w:rsidRPr="00C634FF" w:rsidRDefault="00FA0CDB" w:rsidP="00FA0CDB">
            <w:pPr>
              <w:rPr>
                <w:rFonts w:ascii="Times New Roman" w:hAnsi="Times New Roman"/>
                <w:color w:val="000000"/>
                <w:sz w:val="20"/>
              </w:rPr>
            </w:pPr>
          </w:p>
        </w:tc>
        <w:tc>
          <w:tcPr>
            <w:tcW w:w="810" w:type="dxa"/>
            <w:hideMark/>
          </w:tcPr>
          <w:p w14:paraId="53789144" w14:textId="77777777" w:rsidR="00FA0CDB" w:rsidRPr="00C634FF" w:rsidRDefault="00FA0CDB" w:rsidP="00FA0CDB">
            <w:pPr>
              <w:pStyle w:val="TCTableBody"/>
              <w:jc w:val="center"/>
              <w:rPr>
                <w:rFonts w:ascii="Times New Roman" w:hAnsi="Times New Roman"/>
                <w:color w:val="000000"/>
                <w:sz w:val="20"/>
              </w:rPr>
            </w:pPr>
            <w:r>
              <w:rPr>
                <w:sz w:val="20"/>
              </w:rPr>
              <w:t>V106A + F227L</w:t>
            </w:r>
          </w:p>
        </w:tc>
        <w:tc>
          <w:tcPr>
            <w:tcW w:w="1260" w:type="dxa"/>
            <w:hideMark/>
          </w:tcPr>
          <w:p w14:paraId="5369C4CE" w14:textId="77777777" w:rsidR="00FA0CDB" w:rsidRPr="00C634FF" w:rsidRDefault="00FA0CDB" w:rsidP="00FA0CDB">
            <w:pPr>
              <w:pStyle w:val="TCTableBody"/>
              <w:jc w:val="center"/>
              <w:rPr>
                <w:rFonts w:ascii="Times New Roman" w:hAnsi="Times New Roman"/>
                <w:color w:val="000000"/>
                <w:sz w:val="20"/>
              </w:rPr>
            </w:pPr>
            <w:r>
              <w:rPr>
                <w:sz w:val="20"/>
              </w:rPr>
              <w:t>3.17 ± 0.08</w:t>
            </w:r>
          </w:p>
        </w:tc>
        <w:tc>
          <w:tcPr>
            <w:tcW w:w="1260" w:type="dxa"/>
            <w:hideMark/>
          </w:tcPr>
          <w:p w14:paraId="1BAFEA48" w14:textId="77777777" w:rsidR="00FA0CDB" w:rsidRPr="00C634FF" w:rsidRDefault="00FA0CDB" w:rsidP="00FA0CDB">
            <w:pPr>
              <w:pStyle w:val="TCTableBody"/>
              <w:jc w:val="center"/>
              <w:rPr>
                <w:rFonts w:ascii="Times New Roman" w:hAnsi="Times New Roman"/>
                <w:color w:val="000000"/>
                <w:sz w:val="20"/>
              </w:rPr>
            </w:pPr>
            <w:r>
              <w:rPr>
                <w:sz w:val="20"/>
              </w:rPr>
              <w:t>8.54 ± 0.10</w:t>
            </w:r>
          </w:p>
        </w:tc>
        <w:tc>
          <w:tcPr>
            <w:tcW w:w="1530" w:type="dxa"/>
            <w:hideMark/>
          </w:tcPr>
          <w:p w14:paraId="46BB7EA8" w14:textId="77777777" w:rsidR="00FA0CDB" w:rsidRPr="00C634FF" w:rsidRDefault="00FA0CDB" w:rsidP="00FA0CDB">
            <w:pPr>
              <w:pStyle w:val="TCTableBody"/>
              <w:jc w:val="center"/>
              <w:rPr>
                <w:rFonts w:ascii="Times New Roman" w:hAnsi="Times New Roman"/>
                <w:color w:val="000000"/>
                <w:sz w:val="20"/>
              </w:rPr>
            </w:pPr>
            <w:r>
              <w:rPr>
                <w:sz w:val="20"/>
              </w:rPr>
              <w:t>17.2 ± 0.3</w:t>
            </w:r>
          </w:p>
        </w:tc>
        <w:tc>
          <w:tcPr>
            <w:tcW w:w="1440" w:type="dxa"/>
          </w:tcPr>
          <w:p w14:paraId="21F6DD35" w14:textId="77777777" w:rsidR="00FA0CDB" w:rsidRPr="00C634FF" w:rsidRDefault="00FA0CDB" w:rsidP="00FA0CDB">
            <w:pPr>
              <w:pStyle w:val="TCTableBody"/>
              <w:jc w:val="center"/>
              <w:rPr>
                <w:rFonts w:ascii="Times New Roman" w:hAnsi="Times New Roman"/>
                <w:sz w:val="20"/>
              </w:rPr>
            </w:pPr>
            <w:r>
              <w:rPr>
                <w:sz w:val="20"/>
              </w:rPr>
              <w:t>16.7 ± 1.8</w:t>
            </w:r>
          </w:p>
        </w:tc>
        <w:tc>
          <w:tcPr>
            <w:tcW w:w="1260" w:type="dxa"/>
          </w:tcPr>
          <w:p w14:paraId="1690FC7E" w14:textId="77777777" w:rsidR="00FA0CDB" w:rsidRPr="00C634FF" w:rsidRDefault="00FA0CDB" w:rsidP="00FA0CDB">
            <w:pPr>
              <w:pStyle w:val="TCTableBody"/>
              <w:jc w:val="center"/>
              <w:rPr>
                <w:rFonts w:ascii="Times New Roman" w:hAnsi="Times New Roman"/>
                <w:sz w:val="20"/>
              </w:rPr>
            </w:pPr>
            <w:r>
              <w:rPr>
                <w:sz w:val="20"/>
              </w:rPr>
              <w:t>3.50 ± 0.11</w:t>
            </w:r>
          </w:p>
        </w:tc>
        <w:tc>
          <w:tcPr>
            <w:tcW w:w="1260" w:type="dxa"/>
          </w:tcPr>
          <w:p w14:paraId="53333721" w14:textId="77777777" w:rsidR="00FA0CDB" w:rsidRPr="00C634FF" w:rsidRDefault="00FA0CDB" w:rsidP="00FA0CDB">
            <w:pPr>
              <w:pStyle w:val="TCTableBody"/>
              <w:jc w:val="center"/>
              <w:rPr>
                <w:rFonts w:ascii="Times New Roman" w:hAnsi="Times New Roman"/>
                <w:b/>
                <w:bCs/>
                <w:color w:val="000000"/>
                <w:sz w:val="20"/>
              </w:rPr>
            </w:pPr>
            <w:r>
              <w:rPr>
                <w:sz w:val="20"/>
              </w:rPr>
              <w:t>5.24 ± 0.06</w:t>
            </w:r>
          </w:p>
        </w:tc>
        <w:tc>
          <w:tcPr>
            <w:tcW w:w="1170" w:type="dxa"/>
          </w:tcPr>
          <w:p w14:paraId="6ED6C028" w14:textId="77777777" w:rsidR="00FA0CDB" w:rsidRPr="00C634FF" w:rsidRDefault="00FA0CDB" w:rsidP="00FA0CDB">
            <w:pPr>
              <w:pStyle w:val="TCTableBody"/>
              <w:jc w:val="center"/>
              <w:rPr>
                <w:rFonts w:ascii="Times New Roman" w:hAnsi="Times New Roman"/>
                <w:b/>
                <w:bCs/>
                <w:color w:val="000000"/>
                <w:sz w:val="20"/>
              </w:rPr>
            </w:pPr>
            <w:r>
              <w:rPr>
                <w:sz w:val="20"/>
              </w:rPr>
              <w:t>3.63 ± 0.04</w:t>
            </w:r>
          </w:p>
        </w:tc>
        <w:tc>
          <w:tcPr>
            <w:tcW w:w="990" w:type="dxa"/>
          </w:tcPr>
          <w:p w14:paraId="3F96B033" w14:textId="77777777" w:rsidR="00FA0CDB" w:rsidRPr="00C634FF" w:rsidRDefault="00FA0CDB" w:rsidP="00FA0CDB">
            <w:pPr>
              <w:pStyle w:val="TCTableBody"/>
              <w:jc w:val="center"/>
              <w:rPr>
                <w:rFonts w:ascii="Times New Roman" w:hAnsi="Times New Roman"/>
                <w:b/>
                <w:bCs/>
                <w:color w:val="000000"/>
                <w:sz w:val="20"/>
              </w:rPr>
            </w:pPr>
            <w:r>
              <w:rPr>
                <w:sz w:val="20"/>
              </w:rPr>
              <w:t>10.3 ± 0.6</w:t>
            </w:r>
          </w:p>
        </w:tc>
        <w:tc>
          <w:tcPr>
            <w:tcW w:w="990" w:type="dxa"/>
          </w:tcPr>
          <w:p w14:paraId="12F25D23" w14:textId="77777777" w:rsidR="00FA0CDB" w:rsidRPr="00C634FF" w:rsidRDefault="00FA0CDB" w:rsidP="00FA0CDB">
            <w:pPr>
              <w:pStyle w:val="TCTableBody"/>
              <w:jc w:val="center"/>
              <w:rPr>
                <w:rFonts w:ascii="Times New Roman" w:hAnsi="Times New Roman"/>
                <w:b/>
                <w:bCs/>
                <w:color w:val="000000"/>
                <w:sz w:val="20"/>
              </w:rPr>
            </w:pPr>
            <w:r>
              <w:rPr>
                <w:sz w:val="20"/>
              </w:rPr>
              <w:t>239.2 ± 3.6</w:t>
            </w:r>
          </w:p>
        </w:tc>
      </w:tr>
      <w:tr w:rsidR="00FA0CDB" w:rsidRPr="00C634FF" w14:paraId="0AA1D9DE" w14:textId="77777777" w:rsidTr="00453EE8">
        <w:trPr>
          <w:trHeight w:val="340"/>
        </w:trPr>
        <w:tc>
          <w:tcPr>
            <w:tcW w:w="895" w:type="dxa"/>
            <w:vMerge/>
            <w:hideMark/>
          </w:tcPr>
          <w:p w14:paraId="4C8777D3" w14:textId="77777777" w:rsidR="00FA0CDB" w:rsidRPr="00C634FF" w:rsidRDefault="00FA0CDB" w:rsidP="00FA0CDB">
            <w:pPr>
              <w:rPr>
                <w:rFonts w:ascii="Times New Roman" w:hAnsi="Times New Roman"/>
                <w:color w:val="000000"/>
                <w:sz w:val="20"/>
              </w:rPr>
            </w:pPr>
          </w:p>
        </w:tc>
        <w:tc>
          <w:tcPr>
            <w:tcW w:w="810" w:type="dxa"/>
            <w:hideMark/>
          </w:tcPr>
          <w:p w14:paraId="040CC4E1" w14:textId="77777777" w:rsidR="00FA0CDB" w:rsidRPr="00C634FF" w:rsidRDefault="00FA0CDB" w:rsidP="00FA0CDB">
            <w:pPr>
              <w:pStyle w:val="TCTableBody"/>
              <w:jc w:val="center"/>
              <w:rPr>
                <w:rFonts w:ascii="Times New Roman" w:hAnsi="Times New Roman"/>
                <w:color w:val="000000"/>
                <w:sz w:val="20"/>
              </w:rPr>
            </w:pPr>
            <w:r>
              <w:rPr>
                <w:sz w:val="20"/>
              </w:rPr>
              <w:t>Y188L</w:t>
            </w:r>
          </w:p>
        </w:tc>
        <w:tc>
          <w:tcPr>
            <w:tcW w:w="1260" w:type="dxa"/>
            <w:hideMark/>
          </w:tcPr>
          <w:p w14:paraId="78E99C70" w14:textId="77777777" w:rsidR="00FA0CDB" w:rsidRPr="00C634FF" w:rsidRDefault="00FA0CDB" w:rsidP="00FA0CDB">
            <w:pPr>
              <w:pStyle w:val="TCTableBody"/>
              <w:jc w:val="center"/>
              <w:rPr>
                <w:rFonts w:ascii="Times New Roman" w:hAnsi="Times New Roman"/>
                <w:color w:val="000000"/>
                <w:sz w:val="20"/>
              </w:rPr>
            </w:pPr>
            <w:r>
              <w:rPr>
                <w:sz w:val="20"/>
              </w:rPr>
              <w:t>2.91 ± 0.30</w:t>
            </w:r>
          </w:p>
        </w:tc>
        <w:tc>
          <w:tcPr>
            <w:tcW w:w="1260" w:type="dxa"/>
            <w:hideMark/>
          </w:tcPr>
          <w:p w14:paraId="35237770" w14:textId="77777777" w:rsidR="00FA0CDB" w:rsidRPr="00C634FF" w:rsidRDefault="00FA0CDB" w:rsidP="00FA0CDB">
            <w:pPr>
              <w:pStyle w:val="TCTableBody"/>
              <w:jc w:val="center"/>
              <w:rPr>
                <w:rFonts w:ascii="Times New Roman" w:hAnsi="Times New Roman"/>
                <w:color w:val="000000"/>
                <w:sz w:val="20"/>
              </w:rPr>
            </w:pPr>
            <w:r>
              <w:rPr>
                <w:sz w:val="20"/>
              </w:rPr>
              <w:t>8.44 ± 0.24</w:t>
            </w:r>
          </w:p>
        </w:tc>
        <w:tc>
          <w:tcPr>
            <w:tcW w:w="1530" w:type="dxa"/>
            <w:hideMark/>
          </w:tcPr>
          <w:p w14:paraId="2CA9DC2E" w14:textId="77777777" w:rsidR="00FA0CDB" w:rsidRPr="00C634FF" w:rsidRDefault="00FA0CDB" w:rsidP="00FA0CDB">
            <w:pPr>
              <w:pStyle w:val="TCTableBody"/>
              <w:jc w:val="center"/>
              <w:rPr>
                <w:rFonts w:ascii="Times New Roman" w:hAnsi="Times New Roman"/>
                <w:color w:val="000000"/>
                <w:sz w:val="20"/>
              </w:rPr>
            </w:pPr>
            <w:r>
              <w:rPr>
                <w:sz w:val="20"/>
              </w:rPr>
              <w:t>13.7 ± 1.5</w:t>
            </w:r>
          </w:p>
        </w:tc>
        <w:tc>
          <w:tcPr>
            <w:tcW w:w="1440" w:type="dxa"/>
          </w:tcPr>
          <w:p w14:paraId="0B70980C" w14:textId="77777777" w:rsidR="00FA0CDB" w:rsidRPr="00C634FF" w:rsidRDefault="009F24E2" w:rsidP="00FA0CDB">
            <w:pPr>
              <w:pStyle w:val="TCTableBody"/>
              <w:jc w:val="center"/>
              <w:rPr>
                <w:rFonts w:ascii="Times New Roman" w:hAnsi="Times New Roman"/>
                <w:color w:val="000000"/>
                <w:sz w:val="20"/>
              </w:rPr>
            </w:pPr>
            <w:r>
              <w:rPr>
                <w:color w:val="000000"/>
                <w:sz w:val="20"/>
              </w:rPr>
              <w:t>*</w:t>
            </w:r>
          </w:p>
        </w:tc>
        <w:tc>
          <w:tcPr>
            <w:tcW w:w="1260" w:type="dxa"/>
          </w:tcPr>
          <w:p w14:paraId="7985B4D6" w14:textId="77777777" w:rsidR="00FA0CDB" w:rsidRPr="00C634FF" w:rsidRDefault="00FA0CDB" w:rsidP="00FA0CDB">
            <w:pPr>
              <w:pStyle w:val="TCTableBody"/>
              <w:jc w:val="center"/>
              <w:rPr>
                <w:rFonts w:ascii="Times New Roman" w:hAnsi="Times New Roman"/>
                <w:color w:val="000000"/>
                <w:sz w:val="20"/>
              </w:rPr>
            </w:pPr>
            <w:r>
              <w:rPr>
                <w:sz w:val="20"/>
              </w:rPr>
              <w:t>3.63 ± 0.03</w:t>
            </w:r>
          </w:p>
        </w:tc>
        <w:tc>
          <w:tcPr>
            <w:tcW w:w="1260" w:type="dxa"/>
          </w:tcPr>
          <w:p w14:paraId="19776397" w14:textId="77777777" w:rsidR="00FA0CDB" w:rsidRPr="00C634FF" w:rsidRDefault="00FA0CDB" w:rsidP="00FA0CDB">
            <w:pPr>
              <w:pStyle w:val="TCTableBody"/>
              <w:jc w:val="center"/>
              <w:rPr>
                <w:rFonts w:ascii="Times New Roman" w:hAnsi="Times New Roman"/>
                <w:b/>
                <w:bCs/>
                <w:color w:val="000000"/>
                <w:sz w:val="20"/>
              </w:rPr>
            </w:pPr>
            <w:r>
              <w:rPr>
                <w:sz w:val="20"/>
              </w:rPr>
              <w:t>6.38 ± 0.42</w:t>
            </w:r>
          </w:p>
        </w:tc>
        <w:tc>
          <w:tcPr>
            <w:tcW w:w="1170" w:type="dxa"/>
          </w:tcPr>
          <w:p w14:paraId="14345646" w14:textId="77777777" w:rsidR="00FA0CDB" w:rsidRPr="00C634FF" w:rsidRDefault="00FA0CDB" w:rsidP="00FA0CDB">
            <w:pPr>
              <w:pStyle w:val="TCTableBody"/>
              <w:jc w:val="center"/>
              <w:rPr>
                <w:rFonts w:ascii="Times New Roman" w:hAnsi="Times New Roman"/>
                <w:b/>
                <w:bCs/>
                <w:color w:val="000000"/>
                <w:sz w:val="20"/>
              </w:rPr>
            </w:pPr>
            <w:r>
              <w:rPr>
                <w:sz w:val="20"/>
              </w:rPr>
              <w:t>3.13 ± 0.28</w:t>
            </w:r>
          </w:p>
        </w:tc>
        <w:tc>
          <w:tcPr>
            <w:tcW w:w="990" w:type="dxa"/>
          </w:tcPr>
          <w:p w14:paraId="36DE7AAC" w14:textId="77777777" w:rsidR="00FA0CDB" w:rsidRPr="00C634FF" w:rsidRDefault="00FA0CDB" w:rsidP="00FA0CDB">
            <w:pPr>
              <w:pStyle w:val="TCTableBody"/>
              <w:jc w:val="center"/>
              <w:rPr>
                <w:rFonts w:ascii="Times New Roman" w:hAnsi="Times New Roman"/>
                <w:b/>
                <w:bCs/>
                <w:color w:val="000000"/>
                <w:sz w:val="20"/>
              </w:rPr>
            </w:pPr>
            <w:r>
              <w:rPr>
                <w:sz w:val="20"/>
              </w:rPr>
              <w:t>17.4 ± 3.7</w:t>
            </w:r>
          </w:p>
        </w:tc>
        <w:tc>
          <w:tcPr>
            <w:tcW w:w="990" w:type="dxa"/>
          </w:tcPr>
          <w:p w14:paraId="1014D7A7" w14:textId="77777777" w:rsidR="00FA0CDB" w:rsidRPr="00C634FF" w:rsidRDefault="00FA0CDB" w:rsidP="00FA0CDB">
            <w:pPr>
              <w:pStyle w:val="TCTableBody"/>
              <w:jc w:val="center"/>
              <w:rPr>
                <w:rFonts w:ascii="Times New Roman" w:hAnsi="Times New Roman"/>
                <w:b/>
                <w:bCs/>
                <w:color w:val="000000"/>
                <w:sz w:val="20"/>
              </w:rPr>
            </w:pPr>
            <w:r>
              <w:rPr>
                <w:sz w:val="20"/>
              </w:rPr>
              <w:t>241.6 ± 7.1</w:t>
            </w:r>
          </w:p>
        </w:tc>
      </w:tr>
      <w:tr w:rsidR="00FA0CDB" w:rsidRPr="00C634FF" w14:paraId="7A2BD47C" w14:textId="77777777" w:rsidTr="00453EE8">
        <w:trPr>
          <w:trHeight w:val="340"/>
        </w:trPr>
        <w:tc>
          <w:tcPr>
            <w:tcW w:w="895" w:type="dxa"/>
            <w:vMerge/>
            <w:hideMark/>
          </w:tcPr>
          <w:p w14:paraId="7E2FD5F6" w14:textId="77777777" w:rsidR="00FA0CDB" w:rsidRPr="00C634FF" w:rsidRDefault="00FA0CDB" w:rsidP="00FA0CDB">
            <w:pPr>
              <w:rPr>
                <w:rFonts w:ascii="Times New Roman" w:hAnsi="Times New Roman"/>
                <w:color w:val="000000"/>
                <w:sz w:val="20"/>
              </w:rPr>
            </w:pPr>
          </w:p>
        </w:tc>
        <w:tc>
          <w:tcPr>
            <w:tcW w:w="810" w:type="dxa"/>
            <w:hideMark/>
          </w:tcPr>
          <w:p w14:paraId="0C30470A" w14:textId="77777777" w:rsidR="00FA0CDB" w:rsidRPr="00C634FF" w:rsidRDefault="00FA0CDB" w:rsidP="00FA0CDB">
            <w:pPr>
              <w:pStyle w:val="TCTableBody"/>
              <w:jc w:val="center"/>
              <w:rPr>
                <w:rFonts w:ascii="Times New Roman" w:hAnsi="Times New Roman"/>
                <w:color w:val="000000"/>
                <w:sz w:val="20"/>
              </w:rPr>
            </w:pPr>
            <w:r>
              <w:rPr>
                <w:sz w:val="20"/>
              </w:rPr>
              <w:t>V106A + P225H</w:t>
            </w:r>
          </w:p>
        </w:tc>
        <w:tc>
          <w:tcPr>
            <w:tcW w:w="1260" w:type="dxa"/>
            <w:hideMark/>
          </w:tcPr>
          <w:p w14:paraId="33220A19" w14:textId="77777777" w:rsidR="00FA0CDB" w:rsidRPr="00C634FF" w:rsidRDefault="00FA0CDB" w:rsidP="00FA0CDB">
            <w:pPr>
              <w:pStyle w:val="TCTableBody"/>
              <w:jc w:val="center"/>
              <w:rPr>
                <w:rFonts w:ascii="Times New Roman" w:hAnsi="Times New Roman"/>
                <w:color w:val="000000"/>
                <w:sz w:val="20"/>
              </w:rPr>
            </w:pPr>
            <w:r>
              <w:rPr>
                <w:sz w:val="20"/>
              </w:rPr>
              <w:t>3.11 ± 0.08</w:t>
            </w:r>
          </w:p>
        </w:tc>
        <w:tc>
          <w:tcPr>
            <w:tcW w:w="1260" w:type="dxa"/>
            <w:hideMark/>
          </w:tcPr>
          <w:p w14:paraId="3BEA3527" w14:textId="77777777" w:rsidR="00FA0CDB" w:rsidRPr="00C634FF" w:rsidRDefault="00FA0CDB" w:rsidP="00FA0CDB">
            <w:pPr>
              <w:pStyle w:val="TCTableBody"/>
              <w:jc w:val="center"/>
              <w:rPr>
                <w:rFonts w:ascii="Times New Roman" w:hAnsi="Times New Roman"/>
                <w:color w:val="000000"/>
                <w:sz w:val="20"/>
              </w:rPr>
            </w:pPr>
            <w:r>
              <w:rPr>
                <w:sz w:val="20"/>
              </w:rPr>
              <w:t>8.54 ± 0.11</w:t>
            </w:r>
          </w:p>
        </w:tc>
        <w:tc>
          <w:tcPr>
            <w:tcW w:w="1530" w:type="dxa"/>
            <w:hideMark/>
          </w:tcPr>
          <w:p w14:paraId="2305EB5E" w14:textId="77777777" w:rsidR="00FA0CDB" w:rsidRPr="00C634FF" w:rsidRDefault="00FA0CDB" w:rsidP="00FA0CDB">
            <w:pPr>
              <w:pStyle w:val="TCTableBody"/>
              <w:jc w:val="center"/>
              <w:rPr>
                <w:rFonts w:ascii="Times New Roman" w:hAnsi="Times New Roman"/>
                <w:color w:val="000000"/>
                <w:sz w:val="20"/>
              </w:rPr>
            </w:pPr>
            <w:r>
              <w:rPr>
                <w:sz w:val="20"/>
              </w:rPr>
              <w:t>17.9 ± 1.2</w:t>
            </w:r>
          </w:p>
        </w:tc>
        <w:tc>
          <w:tcPr>
            <w:tcW w:w="1440" w:type="dxa"/>
          </w:tcPr>
          <w:p w14:paraId="35233297" w14:textId="77777777" w:rsidR="00FA0CDB" w:rsidRPr="00C634FF" w:rsidRDefault="00FA0CDB" w:rsidP="00FA0CDB">
            <w:pPr>
              <w:pStyle w:val="TCTableBody"/>
              <w:jc w:val="center"/>
              <w:rPr>
                <w:rFonts w:ascii="Times New Roman" w:hAnsi="Times New Roman"/>
                <w:sz w:val="20"/>
              </w:rPr>
            </w:pPr>
            <w:r>
              <w:rPr>
                <w:sz w:val="20"/>
              </w:rPr>
              <w:t>21.1 ± 8.3</w:t>
            </w:r>
          </w:p>
        </w:tc>
        <w:tc>
          <w:tcPr>
            <w:tcW w:w="1260" w:type="dxa"/>
          </w:tcPr>
          <w:p w14:paraId="2258A299" w14:textId="77777777" w:rsidR="00FA0CDB" w:rsidRPr="00C634FF" w:rsidRDefault="00FA0CDB" w:rsidP="00FA0CDB">
            <w:pPr>
              <w:pStyle w:val="TCTableBody"/>
              <w:jc w:val="center"/>
              <w:rPr>
                <w:rFonts w:ascii="Times New Roman" w:hAnsi="Times New Roman"/>
                <w:sz w:val="20"/>
              </w:rPr>
            </w:pPr>
            <w:r>
              <w:rPr>
                <w:sz w:val="20"/>
              </w:rPr>
              <w:t>3.59 ± 0.07</w:t>
            </w:r>
          </w:p>
        </w:tc>
        <w:tc>
          <w:tcPr>
            <w:tcW w:w="1260" w:type="dxa"/>
          </w:tcPr>
          <w:p w14:paraId="3D6295F5" w14:textId="77777777" w:rsidR="00FA0CDB" w:rsidRPr="00C634FF" w:rsidRDefault="00FA0CDB" w:rsidP="00FA0CDB">
            <w:pPr>
              <w:pStyle w:val="TCTableBody"/>
              <w:jc w:val="center"/>
              <w:rPr>
                <w:rFonts w:ascii="Times New Roman" w:hAnsi="Times New Roman"/>
                <w:b/>
                <w:bCs/>
                <w:color w:val="000000"/>
                <w:sz w:val="20"/>
              </w:rPr>
            </w:pPr>
            <w:r>
              <w:rPr>
                <w:sz w:val="20"/>
              </w:rPr>
              <w:t>5.29 ± 0.17</w:t>
            </w:r>
          </w:p>
        </w:tc>
        <w:tc>
          <w:tcPr>
            <w:tcW w:w="1170" w:type="dxa"/>
          </w:tcPr>
          <w:p w14:paraId="0A1FB1B2" w14:textId="77777777" w:rsidR="00FA0CDB" w:rsidRPr="00C634FF" w:rsidRDefault="00FA0CDB" w:rsidP="00FA0CDB">
            <w:pPr>
              <w:pStyle w:val="TCTableBody"/>
              <w:jc w:val="center"/>
              <w:rPr>
                <w:rFonts w:ascii="Times New Roman" w:hAnsi="Times New Roman"/>
                <w:b/>
                <w:bCs/>
                <w:color w:val="000000"/>
                <w:sz w:val="20"/>
              </w:rPr>
            </w:pPr>
            <w:r>
              <w:rPr>
                <w:sz w:val="20"/>
              </w:rPr>
              <w:t>3.64 ± 0.04</w:t>
            </w:r>
          </w:p>
        </w:tc>
        <w:tc>
          <w:tcPr>
            <w:tcW w:w="990" w:type="dxa"/>
          </w:tcPr>
          <w:p w14:paraId="7CF0BD65" w14:textId="77777777" w:rsidR="00FA0CDB" w:rsidRPr="00C634FF" w:rsidRDefault="00FA0CDB" w:rsidP="00FA0CDB">
            <w:pPr>
              <w:pStyle w:val="TCTableBody"/>
              <w:jc w:val="center"/>
              <w:rPr>
                <w:rFonts w:ascii="Times New Roman" w:hAnsi="Times New Roman"/>
                <w:b/>
                <w:bCs/>
                <w:color w:val="000000"/>
                <w:sz w:val="20"/>
              </w:rPr>
            </w:pPr>
            <w:r>
              <w:rPr>
                <w:sz w:val="20"/>
              </w:rPr>
              <w:t>11.8 ± 0.1</w:t>
            </w:r>
          </w:p>
        </w:tc>
        <w:tc>
          <w:tcPr>
            <w:tcW w:w="990" w:type="dxa"/>
          </w:tcPr>
          <w:p w14:paraId="3A9ED3B0" w14:textId="77777777" w:rsidR="00FA0CDB" w:rsidRPr="00C634FF" w:rsidRDefault="00FA0CDB" w:rsidP="00FA0CDB">
            <w:pPr>
              <w:pStyle w:val="TCTableBody"/>
              <w:jc w:val="center"/>
              <w:rPr>
                <w:rFonts w:ascii="Times New Roman" w:hAnsi="Times New Roman"/>
                <w:b/>
                <w:bCs/>
                <w:color w:val="000000"/>
                <w:sz w:val="20"/>
              </w:rPr>
            </w:pPr>
            <w:r>
              <w:rPr>
                <w:sz w:val="20"/>
              </w:rPr>
              <w:t>223.3 ± 7.4</w:t>
            </w:r>
          </w:p>
        </w:tc>
      </w:tr>
      <w:tr w:rsidR="00FA0CDB" w:rsidRPr="00C634FF" w14:paraId="23E194C9" w14:textId="77777777" w:rsidTr="00453EE8">
        <w:trPr>
          <w:trHeight w:val="386"/>
        </w:trPr>
        <w:tc>
          <w:tcPr>
            <w:tcW w:w="895" w:type="dxa"/>
            <w:vMerge/>
            <w:hideMark/>
          </w:tcPr>
          <w:p w14:paraId="7E83992C" w14:textId="77777777" w:rsidR="00FA0CDB" w:rsidRPr="00C634FF" w:rsidRDefault="00FA0CDB" w:rsidP="00FA0CDB">
            <w:pPr>
              <w:rPr>
                <w:rFonts w:ascii="Times New Roman" w:hAnsi="Times New Roman"/>
                <w:color w:val="000000"/>
                <w:sz w:val="20"/>
              </w:rPr>
            </w:pPr>
          </w:p>
        </w:tc>
        <w:tc>
          <w:tcPr>
            <w:tcW w:w="810" w:type="dxa"/>
            <w:hideMark/>
          </w:tcPr>
          <w:p w14:paraId="19981E0E" w14:textId="77777777" w:rsidR="00FA0CDB" w:rsidRPr="00C634FF" w:rsidRDefault="00FA0CDB" w:rsidP="00FA0CDB">
            <w:pPr>
              <w:pStyle w:val="TCTableBody"/>
              <w:jc w:val="center"/>
              <w:rPr>
                <w:rFonts w:ascii="Times New Roman" w:hAnsi="Times New Roman"/>
                <w:color w:val="000000"/>
                <w:sz w:val="20"/>
              </w:rPr>
            </w:pPr>
            <w:r>
              <w:rPr>
                <w:sz w:val="20"/>
              </w:rPr>
              <w:t>V106A + L234I</w:t>
            </w:r>
          </w:p>
        </w:tc>
        <w:tc>
          <w:tcPr>
            <w:tcW w:w="1260" w:type="dxa"/>
            <w:hideMark/>
          </w:tcPr>
          <w:p w14:paraId="7BC5B64E" w14:textId="77777777" w:rsidR="00FA0CDB" w:rsidRPr="00C634FF" w:rsidRDefault="00FA0CDB" w:rsidP="00FA0CDB">
            <w:pPr>
              <w:pStyle w:val="TCTableBody"/>
              <w:jc w:val="center"/>
              <w:rPr>
                <w:rFonts w:ascii="Times New Roman" w:hAnsi="Times New Roman"/>
                <w:color w:val="000000"/>
                <w:sz w:val="20"/>
              </w:rPr>
            </w:pPr>
            <w:r>
              <w:rPr>
                <w:sz w:val="20"/>
              </w:rPr>
              <w:t>3.22 ± 0.09</w:t>
            </w:r>
          </w:p>
        </w:tc>
        <w:tc>
          <w:tcPr>
            <w:tcW w:w="1260" w:type="dxa"/>
            <w:hideMark/>
          </w:tcPr>
          <w:p w14:paraId="6AEFC984" w14:textId="77777777" w:rsidR="00FA0CDB" w:rsidRPr="00C634FF" w:rsidRDefault="00FA0CDB" w:rsidP="00FA0CDB">
            <w:pPr>
              <w:pStyle w:val="TCTableBody"/>
              <w:jc w:val="center"/>
              <w:rPr>
                <w:rFonts w:ascii="Times New Roman" w:hAnsi="Times New Roman"/>
                <w:color w:val="000000"/>
                <w:sz w:val="20"/>
              </w:rPr>
            </w:pPr>
            <w:r>
              <w:rPr>
                <w:sz w:val="20"/>
              </w:rPr>
              <w:t>8.48 ± 0.02</w:t>
            </w:r>
          </w:p>
        </w:tc>
        <w:tc>
          <w:tcPr>
            <w:tcW w:w="1530" w:type="dxa"/>
            <w:hideMark/>
          </w:tcPr>
          <w:p w14:paraId="0C12BE79" w14:textId="77777777" w:rsidR="00FA0CDB" w:rsidRPr="00C634FF" w:rsidRDefault="00FA0CDB" w:rsidP="00FA0CDB">
            <w:pPr>
              <w:pStyle w:val="TCTableBody"/>
              <w:jc w:val="center"/>
              <w:rPr>
                <w:rFonts w:ascii="Times New Roman" w:hAnsi="Times New Roman"/>
                <w:color w:val="000000"/>
                <w:sz w:val="20"/>
              </w:rPr>
            </w:pPr>
            <w:r>
              <w:rPr>
                <w:sz w:val="20"/>
              </w:rPr>
              <w:t>18.9 ± 0.4</w:t>
            </w:r>
          </w:p>
        </w:tc>
        <w:tc>
          <w:tcPr>
            <w:tcW w:w="1440" w:type="dxa"/>
          </w:tcPr>
          <w:p w14:paraId="4621E2A0" w14:textId="77777777" w:rsidR="00FA0CDB" w:rsidRPr="00C634FF" w:rsidRDefault="00FA0CDB" w:rsidP="00FA0CDB">
            <w:pPr>
              <w:pStyle w:val="TCTableBody"/>
              <w:jc w:val="center"/>
              <w:rPr>
                <w:rFonts w:ascii="Times New Roman" w:hAnsi="Times New Roman"/>
                <w:sz w:val="20"/>
              </w:rPr>
            </w:pPr>
            <w:r>
              <w:rPr>
                <w:sz w:val="20"/>
              </w:rPr>
              <w:t>16.2 ± 1.7</w:t>
            </w:r>
          </w:p>
        </w:tc>
        <w:tc>
          <w:tcPr>
            <w:tcW w:w="1260" w:type="dxa"/>
          </w:tcPr>
          <w:p w14:paraId="1CFFF695" w14:textId="77777777" w:rsidR="00FA0CDB" w:rsidRPr="00C634FF" w:rsidRDefault="00FA0CDB" w:rsidP="00FA0CDB">
            <w:pPr>
              <w:pStyle w:val="TCTableBody"/>
              <w:jc w:val="center"/>
              <w:rPr>
                <w:rFonts w:ascii="Times New Roman" w:hAnsi="Times New Roman"/>
                <w:sz w:val="20"/>
              </w:rPr>
            </w:pPr>
            <w:r>
              <w:rPr>
                <w:sz w:val="20"/>
              </w:rPr>
              <w:t>3.43 ± 0.04</w:t>
            </w:r>
          </w:p>
        </w:tc>
        <w:tc>
          <w:tcPr>
            <w:tcW w:w="1260" w:type="dxa"/>
          </w:tcPr>
          <w:p w14:paraId="22A37F88" w14:textId="77777777" w:rsidR="00FA0CDB" w:rsidRPr="00C634FF" w:rsidRDefault="00FA0CDB" w:rsidP="00FA0CDB">
            <w:pPr>
              <w:pStyle w:val="TCTableBody"/>
              <w:jc w:val="center"/>
              <w:rPr>
                <w:rFonts w:ascii="Times New Roman" w:hAnsi="Times New Roman"/>
                <w:b/>
                <w:bCs/>
                <w:color w:val="000000"/>
                <w:sz w:val="20"/>
              </w:rPr>
            </w:pPr>
            <w:r>
              <w:rPr>
                <w:sz w:val="20"/>
              </w:rPr>
              <w:t>5.13 ± 0.07</w:t>
            </w:r>
          </w:p>
        </w:tc>
        <w:tc>
          <w:tcPr>
            <w:tcW w:w="1170" w:type="dxa"/>
          </w:tcPr>
          <w:p w14:paraId="7560503B" w14:textId="77777777" w:rsidR="00FA0CDB" w:rsidRPr="00C634FF" w:rsidRDefault="00FA0CDB" w:rsidP="00FA0CDB">
            <w:pPr>
              <w:pStyle w:val="TCTableBody"/>
              <w:jc w:val="center"/>
              <w:rPr>
                <w:rFonts w:ascii="Times New Roman" w:hAnsi="Times New Roman"/>
                <w:b/>
                <w:bCs/>
                <w:color w:val="000000"/>
                <w:sz w:val="20"/>
              </w:rPr>
            </w:pPr>
            <w:r>
              <w:rPr>
                <w:sz w:val="20"/>
              </w:rPr>
              <w:t>3.58 ± 0.07</w:t>
            </w:r>
          </w:p>
        </w:tc>
        <w:tc>
          <w:tcPr>
            <w:tcW w:w="990" w:type="dxa"/>
          </w:tcPr>
          <w:p w14:paraId="0AF2E0BF" w14:textId="77777777" w:rsidR="00FA0CDB" w:rsidRPr="00C634FF" w:rsidRDefault="00FA0CDB" w:rsidP="00FA0CDB">
            <w:pPr>
              <w:pStyle w:val="TCTableBody"/>
              <w:jc w:val="center"/>
              <w:rPr>
                <w:rFonts w:ascii="Times New Roman" w:hAnsi="Times New Roman"/>
                <w:b/>
                <w:bCs/>
                <w:color w:val="000000"/>
                <w:sz w:val="20"/>
              </w:rPr>
            </w:pPr>
            <w:r>
              <w:rPr>
                <w:sz w:val="20"/>
              </w:rPr>
              <w:t>10.3 ± 0.8</w:t>
            </w:r>
          </w:p>
        </w:tc>
        <w:tc>
          <w:tcPr>
            <w:tcW w:w="990" w:type="dxa"/>
          </w:tcPr>
          <w:p w14:paraId="22A4B5DD" w14:textId="77777777" w:rsidR="00FA0CDB" w:rsidRPr="00C634FF" w:rsidRDefault="00FA0CDB" w:rsidP="00FA0CDB">
            <w:pPr>
              <w:pStyle w:val="TCTableBody"/>
              <w:jc w:val="center"/>
              <w:rPr>
                <w:rFonts w:ascii="Times New Roman" w:hAnsi="Times New Roman"/>
                <w:b/>
                <w:bCs/>
                <w:color w:val="000000"/>
                <w:sz w:val="20"/>
              </w:rPr>
            </w:pPr>
            <w:r>
              <w:rPr>
                <w:sz w:val="20"/>
              </w:rPr>
              <w:t>237.3 ± 12.0</w:t>
            </w:r>
          </w:p>
        </w:tc>
      </w:tr>
      <w:tr w:rsidR="00FA0CDB" w:rsidRPr="00C634FF" w14:paraId="1D06D7D8" w14:textId="77777777" w:rsidTr="00453EE8">
        <w:trPr>
          <w:trHeight w:val="386"/>
        </w:trPr>
        <w:tc>
          <w:tcPr>
            <w:tcW w:w="895" w:type="dxa"/>
            <w:vMerge/>
          </w:tcPr>
          <w:p w14:paraId="2015B106" w14:textId="77777777" w:rsidR="00FA0CDB" w:rsidRPr="00C634FF" w:rsidRDefault="00FA0CDB" w:rsidP="00FA0CDB">
            <w:pPr>
              <w:rPr>
                <w:rFonts w:ascii="Times New Roman" w:hAnsi="Times New Roman"/>
                <w:color w:val="000000"/>
                <w:sz w:val="20"/>
              </w:rPr>
            </w:pPr>
          </w:p>
        </w:tc>
        <w:tc>
          <w:tcPr>
            <w:tcW w:w="810" w:type="dxa"/>
          </w:tcPr>
          <w:p w14:paraId="7B34EA06" w14:textId="77777777" w:rsidR="00FA0CDB" w:rsidRPr="00C634FF" w:rsidRDefault="00FA0CDB" w:rsidP="00FA0CDB">
            <w:pPr>
              <w:pStyle w:val="TCTableBody"/>
              <w:jc w:val="center"/>
              <w:rPr>
                <w:rFonts w:ascii="Times New Roman" w:hAnsi="Times New Roman"/>
                <w:sz w:val="20"/>
              </w:rPr>
            </w:pPr>
            <w:r>
              <w:rPr>
                <w:sz w:val="20"/>
              </w:rPr>
              <w:t>K103N + M230L</w:t>
            </w:r>
          </w:p>
        </w:tc>
        <w:tc>
          <w:tcPr>
            <w:tcW w:w="1260" w:type="dxa"/>
          </w:tcPr>
          <w:p w14:paraId="3802E6E2" w14:textId="77777777" w:rsidR="00FA0CDB" w:rsidRPr="00C634FF" w:rsidRDefault="00FA0CDB" w:rsidP="00FA0CDB">
            <w:pPr>
              <w:pStyle w:val="TCTableBody"/>
              <w:jc w:val="center"/>
              <w:rPr>
                <w:rFonts w:ascii="Times New Roman" w:hAnsi="Times New Roman"/>
                <w:sz w:val="20"/>
              </w:rPr>
            </w:pPr>
            <w:r>
              <w:rPr>
                <w:sz w:val="20"/>
              </w:rPr>
              <w:t>3.05 ± 0.04</w:t>
            </w:r>
          </w:p>
        </w:tc>
        <w:tc>
          <w:tcPr>
            <w:tcW w:w="1260" w:type="dxa"/>
          </w:tcPr>
          <w:p w14:paraId="62604BEF" w14:textId="77777777" w:rsidR="00FA0CDB" w:rsidRPr="00C634FF" w:rsidRDefault="00FA0CDB" w:rsidP="00FA0CDB">
            <w:pPr>
              <w:pStyle w:val="TCTableBody"/>
              <w:jc w:val="center"/>
              <w:rPr>
                <w:rFonts w:ascii="Times New Roman" w:hAnsi="Times New Roman"/>
                <w:sz w:val="20"/>
              </w:rPr>
            </w:pPr>
            <w:r>
              <w:rPr>
                <w:sz w:val="20"/>
              </w:rPr>
              <w:t>4.80 ± 0.14</w:t>
            </w:r>
          </w:p>
        </w:tc>
        <w:tc>
          <w:tcPr>
            <w:tcW w:w="1530" w:type="dxa"/>
          </w:tcPr>
          <w:p w14:paraId="234DF5E1" w14:textId="77777777" w:rsidR="00FA0CDB" w:rsidRPr="00C634FF" w:rsidRDefault="00FA0CDB" w:rsidP="00FA0CDB">
            <w:pPr>
              <w:pStyle w:val="TCTableBody"/>
              <w:jc w:val="center"/>
              <w:rPr>
                <w:rFonts w:ascii="Times New Roman" w:hAnsi="Times New Roman"/>
                <w:sz w:val="20"/>
              </w:rPr>
            </w:pPr>
            <w:r>
              <w:rPr>
                <w:sz w:val="20"/>
              </w:rPr>
              <w:t>22.8 ± 2.4</w:t>
            </w:r>
          </w:p>
        </w:tc>
        <w:tc>
          <w:tcPr>
            <w:tcW w:w="1440" w:type="dxa"/>
          </w:tcPr>
          <w:p w14:paraId="00DE7B5B" w14:textId="77777777" w:rsidR="00FA0CDB" w:rsidRPr="00C634FF" w:rsidRDefault="00FA0CDB" w:rsidP="00FA0CDB">
            <w:pPr>
              <w:pStyle w:val="TCTableBody"/>
              <w:jc w:val="center"/>
              <w:rPr>
                <w:rFonts w:ascii="Times New Roman" w:hAnsi="Times New Roman"/>
                <w:sz w:val="20"/>
              </w:rPr>
            </w:pPr>
            <w:r>
              <w:rPr>
                <w:sz w:val="20"/>
              </w:rPr>
              <w:t>13.8 ± 0.3</w:t>
            </w:r>
          </w:p>
        </w:tc>
        <w:tc>
          <w:tcPr>
            <w:tcW w:w="1260" w:type="dxa"/>
          </w:tcPr>
          <w:p w14:paraId="722EF187" w14:textId="77777777" w:rsidR="00FA0CDB" w:rsidRPr="00C634FF" w:rsidRDefault="00FA0CDB" w:rsidP="00FA0CDB">
            <w:pPr>
              <w:pStyle w:val="TCTableBody"/>
              <w:jc w:val="center"/>
              <w:rPr>
                <w:rFonts w:ascii="Times New Roman" w:hAnsi="Times New Roman"/>
                <w:sz w:val="20"/>
              </w:rPr>
            </w:pPr>
            <w:r>
              <w:rPr>
                <w:sz w:val="20"/>
              </w:rPr>
              <w:t>3.53 ± 0.08</w:t>
            </w:r>
          </w:p>
        </w:tc>
        <w:tc>
          <w:tcPr>
            <w:tcW w:w="1260" w:type="dxa"/>
          </w:tcPr>
          <w:p w14:paraId="0DF4ACFA" w14:textId="77777777" w:rsidR="00FA0CDB" w:rsidRPr="00C634FF" w:rsidRDefault="00FA0CDB" w:rsidP="00FA0CDB">
            <w:pPr>
              <w:pStyle w:val="TCTableBody"/>
              <w:jc w:val="center"/>
              <w:rPr>
                <w:rFonts w:ascii="Times New Roman" w:hAnsi="Times New Roman"/>
                <w:b/>
                <w:bCs/>
                <w:color w:val="000000"/>
                <w:sz w:val="20"/>
              </w:rPr>
            </w:pPr>
            <w:r>
              <w:rPr>
                <w:sz w:val="20"/>
              </w:rPr>
              <w:t>6.19 ± 0.29</w:t>
            </w:r>
          </w:p>
        </w:tc>
        <w:tc>
          <w:tcPr>
            <w:tcW w:w="1170" w:type="dxa"/>
          </w:tcPr>
          <w:p w14:paraId="7E9CA518" w14:textId="77777777" w:rsidR="00FA0CDB" w:rsidRPr="00C634FF" w:rsidRDefault="00FA0CDB" w:rsidP="00FA0CDB">
            <w:pPr>
              <w:pStyle w:val="TCTableBody"/>
              <w:jc w:val="center"/>
              <w:rPr>
                <w:rFonts w:ascii="Times New Roman" w:hAnsi="Times New Roman"/>
                <w:b/>
                <w:bCs/>
                <w:color w:val="000000"/>
                <w:sz w:val="20"/>
              </w:rPr>
            </w:pPr>
            <w:r>
              <w:rPr>
                <w:sz w:val="20"/>
              </w:rPr>
              <w:t>3.20 ± 0.12</w:t>
            </w:r>
          </w:p>
        </w:tc>
        <w:tc>
          <w:tcPr>
            <w:tcW w:w="990" w:type="dxa"/>
          </w:tcPr>
          <w:p w14:paraId="5A768559" w14:textId="77777777" w:rsidR="00FA0CDB" w:rsidRPr="00C634FF" w:rsidRDefault="00FA0CDB" w:rsidP="00FA0CDB">
            <w:pPr>
              <w:pStyle w:val="TCTableBody"/>
              <w:jc w:val="center"/>
              <w:rPr>
                <w:rFonts w:ascii="Times New Roman" w:hAnsi="Times New Roman"/>
                <w:b/>
                <w:bCs/>
                <w:color w:val="000000"/>
                <w:sz w:val="20"/>
              </w:rPr>
            </w:pPr>
            <w:r>
              <w:rPr>
                <w:sz w:val="20"/>
              </w:rPr>
              <w:t>16.6 ± 0.6</w:t>
            </w:r>
          </w:p>
        </w:tc>
        <w:tc>
          <w:tcPr>
            <w:tcW w:w="990" w:type="dxa"/>
          </w:tcPr>
          <w:p w14:paraId="0FE69C4C" w14:textId="77777777" w:rsidR="00FA0CDB" w:rsidRPr="00C634FF" w:rsidRDefault="00FA0CDB" w:rsidP="00FA0CDB">
            <w:pPr>
              <w:pStyle w:val="TCTableBody"/>
              <w:jc w:val="center"/>
              <w:rPr>
                <w:rFonts w:ascii="Times New Roman" w:hAnsi="Times New Roman"/>
                <w:b/>
                <w:bCs/>
                <w:color w:val="000000"/>
                <w:sz w:val="20"/>
              </w:rPr>
            </w:pPr>
            <w:r>
              <w:rPr>
                <w:sz w:val="20"/>
              </w:rPr>
              <w:t>250.5 ± 1.2</w:t>
            </w:r>
          </w:p>
        </w:tc>
      </w:tr>
      <w:tr w:rsidR="00FA0CDB" w:rsidRPr="00C634FF" w14:paraId="01E992A1" w14:textId="77777777" w:rsidTr="00453EE8">
        <w:trPr>
          <w:trHeight w:val="340"/>
        </w:trPr>
        <w:tc>
          <w:tcPr>
            <w:tcW w:w="895" w:type="dxa"/>
            <w:vMerge w:val="restart"/>
            <w:hideMark/>
          </w:tcPr>
          <w:p w14:paraId="2A9330D8" w14:textId="77777777" w:rsidR="00FA0CDB" w:rsidRPr="00C634FF" w:rsidRDefault="00FA0CDB" w:rsidP="00FA0CDB">
            <w:pPr>
              <w:pStyle w:val="TCTableBody"/>
              <w:jc w:val="center"/>
              <w:rPr>
                <w:rFonts w:ascii="Times New Roman" w:hAnsi="Times New Roman"/>
                <w:b/>
                <w:bCs/>
                <w:i/>
                <w:iCs/>
                <w:color w:val="000000"/>
                <w:sz w:val="20"/>
              </w:rPr>
            </w:pPr>
            <w:r>
              <w:rPr>
                <w:b/>
                <w:bCs/>
                <w:i/>
                <w:iCs/>
                <w:color w:val="000000"/>
                <w:sz w:val="20"/>
              </w:rPr>
              <w:t xml:space="preserve">Uncertain </w:t>
            </w:r>
          </w:p>
        </w:tc>
        <w:tc>
          <w:tcPr>
            <w:tcW w:w="810" w:type="dxa"/>
            <w:hideMark/>
          </w:tcPr>
          <w:p w14:paraId="6BC58ADC" w14:textId="77777777" w:rsidR="00FA0CDB" w:rsidRPr="00C634FF" w:rsidRDefault="00FA0CDB" w:rsidP="00FA0CDB">
            <w:pPr>
              <w:pStyle w:val="TCTableBody"/>
              <w:jc w:val="center"/>
              <w:rPr>
                <w:rFonts w:ascii="Times New Roman" w:hAnsi="Times New Roman"/>
                <w:color w:val="000000"/>
                <w:sz w:val="20"/>
              </w:rPr>
            </w:pPr>
            <w:r>
              <w:rPr>
                <w:sz w:val="20"/>
              </w:rPr>
              <w:t>V106M</w:t>
            </w:r>
          </w:p>
        </w:tc>
        <w:tc>
          <w:tcPr>
            <w:tcW w:w="1260" w:type="dxa"/>
            <w:hideMark/>
          </w:tcPr>
          <w:p w14:paraId="146D0333" w14:textId="77777777" w:rsidR="00FA0CDB" w:rsidRPr="00C634FF" w:rsidRDefault="00FA0CDB" w:rsidP="00FA0CDB">
            <w:pPr>
              <w:pStyle w:val="TCTableBody"/>
              <w:jc w:val="center"/>
              <w:rPr>
                <w:rFonts w:ascii="Times New Roman" w:hAnsi="Times New Roman"/>
                <w:color w:val="000000"/>
                <w:sz w:val="20"/>
              </w:rPr>
            </w:pPr>
            <w:r>
              <w:rPr>
                <w:sz w:val="20"/>
              </w:rPr>
              <w:t>3.56 ± 0.20</w:t>
            </w:r>
          </w:p>
        </w:tc>
        <w:tc>
          <w:tcPr>
            <w:tcW w:w="1260" w:type="dxa"/>
            <w:hideMark/>
          </w:tcPr>
          <w:p w14:paraId="352076F2" w14:textId="77777777" w:rsidR="00FA0CDB" w:rsidRPr="00C634FF" w:rsidRDefault="00FA0CDB" w:rsidP="00FA0CDB">
            <w:pPr>
              <w:pStyle w:val="TCTableBody"/>
              <w:jc w:val="center"/>
              <w:rPr>
                <w:rFonts w:ascii="Times New Roman" w:hAnsi="Times New Roman"/>
                <w:color w:val="000000"/>
                <w:sz w:val="20"/>
              </w:rPr>
            </w:pPr>
            <w:r>
              <w:rPr>
                <w:sz w:val="20"/>
              </w:rPr>
              <w:t>8.88 ± 0.38</w:t>
            </w:r>
          </w:p>
        </w:tc>
        <w:tc>
          <w:tcPr>
            <w:tcW w:w="1530" w:type="dxa"/>
            <w:hideMark/>
          </w:tcPr>
          <w:p w14:paraId="397FFD54" w14:textId="77777777" w:rsidR="00FA0CDB" w:rsidRPr="00C634FF" w:rsidRDefault="00FA0CDB" w:rsidP="00FA0CDB">
            <w:pPr>
              <w:pStyle w:val="TCTableBody"/>
              <w:jc w:val="center"/>
              <w:rPr>
                <w:rFonts w:ascii="Times New Roman" w:hAnsi="Times New Roman"/>
                <w:color w:val="000000"/>
                <w:sz w:val="20"/>
              </w:rPr>
            </w:pPr>
            <w:r>
              <w:rPr>
                <w:sz w:val="20"/>
              </w:rPr>
              <w:t>19.3 ± 0.9</w:t>
            </w:r>
          </w:p>
        </w:tc>
        <w:tc>
          <w:tcPr>
            <w:tcW w:w="1440" w:type="dxa"/>
          </w:tcPr>
          <w:p w14:paraId="7E264A11" w14:textId="77777777" w:rsidR="00FA0CDB" w:rsidRPr="00C634FF" w:rsidRDefault="00FA0CDB" w:rsidP="00FA0CDB">
            <w:pPr>
              <w:pStyle w:val="TCTableBody"/>
              <w:jc w:val="center"/>
              <w:rPr>
                <w:rFonts w:ascii="Times New Roman" w:hAnsi="Times New Roman"/>
                <w:sz w:val="20"/>
              </w:rPr>
            </w:pPr>
            <w:r>
              <w:rPr>
                <w:sz w:val="20"/>
              </w:rPr>
              <w:t>16.7 ± 1.5</w:t>
            </w:r>
          </w:p>
        </w:tc>
        <w:tc>
          <w:tcPr>
            <w:tcW w:w="1260" w:type="dxa"/>
          </w:tcPr>
          <w:p w14:paraId="1DF4641E" w14:textId="77777777" w:rsidR="00FA0CDB" w:rsidRPr="00C634FF" w:rsidRDefault="00FA0CDB" w:rsidP="00FA0CDB">
            <w:pPr>
              <w:pStyle w:val="TCTableBody"/>
              <w:jc w:val="center"/>
              <w:rPr>
                <w:rFonts w:ascii="Times New Roman" w:hAnsi="Times New Roman"/>
                <w:sz w:val="20"/>
              </w:rPr>
            </w:pPr>
            <w:r>
              <w:rPr>
                <w:sz w:val="20"/>
              </w:rPr>
              <w:t>3.76 ± 0.23</w:t>
            </w:r>
          </w:p>
        </w:tc>
        <w:tc>
          <w:tcPr>
            <w:tcW w:w="1260" w:type="dxa"/>
          </w:tcPr>
          <w:p w14:paraId="43B182A1" w14:textId="77777777" w:rsidR="00FA0CDB" w:rsidRPr="00C634FF" w:rsidRDefault="00FA0CDB" w:rsidP="00FA0CDB">
            <w:pPr>
              <w:pStyle w:val="TCTableBody"/>
              <w:jc w:val="center"/>
              <w:rPr>
                <w:rFonts w:ascii="Times New Roman" w:hAnsi="Times New Roman"/>
                <w:b/>
                <w:bCs/>
                <w:color w:val="000000"/>
                <w:sz w:val="20"/>
              </w:rPr>
            </w:pPr>
            <w:r>
              <w:rPr>
                <w:sz w:val="20"/>
              </w:rPr>
              <w:t>7.04 ± 0.46</w:t>
            </w:r>
          </w:p>
        </w:tc>
        <w:tc>
          <w:tcPr>
            <w:tcW w:w="1170" w:type="dxa"/>
          </w:tcPr>
          <w:p w14:paraId="0BED2904" w14:textId="77777777" w:rsidR="00FA0CDB" w:rsidRPr="00C634FF" w:rsidRDefault="00FA0CDB" w:rsidP="00FA0CDB">
            <w:pPr>
              <w:pStyle w:val="TCTableBody"/>
              <w:jc w:val="center"/>
              <w:rPr>
                <w:rFonts w:ascii="Times New Roman" w:hAnsi="Times New Roman"/>
                <w:b/>
                <w:bCs/>
                <w:color w:val="000000"/>
                <w:sz w:val="20"/>
              </w:rPr>
            </w:pPr>
            <w:r>
              <w:rPr>
                <w:sz w:val="20"/>
              </w:rPr>
              <w:t>3.16 ± 0.14</w:t>
            </w:r>
          </w:p>
        </w:tc>
        <w:tc>
          <w:tcPr>
            <w:tcW w:w="990" w:type="dxa"/>
          </w:tcPr>
          <w:p w14:paraId="244B3FB8" w14:textId="77777777" w:rsidR="00FA0CDB" w:rsidRPr="00C634FF" w:rsidRDefault="00FA0CDB" w:rsidP="00FA0CDB">
            <w:pPr>
              <w:pStyle w:val="TCTableBody"/>
              <w:jc w:val="center"/>
              <w:rPr>
                <w:rFonts w:ascii="Times New Roman" w:hAnsi="Times New Roman"/>
                <w:b/>
                <w:bCs/>
                <w:color w:val="000000"/>
                <w:sz w:val="20"/>
              </w:rPr>
            </w:pPr>
            <w:r>
              <w:rPr>
                <w:sz w:val="20"/>
              </w:rPr>
              <w:t>16.8 ± 2.4</w:t>
            </w:r>
          </w:p>
        </w:tc>
        <w:tc>
          <w:tcPr>
            <w:tcW w:w="990" w:type="dxa"/>
          </w:tcPr>
          <w:p w14:paraId="75D83155" w14:textId="77777777" w:rsidR="00FA0CDB" w:rsidRPr="00C634FF" w:rsidRDefault="00FA0CDB" w:rsidP="00FA0CDB">
            <w:pPr>
              <w:pStyle w:val="TCTableBody"/>
              <w:jc w:val="center"/>
              <w:rPr>
                <w:rFonts w:ascii="Times New Roman" w:hAnsi="Times New Roman"/>
                <w:b/>
                <w:bCs/>
                <w:color w:val="000000"/>
                <w:sz w:val="20"/>
              </w:rPr>
            </w:pPr>
            <w:r>
              <w:rPr>
                <w:sz w:val="20"/>
              </w:rPr>
              <w:t>239.6 ± 22.6</w:t>
            </w:r>
          </w:p>
        </w:tc>
      </w:tr>
      <w:tr w:rsidR="00FA0CDB" w:rsidRPr="00C634FF" w14:paraId="75F2C2AB" w14:textId="77777777" w:rsidTr="00453EE8">
        <w:trPr>
          <w:trHeight w:val="467"/>
        </w:trPr>
        <w:tc>
          <w:tcPr>
            <w:tcW w:w="895" w:type="dxa"/>
            <w:vMerge/>
            <w:hideMark/>
          </w:tcPr>
          <w:p w14:paraId="78AACAA1"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4B2C7FC5" w14:textId="77777777" w:rsidR="00FA0CDB" w:rsidRPr="00C634FF" w:rsidRDefault="00FA0CDB" w:rsidP="00FA0CDB">
            <w:pPr>
              <w:pStyle w:val="TCTableBody"/>
              <w:jc w:val="center"/>
              <w:rPr>
                <w:rFonts w:ascii="Times New Roman" w:hAnsi="Times New Roman"/>
                <w:color w:val="000000"/>
                <w:sz w:val="20"/>
              </w:rPr>
            </w:pPr>
            <w:r>
              <w:rPr>
                <w:sz w:val="20"/>
              </w:rPr>
              <w:t>G190S</w:t>
            </w:r>
          </w:p>
        </w:tc>
        <w:tc>
          <w:tcPr>
            <w:tcW w:w="1260" w:type="dxa"/>
            <w:hideMark/>
          </w:tcPr>
          <w:p w14:paraId="052E8DF3" w14:textId="77777777" w:rsidR="00FA0CDB" w:rsidRPr="00C634FF" w:rsidRDefault="00FA0CDB" w:rsidP="00FA0CDB">
            <w:pPr>
              <w:pStyle w:val="TCTableBody"/>
              <w:jc w:val="center"/>
              <w:rPr>
                <w:rFonts w:ascii="Times New Roman" w:hAnsi="Times New Roman"/>
                <w:color w:val="000000"/>
                <w:sz w:val="20"/>
              </w:rPr>
            </w:pPr>
            <w:r>
              <w:rPr>
                <w:sz w:val="20"/>
              </w:rPr>
              <w:t>3.00 ± 0.03</w:t>
            </w:r>
          </w:p>
        </w:tc>
        <w:tc>
          <w:tcPr>
            <w:tcW w:w="1260" w:type="dxa"/>
            <w:hideMark/>
          </w:tcPr>
          <w:p w14:paraId="66084D89" w14:textId="77777777" w:rsidR="00FA0CDB" w:rsidRPr="00C634FF" w:rsidRDefault="00FA0CDB" w:rsidP="00FA0CDB">
            <w:pPr>
              <w:pStyle w:val="TCTableBody"/>
              <w:jc w:val="center"/>
              <w:rPr>
                <w:rFonts w:ascii="Times New Roman" w:hAnsi="Times New Roman"/>
                <w:color w:val="000000"/>
                <w:sz w:val="20"/>
              </w:rPr>
            </w:pPr>
            <w:r>
              <w:rPr>
                <w:sz w:val="20"/>
              </w:rPr>
              <w:t>8.72 ± 0.04</w:t>
            </w:r>
          </w:p>
        </w:tc>
        <w:tc>
          <w:tcPr>
            <w:tcW w:w="1530" w:type="dxa"/>
            <w:hideMark/>
          </w:tcPr>
          <w:p w14:paraId="67936BB1" w14:textId="77777777" w:rsidR="00FA0CDB" w:rsidRPr="00C634FF" w:rsidRDefault="00FA0CDB" w:rsidP="00FA0CDB">
            <w:pPr>
              <w:pStyle w:val="TCTableBody"/>
              <w:jc w:val="center"/>
              <w:rPr>
                <w:rFonts w:ascii="Times New Roman" w:hAnsi="Times New Roman"/>
                <w:color w:val="000000"/>
                <w:sz w:val="20"/>
              </w:rPr>
            </w:pPr>
            <w:r>
              <w:rPr>
                <w:sz w:val="20"/>
              </w:rPr>
              <w:t>19.0 ± 0.4</w:t>
            </w:r>
          </w:p>
        </w:tc>
        <w:tc>
          <w:tcPr>
            <w:tcW w:w="1440" w:type="dxa"/>
          </w:tcPr>
          <w:p w14:paraId="1D9746DC" w14:textId="77777777" w:rsidR="00FA0CDB" w:rsidRPr="00C634FF" w:rsidRDefault="00FA0CDB" w:rsidP="00FA0CDB">
            <w:pPr>
              <w:pStyle w:val="TCTableBody"/>
              <w:jc w:val="center"/>
              <w:rPr>
                <w:rFonts w:ascii="Times New Roman" w:hAnsi="Times New Roman"/>
                <w:sz w:val="20"/>
              </w:rPr>
            </w:pPr>
            <w:r>
              <w:rPr>
                <w:sz w:val="20"/>
              </w:rPr>
              <w:t>27.4 ± 5.3</w:t>
            </w:r>
          </w:p>
        </w:tc>
        <w:tc>
          <w:tcPr>
            <w:tcW w:w="1260" w:type="dxa"/>
          </w:tcPr>
          <w:p w14:paraId="4F862C6E" w14:textId="77777777" w:rsidR="00FA0CDB" w:rsidRPr="00C634FF" w:rsidRDefault="00FA0CDB" w:rsidP="00FA0CDB">
            <w:pPr>
              <w:pStyle w:val="TCTableBody"/>
              <w:jc w:val="center"/>
              <w:rPr>
                <w:rFonts w:ascii="Times New Roman" w:hAnsi="Times New Roman"/>
                <w:sz w:val="20"/>
              </w:rPr>
            </w:pPr>
            <w:r>
              <w:rPr>
                <w:sz w:val="20"/>
              </w:rPr>
              <w:t>3.78 ± 0.08</w:t>
            </w:r>
          </w:p>
        </w:tc>
        <w:tc>
          <w:tcPr>
            <w:tcW w:w="1260" w:type="dxa"/>
          </w:tcPr>
          <w:p w14:paraId="69634EE0" w14:textId="77777777" w:rsidR="00FA0CDB" w:rsidRPr="00C634FF" w:rsidRDefault="00FA0CDB" w:rsidP="00FA0CDB">
            <w:pPr>
              <w:pStyle w:val="TCTableBody"/>
              <w:jc w:val="center"/>
              <w:rPr>
                <w:rFonts w:ascii="Times New Roman" w:hAnsi="Times New Roman"/>
                <w:b/>
                <w:bCs/>
                <w:color w:val="000000"/>
                <w:sz w:val="20"/>
              </w:rPr>
            </w:pPr>
            <w:r>
              <w:rPr>
                <w:sz w:val="20"/>
              </w:rPr>
              <w:t>5.95 ± 0.28</w:t>
            </w:r>
          </w:p>
        </w:tc>
        <w:tc>
          <w:tcPr>
            <w:tcW w:w="1170" w:type="dxa"/>
          </w:tcPr>
          <w:p w14:paraId="21D5DC31" w14:textId="77777777" w:rsidR="00FA0CDB" w:rsidRPr="00C634FF" w:rsidRDefault="00FA0CDB" w:rsidP="00FA0CDB">
            <w:pPr>
              <w:pStyle w:val="TCTableBody"/>
              <w:jc w:val="center"/>
              <w:rPr>
                <w:rFonts w:ascii="Times New Roman" w:hAnsi="Times New Roman"/>
                <w:b/>
                <w:bCs/>
                <w:color w:val="000000"/>
                <w:sz w:val="20"/>
              </w:rPr>
            </w:pPr>
            <w:r>
              <w:rPr>
                <w:sz w:val="20"/>
              </w:rPr>
              <w:t>3.15 ± 0.20</w:t>
            </w:r>
          </w:p>
        </w:tc>
        <w:tc>
          <w:tcPr>
            <w:tcW w:w="990" w:type="dxa"/>
          </w:tcPr>
          <w:p w14:paraId="246CFE19" w14:textId="77777777" w:rsidR="00FA0CDB" w:rsidRPr="00C634FF" w:rsidRDefault="00FA0CDB" w:rsidP="00FA0CDB">
            <w:pPr>
              <w:pStyle w:val="TCTableBody"/>
              <w:jc w:val="center"/>
              <w:rPr>
                <w:rFonts w:ascii="Times New Roman" w:hAnsi="Times New Roman"/>
                <w:b/>
                <w:bCs/>
                <w:color w:val="000000"/>
                <w:sz w:val="20"/>
              </w:rPr>
            </w:pPr>
            <w:r>
              <w:rPr>
                <w:sz w:val="20"/>
              </w:rPr>
              <w:t>17.2 ± 2.4</w:t>
            </w:r>
          </w:p>
        </w:tc>
        <w:tc>
          <w:tcPr>
            <w:tcW w:w="990" w:type="dxa"/>
          </w:tcPr>
          <w:p w14:paraId="045CC4B3" w14:textId="77777777" w:rsidR="00FA0CDB" w:rsidRPr="00C634FF" w:rsidRDefault="00FA0CDB" w:rsidP="00FA0CDB">
            <w:pPr>
              <w:pStyle w:val="TCTableBody"/>
              <w:jc w:val="center"/>
              <w:rPr>
                <w:rFonts w:ascii="Times New Roman" w:hAnsi="Times New Roman"/>
                <w:b/>
                <w:bCs/>
                <w:color w:val="000000"/>
                <w:sz w:val="20"/>
              </w:rPr>
            </w:pPr>
            <w:r>
              <w:rPr>
                <w:sz w:val="20"/>
              </w:rPr>
              <w:t>268.1 ± 18.3</w:t>
            </w:r>
          </w:p>
        </w:tc>
      </w:tr>
      <w:tr w:rsidR="00FA0CDB" w:rsidRPr="00C634FF" w14:paraId="3D3A28B9" w14:textId="77777777" w:rsidTr="00453EE8">
        <w:trPr>
          <w:trHeight w:val="521"/>
        </w:trPr>
        <w:tc>
          <w:tcPr>
            <w:tcW w:w="895" w:type="dxa"/>
            <w:vMerge/>
            <w:hideMark/>
          </w:tcPr>
          <w:p w14:paraId="7D230A6F"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44544F51" w14:textId="77777777" w:rsidR="00FA0CDB" w:rsidRPr="00C634FF" w:rsidRDefault="00FA0CDB" w:rsidP="00FA0CDB">
            <w:pPr>
              <w:pStyle w:val="TCTableBody"/>
              <w:jc w:val="center"/>
              <w:rPr>
                <w:rFonts w:ascii="Times New Roman" w:hAnsi="Times New Roman"/>
                <w:color w:val="000000"/>
                <w:sz w:val="20"/>
              </w:rPr>
            </w:pPr>
            <w:r>
              <w:rPr>
                <w:sz w:val="20"/>
              </w:rPr>
              <w:t>L100I + K103N</w:t>
            </w:r>
          </w:p>
        </w:tc>
        <w:tc>
          <w:tcPr>
            <w:tcW w:w="1260" w:type="dxa"/>
            <w:hideMark/>
          </w:tcPr>
          <w:p w14:paraId="7173AE2A" w14:textId="77777777" w:rsidR="00FA0CDB" w:rsidRPr="00C634FF" w:rsidRDefault="00FA0CDB" w:rsidP="00FA0CDB">
            <w:pPr>
              <w:pStyle w:val="TCTableBody"/>
              <w:jc w:val="center"/>
              <w:rPr>
                <w:rFonts w:ascii="Times New Roman" w:hAnsi="Times New Roman"/>
                <w:color w:val="000000"/>
                <w:sz w:val="20"/>
              </w:rPr>
            </w:pPr>
            <w:r>
              <w:rPr>
                <w:sz w:val="20"/>
              </w:rPr>
              <w:t>3.20 ± 0.15</w:t>
            </w:r>
          </w:p>
        </w:tc>
        <w:tc>
          <w:tcPr>
            <w:tcW w:w="1260" w:type="dxa"/>
            <w:hideMark/>
          </w:tcPr>
          <w:p w14:paraId="7DED75FE" w14:textId="77777777" w:rsidR="00FA0CDB" w:rsidRPr="00C634FF" w:rsidRDefault="00FA0CDB" w:rsidP="00FA0CDB">
            <w:pPr>
              <w:pStyle w:val="TCTableBody"/>
              <w:jc w:val="center"/>
              <w:rPr>
                <w:rFonts w:ascii="Times New Roman" w:hAnsi="Times New Roman"/>
                <w:color w:val="000000"/>
                <w:sz w:val="20"/>
              </w:rPr>
            </w:pPr>
            <w:r>
              <w:rPr>
                <w:sz w:val="20"/>
              </w:rPr>
              <w:t>5.43 ± 0.20</w:t>
            </w:r>
          </w:p>
        </w:tc>
        <w:tc>
          <w:tcPr>
            <w:tcW w:w="1530" w:type="dxa"/>
            <w:hideMark/>
          </w:tcPr>
          <w:p w14:paraId="19D49154" w14:textId="77777777" w:rsidR="00FA0CDB" w:rsidRPr="00C634FF" w:rsidRDefault="00FA0CDB" w:rsidP="00FA0CDB">
            <w:pPr>
              <w:pStyle w:val="TCTableBody"/>
              <w:jc w:val="center"/>
              <w:rPr>
                <w:rFonts w:ascii="Times New Roman" w:hAnsi="Times New Roman"/>
                <w:color w:val="000000"/>
                <w:sz w:val="20"/>
              </w:rPr>
            </w:pPr>
            <w:r>
              <w:rPr>
                <w:sz w:val="20"/>
              </w:rPr>
              <w:t>18.4 ± 0.5</w:t>
            </w:r>
          </w:p>
        </w:tc>
        <w:tc>
          <w:tcPr>
            <w:tcW w:w="1440" w:type="dxa"/>
          </w:tcPr>
          <w:p w14:paraId="0AD80754" w14:textId="77777777" w:rsidR="00FA0CDB" w:rsidRPr="00C634FF" w:rsidRDefault="00FA0CDB" w:rsidP="00FA0CDB">
            <w:pPr>
              <w:pStyle w:val="TCTableBody"/>
              <w:jc w:val="center"/>
              <w:rPr>
                <w:rFonts w:ascii="Times New Roman" w:hAnsi="Times New Roman"/>
                <w:color w:val="000000"/>
                <w:sz w:val="20"/>
              </w:rPr>
            </w:pPr>
            <w:r>
              <w:rPr>
                <w:sz w:val="20"/>
              </w:rPr>
              <w:t>12.7 ± 0.3</w:t>
            </w:r>
          </w:p>
        </w:tc>
        <w:tc>
          <w:tcPr>
            <w:tcW w:w="1260" w:type="dxa"/>
          </w:tcPr>
          <w:p w14:paraId="1C9DE3C1" w14:textId="77777777" w:rsidR="00FA0CDB" w:rsidRPr="00C634FF" w:rsidRDefault="00FA0CDB" w:rsidP="00FA0CDB">
            <w:pPr>
              <w:pStyle w:val="TCTableBody"/>
              <w:jc w:val="center"/>
              <w:rPr>
                <w:rFonts w:ascii="Times New Roman" w:hAnsi="Times New Roman"/>
                <w:color w:val="000000"/>
                <w:sz w:val="20"/>
              </w:rPr>
            </w:pPr>
            <w:r>
              <w:rPr>
                <w:sz w:val="20"/>
              </w:rPr>
              <w:t>3.89 ± 0.29</w:t>
            </w:r>
          </w:p>
        </w:tc>
        <w:tc>
          <w:tcPr>
            <w:tcW w:w="1260" w:type="dxa"/>
          </w:tcPr>
          <w:p w14:paraId="70372C77" w14:textId="77777777" w:rsidR="00FA0CDB" w:rsidRPr="00C634FF" w:rsidRDefault="00FA0CDB" w:rsidP="00FA0CDB">
            <w:pPr>
              <w:pStyle w:val="TCTableBody"/>
              <w:jc w:val="center"/>
              <w:rPr>
                <w:rFonts w:ascii="Times New Roman" w:hAnsi="Times New Roman"/>
                <w:b/>
                <w:bCs/>
                <w:color w:val="000000"/>
                <w:sz w:val="20"/>
              </w:rPr>
            </w:pPr>
            <w:r>
              <w:rPr>
                <w:sz w:val="20"/>
              </w:rPr>
              <w:t>6.31 ± 0.23</w:t>
            </w:r>
          </w:p>
        </w:tc>
        <w:tc>
          <w:tcPr>
            <w:tcW w:w="1170" w:type="dxa"/>
          </w:tcPr>
          <w:p w14:paraId="0FB1CAC4" w14:textId="77777777" w:rsidR="00FA0CDB" w:rsidRPr="00C634FF" w:rsidRDefault="00FA0CDB" w:rsidP="00FA0CDB">
            <w:pPr>
              <w:pStyle w:val="TCTableBody"/>
              <w:jc w:val="center"/>
              <w:rPr>
                <w:rFonts w:ascii="Times New Roman" w:hAnsi="Times New Roman"/>
                <w:b/>
                <w:bCs/>
                <w:color w:val="000000"/>
                <w:sz w:val="20"/>
              </w:rPr>
            </w:pPr>
            <w:r>
              <w:rPr>
                <w:sz w:val="20"/>
              </w:rPr>
              <w:t>3.38 ± 0.02</w:t>
            </w:r>
          </w:p>
        </w:tc>
        <w:tc>
          <w:tcPr>
            <w:tcW w:w="990" w:type="dxa"/>
          </w:tcPr>
          <w:p w14:paraId="32BC8C82" w14:textId="77777777" w:rsidR="00FA0CDB" w:rsidRPr="00C634FF" w:rsidRDefault="00FA0CDB" w:rsidP="00FA0CDB">
            <w:pPr>
              <w:pStyle w:val="TCTableBody"/>
              <w:jc w:val="center"/>
              <w:rPr>
                <w:rFonts w:ascii="Times New Roman" w:hAnsi="Times New Roman"/>
                <w:b/>
                <w:bCs/>
                <w:color w:val="000000"/>
                <w:sz w:val="20"/>
              </w:rPr>
            </w:pPr>
            <w:r>
              <w:rPr>
                <w:sz w:val="20"/>
              </w:rPr>
              <w:t>17.8 ± 0.4</w:t>
            </w:r>
          </w:p>
        </w:tc>
        <w:tc>
          <w:tcPr>
            <w:tcW w:w="990" w:type="dxa"/>
          </w:tcPr>
          <w:p w14:paraId="06671FC3" w14:textId="77777777" w:rsidR="00FA0CDB" w:rsidRPr="00C634FF" w:rsidRDefault="00FA0CDB" w:rsidP="00FA0CDB">
            <w:pPr>
              <w:pStyle w:val="TCTableBody"/>
              <w:jc w:val="center"/>
              <w:rPr>
                <w:rFonts w:ascii="Times New Roman" w:hAnsi="Times New Roman"/>
                <w:b/>
                <w:bCs/>
                <w:color w:val="000000"/>
                <w:sz w:val="20"/>
              </w:rPr>
            </w:pPr>
            <w:r>
              <w:rPr>
                <w:sz w:val="20"/>
              </w:rPr>
              <w:t>229.9 ± 6.9</w:t>
            </w:r>
          </w:p>
        </w:tc>
      </w:tr>
      <w:tr w:rsidR="00FA0CDB" w:rsidRPr="00C634FF" w14:paraId="10D65785" w14:textId="77777777" w:rsidTr="00453EE8">
        <w:trPr>
          <w:trHeight w:val="350"/>
        </w:trPr>
        <w:tc>
          <w:tcPr>
            <w:tcW w:w="895" w:type="dxa"/>
            <w:vMerge/>
            <w:hideMark/>
          </w:tcPr>
          <w:p w14:paraId="7B39137A"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57AD1A18" w14:textId="77777777" w:rsidR="00FA0CDB" w:rsidRPr="00C634FF" w:rsidRDefault="00FA0CDB" w:rsidP="00FA0CDB">
            <w:pPr>
              <w:pStyle w:val="TCTableBody"/>
              <w:jc w:val="center"/>
              <w:rPr>
                <w:rFonts w:ascii="Times New Roman" w:hAnsi="Times New Roman"/>
                <w:color w:val="000000"/>
                <w:sz w:val="20"/>
              </w:rPr>
            </w:pPr>
            <w:r>
              <w:rPr>
                <w:sz w:val="20"/>
              </w:rPr>
              <w:t>K103N + P225H</w:t>
            </w:r>
          </w:p>
        </w:tc>
        <w:tc>
          <w:tcPr>
            <w:tcW w:w="1260" w:type="dxa"/>
            <w:hideMark/>
          </w:tcPr>
          <w:p w14:paraId="26CEDE6A" w14:textId="77777777" w:rsidR="00FA0CDB" w:rsidRPr="00C634FF" w:rsidRDefault="00FA0CDB" w:rsidP="00FA0CDB">
            <w:pPr>
              <w:pStyle w:val="TCTableBody"/>
              <w:jc w:val="center"/>
              <w:rPr>
                <w:rFonts w:ascii="Times New Roman" w:hAnsi="Times New Roman"/>
                <w:color w:val="000000"/>
                <w:sz w:val="20"/>
              </w:rPr>
            </w:pPr>
            <w:r>
              <w:rPr>
                <w:sz w:val="20"/>
              </w:rPr>
              <w:t>3.10 ± 0.02</w:t>
            </w:r>
          </w:p>
        </w:tc>
        <w:tc>
          <w:tcPr>
            <w:tcW w:w="1260" w:type="dxa"/>
            <w:hideMark/>
          </w:tcPr>
          <w:p w14:paraId="69375E39" w14:textId="77777777" w:rsidR="00FA0CDB" w:rsidRPr="00C634FF" w:rsidRDefault="00FA0CDB" w:rsidP="00FA0CDB">
            <w:pPr>
              <w:pStyle w:val="TCTableBody"/>
              <w:jc w:val="center"/>
              <w:rPr>
                <w:rFonts w:ascii="Times New Roman" w:hAnsi="Times New Roman"/>
                <w:color w:val="000000"/>
                <w:sz w:val="20"/>
              </w:rPr>
            </w:pPr>
            <w:r>
              <w:rPr>
                <w:sz w:val="20"/>
              </w:rPr>
              <w:t>5.06 ± 0.14</w:t>
            </w:r>
          </w:p>
        </w:tc>
        <w:tc>
          <w:tcPr>
            <w:tcW w:w="1530" w:type="dxa"/>
            <w:hideMark/>
          </w:tcPr>
          <w:p w14:paraId="0C26A91F" w14:textId="77777777" w:rsidR="00FA0CDB" w:rsidRPr="00C634FF" w:rsidRDefault="00FA0CDB" w:rsidP="00FA0CDB">
            <w:pPr>
              <w:pStyle w:val="TCTableBody"/>
              <w:jc w:val="center"/>
              <w:rPr>
                <w:rFonts w:ascii="Times New Roman" w:hAnsi="Times New Roman"/>
                <w:color w:val="000000"/>
                <w:sz w:val="20"/>
              </w:rPr>
            </w:pPr>
            <w:r>
              <w:rPr>
                <w:sz w:val="20"/>
              </w:rPr>
              <w:t>18.3 ± 0.6</w:t>
            </w:r>
          </w:p>
        </w:tc>
        <w:tc>
          <w:tcPr>
            <w:tcW w:w="1440" w:type="dxa"/>
          </w:tcPr>
          <w:p w14:paraId="4232B9C4" w14:textId="77777777" w:rsidR="00FA0CDB" w:rsidRPr="00C634FF" w:rsidRDefault="00FA0CDB" w:rsidP="00FA0CDB">
            <w:pPr>
              <w:pStyle w:val="TCTableBody"/>
              <w:jc w:val="center"/>
              <w:rPr>
                <w:rFonts w:ascii="Times New Roman" w:hAnsi="Times New Roman"/>
                <w:sz w:val="20"/>
              </w:rPr>
            </w:pPr>
            <w:r>
              <w:rPr>
                <w:sz w:val="20"/>
              </w:rPr>
              <w:t>15.5 ± 3.0</w:t>
            </w:r>
          </w:p>
        </w:tc>
        <w:tc>
          <w:tcPr>
            <w:tcW w:w="1260" w:type="dxa"/>
          </w:tcPr>
          <w:p w14:paraId="2F0D7430" w14:textId="77777777" w:rsidR="00FA0CDB" w:rsidRPr="00C634FF" w:rsidRDefault="00FA0CDB" w:rsidP="00FA0CDB">
            <w:pPr>
              <w:pStyle w:val="TCTableBody"/>
              <w:jc w:val="center"/>
              <w:rPr>
                <w:rFonts w:ascii="Times New Roman" w:hAnsi="Times New Roman"/>
                <w:sz w:val="20"/>
              </w:rPr>
            </w:pPr>
            <w:r>
              <w:rPr>
                <w:sz w:val="20"/>
              </w:rPr>
              <w:t>3.71 ± 0.08</w:t>
            </w:r>
          </w:p>
        </w:tc>
        <w:tc>
          <w:tcPr>
            <w:tcW w:w="1260" w:type="dxa"/>
          </w:tcPr>
          <w:p w14:paraId="322F2310" w14:textId="77777777" w:rsidR="00FA0CDB" w:rsidRPr="00C634FF" w:rsidRDefault="00FA0CDB" w:rsidP="00FA0CDB">
            <w:pPr>
              <w:pStyle w:val="TCTableBody"/>
              <w:jc w:val="center"/>
              <w:rPr>
                <w:rFonts w:ascii="Times New Roman" w:hAnsi="Times New Roman"/>
                <w:b/>
                <w:bCs/>
                <w:color w:val="000000"/>
                <w:sz w:val="20"/>
              </w:rPr>
            </w:pPr>
            <w:r>
              <w:rPr>
                <w:sz w:val="20"/>
              </w:rPr>
              <w:t>6.37 ± 0.15</w:t>
            </w:r>
          </w:p>
        </w:tc>
        <w:tc>
          <w:tcPr>
            <w:tcW w:w="1170" w:type="dxa"/>
          </w:tcPr>
          <w:p w14:paraId="5560FD8B" w14:textId="77777777" w:rsidR="00FA0CDB" w:rsidRPr="00C634FF" w:rsidRDefault="00FA0CDB" w:rsidP="00FA0CDB">
            <w:pPr>
              <w:pStyle w:val="TCTableBody"/>
              <w:jc w:val="center"/>
              <w:rPr>
                <w:rFonts w:ascii="Times New Roman" w:hAnsi="Times New Roman"/>
                <w:b/>
                <w:bCs/>
                <w:color w:val="000000"/>
                <w:sz w:val="20"/>
              </w:rPr>
            </w:pPr>
            <w:r>
              <w:rPr>
                <w:sz w:val="20"/>
              </w:rPr>
              <w:t>3.34 ± 0.09</w:t>
            </w:r>
          </w:p>
        </w:tc>
        <w:tc>
          <w:tcPr>
            <w:tcW w:w="990" w:type="dxa"/>
          </w:tcPr>
          <w:p w14:paraId="04EBAA72" w14:textId="77777777" w:rsidR="00FA0CDB" w:rsidRPr="00C634FF" w:rsidRDefault="00FA0CDB" w:rsidP="00FA0CDB">
            <w:pPr>
              <w:pStyle w:val="TCTableBody"/>
              <w:jc w:val="center"/>
              <w:rPr>
                <w:rFonts w:ascii="Times New Roman" w:hAnsi="Times New Roman"/>
                <w:b/>
                <w:bCs/>
                <w:color w:val="000000"/>
                <w:sz w:val="20"/>
              </w:rPr>
            </w:pPr>
            <w:r>
              <w:rPr>
                <w:sz w:val="20"/>
              </w:rPr>
              <w:t>15.7 ± 0.5</w:t>
            </w:r>
          </w:p>
        </w:tc>
        <w:tc>
          <w:tcPr>
            <w:tcW w:w="990" w:type="dxa"/>
          </w:tcPr>
          <w:p w14:paraId="5FF68EEF" w14:textId="77777777" w:rsidR="00FA0CDB" w:rsidRPr="00C634FF" w:rsidRDefault="00FA0CDB" w:rsidP="00FA0CDB">
            <w:pPr>
              <w:pStyle w:val="TCTableBody"/>
              <w:jc w:val="center"/>
              <w:rPr>
                <w:rFonts w:ascii="Times New Roman" w:hAnsi="Times New Roman"/>
                <w:b/>
                <w:bCs/>
                <w:color w:val="000000"/>
                <w:sz w:val="20"/>
              </w:rPr>
            </w:pPr>
            <w:r>
              <w:rPr>
                <w:sz w:val="20"/>
              </w:rPr>
              <w:t>239.7 ± 11.5</w:t>
            </w:r>
          </w:p>
        </w:tc>
      </w:tr>
      <w:tr w:rsidR="00FA0CDB" w:rsidRPr="00C634FF" w14:paraId="20FE7C27" w14:textId="77777777" w:rsidTr="00453EE8">
        <w:trPr>
          <w:trHeight w:val="350"/>
        </w:trPr>
        <w:tc>
          <w:tcPr>
            <w:tcW w:w="895" w:type="dxa"/>
            <w:vMerge/>
          </w:tcPr>
          <w:p w14:paraId="09E843FD" w14:textId="77777777" w:rsidR="00FA0CDB" w:rsidRPr="00C634FF" w:rsidRDefault="00FA0CDB" w:rsidP="00FA0CDB">
            <w:pPr>
              <w:spacing w:line="480" w:lineRule="auto"/>
              <w:rPr>
                <w:rFonts w:ascii="Times New Roman" w:hAnsi="Times New Roman"/>
                <w:color w:val="000000"/>
                <w:sz w:val="20"/>
              </w:rPr>
            </w:pPr>
          </w:p>
        </w:tc>
        <w:tc>
          <w:tcPr>
            <w:tcW w:w="810" w:type="dxa"/>
          </w:tcPr>
          <w:p w14:paraId="2E84FD01" w14:textId="77777777" w:rsidR="00FA0CDB" w:rsidRPr="00C634FF" w:rsidRDefault="00FA0CDB" w:rsidP="00FA0CDB">
            <w:pPr>
              <w:pStyle w:val="TCTableBody"/>
              <w:jc w:val="center"/>
              <w:rPr>
                <w:rFonts w:ascii="Times New Roman" w:hAnsi="Times New Roman"/>
                <w:sz w:val="20"/>
              </w:rPr>
            </w:pPr>
            <w:r>
              <w:rPr>
                <w:sz w:val="20"/>
              </w:rPr>
              <w:t>G190E</w:t>
            </w:r>
          </w:p>
        </w:tc>
        <w:tc>
          <w:tcPr>
            <w:tcW w:w="1260" w:type="dxa"/>
          </w:tcPr>
          <w:p w14:paraId="3EEADCC4" w14:textId="77777777" w:rsidR="00FA0CDB" w:rsidRPr="00C634FF" w:rsidRDefault="00FA0CDB" w:rsidP="00FA0CDB">
            <w:pPr>
              <w:pStyle w:val="TCTableBody"/>
              <w:jc w:val="center"/>
              <w:rPr>
                <w:rFonts w:ascii="Times New Roman" w:hAnsi="Times New Roman"/>
                <w:sz w:val="20"/>
              </w:rPr>
            </w:pPr>
            <w:r>
              <w:rPr>
                <w:sz w:val="20"/>
              </w:rPr>
              <w:t>3.17 ± 0.09</w:t>
            </w:r>
          </w:p>
        </w:tc>
        <w:tc>
          <w:tcPr>
            <w:tcW w:w="1260" w:type="dxa"/>
          </w:tcPr>
          <w:p w14:paraId="53241708" w14:textId="77777777" w:rsidR="00FA0CDB" w:rsidRPr="00C634FF" w:rsidRDefault="00FA0CDB" w:rsidP="00FA0CDB">
            <w:pPr>
              <w:pStyle w:val="TCTableBody"/>
              <w:jc w:val="center"/>
              <w:rPr>
                <w:rFonts w:ascii="Times New Roman" w:hAnsi="Times New Roman"/>
                <w:sz w:val="20"/>
              </w:rPr>
            </w:pPr>
            <w:r>
              <w:rPr>
                <w:sz w:val="20"/>
              </w:rPr>
              <w:t>8.63 ± 0.16</w:t>
            </w:r>
          </w:p>
        </w:tc>
        <w:tc>
          <w:tcPr>
            <w:tcW w:w="1530" w:type="dxa"/>
          </w:tcPr>
          <w:p w14:paraId="2A9460DA" w14:textId="77777777" w:rsidR="00FA0CDB" w:rsidRPr="00C634FF" w:rsidRDefault="00FA0CDB" w:rsidP="00FA0CDB">
            <w:pPr>
              <w:pStyle w:val="TCTableBody"/>
              <w:jc w:val="center"/>
              <w:rPr>
                <w:rFonts w:ascii="Times New Roman" w:hAnsi="Times New Roman"/>
                <w:sz w:val="20"/>
              </w:rPr>
            </w:pPr>
            <w:r>
              <w:rPr>
                <w:sz w:val="20"/>
              </w:rPr>
              <w:t>22.7 ± 2.0</w:t>
            </w:r>
          </w:p>
        </w:tc>
        <w:tc>
          <w:tcPr>
            <w:tcW w:w="1440" w:type="dxa"/>
          </w:tcPr>
          <w:p w14:paraId="195467F6" w14:textId="77777777" w:rsidR="00FA0CDB" w:rsidRPr="00C634FF" w:rsidRDefault="00FA0CDB" w:rsidP="00FA0CDB">
            <w:pPr>
              <w:pStyle w:val="TCTableBody"/>
              <w:jc w:val="center"/>
              <w:rPr>
                <w:rFonts w:ascii="Times New Roman" w:hAnsi="Times New Roman"/>
                <w:sz w:val="20"/>
              </w:rPr>
            </w:pPr>
            <w:r>
              <w:rPr>
                <w:sz w:val="20"/>
              </w:rPr>
              <w:t>12.0 ± 0.9</w:t>
            </w:r>
          </w:p>
        </w:tc>
        <w:tc>
          <w:tcPr>
            <w:tcW w:w="1260" w:type="dxa"/>
          </w:tcPr>
          <w:p w14:paraId="5624F6E6" w14:textId="77777777" w:rsidR="00FA0CDB" w:rsidRPr="00C634FF" w:rsidRDefault="00FA0CDB" w:rsidP="00FA0CDB">
            <w:pPr>
              <w:pStyle w:val="TCTableBody"/>
              <w:jc w:val="center"/>
              <w:rPr>
                <w:rFonts w:ascii="Times New Roman" w:hAnsi="Times New Roman"/>
                <w:sz w:val="20"/>
              </w:rPr>
            </w:pPr>
            <w:r>
              <w:rPr>
                <w:sz w:val="20"/>
              </w:rPr>
              <w:t>6.47 ± 0.44</w:t>
            </w:r>
          </w:p>
        </w:tc>
        <w:tc>
          <w:tcPr>
            <w:tcW w:w="1260" w:type="dxa"/>
          </w:tcPr>
          <w:p w14:paraId="6320A7AD" w14:textId="77777777" w:rsidR="00FA0CDB" w:rsidRPr="00C634FF" w:rsidRDefault="00FA0CDB" w:rsidP="00FA0CDB">
            <w:pPr>
              <w:pStyle w:val="TCTableBody"/>
              <w:jc w:val="center"/>
              <w:rPr>
                <w:rFonts w:ascii="Times New Roman" w:hAnsi="Times New Roman"/>
                <w:b/>
                <w:bCs/>
                <w:color w:val="000000"/>
                <w:sz w:val="20"/>
              </w:rPr>
            </w:pPr>
            <w:r>
              <w:rPr>
                <w:sz w:val="20"/>
              </w:rPr>
              <w:t>5.70 ± 0.45</w:t>
            </w:r>
          </w:p>
        </w:tc>
        <w:tc>
          <w:tcPr>
            <w:tcW w:w="1170" w:type="dxa"/>
          </w:tcPr>
          <w:p w14:paraId="76CD74AE" w14:textId="77777777" w:rsidR="00FA0CDB" w:rsidRPr="00C634FF" w:rsidRDefault="00FA0CDB" w:rsidP="00FA0CDB">
            <w:pPr>
              <w:pStyle w:val="TCTableBody"/>
              <w:jc w:val="center"/>
              <w:rPr>
                <w:rFonts w:ascii="Times New Roman" w:hAnsi="Times New Roman"/>
                <w:b/>
                <w:bCs/>
                <w:color w:val="000000"/>
                <w:sz w:val="20"/>
              </w:rPr>
            </w:pPr>
            <w:r>
              <w:rPr>
                <w:sz w:val="20"/>
              </w:rPr>
              <w:t>2.92 ± 0.24</w:t>
            </w:r>
          </w:p>
        </w:tc>
        <w:tc>
          <w:tcPr>
            <w:tcW w:w="990" w:type="dxa"/>
          </w:tcPr>
          <w:p w14:paraId="43023970" w14:textId="77777777" w:rsidR="00FA0CDB" w:rsidRPr="00C634FF" w:rsidRDefault="00FA0CDB" w:rsidP="00FA0CDB">
            <w:pPr>
              <w:pStyle w:val="TCTableBody"/>
              <w:jc w:val="center"/>
              <w:rPr>
                <w:rFonts w:ascii="Times New Roman" w:hAnsi="Times New Roman"/>
                <w:b/>
                <w:bCs/>
                <w:color w:val="000000"/>
                <w:sz w:val="20"/>
              </w:rPr>
            </w:pPr>
            <w:r>
              <w:rPr>
                <w:sz w:val="20"/>
              </w:rPr>
              <w:t>17.3 ± 2.7</w:t>
            </w:r>
          </w:p>
        </w:tc>
        <w:tc>
          <w:tcPr>
            <w:tcW w:w="990" w:type="dxa"/>
          </w:tcPr>
          <w:p w14:paraId="47624BB0" w14:textId="77777777" w:rsidR="00FA0CDB" w:rsidRPr="00C634FF" w:rsidRDefault="00FA0CDB" w:rsidP="00FA0CDB">
            <w:pPr>
              <w:pStyle w:val="TCTableBody"/>
              <w:jc w:val="center"/>
              <w:rPr>
                <w:rFonts w:ascii="Times New Roman" w:hAnsi="Times New Roman"/>
                <w:b/>
                <w:bCs/>
                <w:color w:val="000000"/>
                <w:sz w:val="20"/>
              </w:rPr>
            </w:pPr>
            <w:r>
              <w:rPr>
                <w:sz w:val="20"/>
              </w:rPr>
              <w:t>284.3 ± 3.2</w:t>
            </w:r>
          </w:p>
        </w:tc>
      </w:tr>
    </w:tbl>
    <w:p w14:paraId="5DED9625" w14:textId="77777777" w:rsidR="004240A7" w:rsidRPr="00C634FF" w:rsidRDefault="009F24E2" w:rsidP="00007567">
      <w:pPr>
        <w:pStyle w:val="TAMainText"/>
        <w:spacing w:after="240"/>
        <w:rPr>
          <w:rFonts w:ascii="Times New Roman" w:hAnsi="Times New Roman"/>
          <w:b/>
          <w:bCs/>
          <w:noProof/>
          <w:sz w:val="20"/>
        </w:rPr>
      </w:pPr>
      <w:r>
        <w:rPr>
          <w:sz w:val="20"/>
        </w:rPr>
        <w:t>*Loss of tyrosine sidechain precludes calculation of ring stacking angle in this genotype</w:t>
      </w:r>
    </w:p>
    <w:p w14:paraId="7EA5E932"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3DF0289D" w14:textId="72A82DE6"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4152D5D8"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4"/>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21E28BE6" w14:textId="7EC5CAA3"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0B1DB486" w14:textId="77777777" w:rsidR="008F1E59" w:rsidRPr="00E536AD" w:rsidRDefault="008F1E59" w:rsidP="006D47C9">
      <w:pPr>
        <w:pStyle w:val="TAMainText"/>
        <w:spacing w:after="240"/>
        <w:ind w:firstLine="0"/>
        <w:rPr>
          <w:rFonts w:ascii="Times New Roman" w:hAnsi="Times New Roman"/>
          <w:szCs w:val="24"/>
        </w:rPr>
      </w:pPr>
    </w:p>
    <w:p w14:paraId="0DA3347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4920DDD9"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PhenoSense assay, compared with 330 for RPV and 1,193 for ETR. This mismatch between growing clinical relevance and limited public phenotype data for DOR resistance motivated the present study. </w:t>
      </w:r>
    </w:p>
    <w:p w14:paraId="0CEBAA26" w14:textId="31FDE218"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580E0E">
        <w:instrText xml:space="preserve"> ADDIN ZOTERO_ITEM CSL_CITATION {"citationID":"YsIGJLYx","properties":{"unsorted":true,"formattedCitation":"\\super 60\\uc0\\u8211{}62\\nosupersub{}","plainCitation":"60</w:instrText>
      </w:r>
      <w:r w:rsidR="00580E0E">
        <w:rPr>
          <w:rFonts w:hint="eastAsia"/>
        </w:rPr>
        <w:instrText>–</w:instrText>
      </w:r>
      <w:r w:rsidR="00580E0E">
        <w:instrText>62","noteIndex":0},"citationItems":[{"id":322,"uris":["http://zotero.org/users/19404620/items/38PDJNEN"],"itemData":{"id":322,"type":"article-journal","abstract":"Point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580E0E">
        <w:rPr>
          <w:rFonts w:hint="eastAsia"/>
        </w:rPr>
        <w:instrText>Δ</w:instrText>
      </w:r>
      <w:r w:rsidR="00580E0E">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580E0E">
        <w:rPr>
          <w:rFonts w:hint="eastAsia"/>
        </w:rPr>
        <w:instrText>ΔΔ</w:instrText>
      </w:r>
      <w:r w:rsidR="00580E0E">
        <w:instrText>Ecoul for R292K-wildtype at position 292 parallel the change in experimental fold resistance energies (</w:instrText>
      </w:r>
      <w:r w:rsidR="00580E0E">
        <w:rPr>
          <w:rFonts w:hint="eastAsia"/>
        </w:rPr>
        <w:instrText>ΔΔ</w:instrText>
      </w:r>
      <w:r w:rsidR="00580E0E">
        <w:instrText xml:space="preserve">GR292K-WT) with S03 &amp;lt; S00 &amp;lt; S02 &amp;lt; S01. The footprints also reveal that the most potent ligands have (1) less reliance on R292 for intrinsic affinity, (2) enhanced binding via residues E119, E227, and E277, and (3) flatter </w:instrText>
      </w:r>
      <w:r w:rsidR="00580E0E">
        <w:rPr>
          <w:rFonts w:hint="eastAsia"/>
        </w:rPr>
        <w:instrText>Δ</w:instrText>
      </w:r>
      <w:r w:rsidR="00580E0E">
        <w:instrText xml:space="preserve">Ecoul and </w:instrText>
      </w:r>
      <w:r w:rsidR="00580E0E">
        <w:rPr>
          <w:rFonts w:hint="eastAsia"/>
        </w:rPr>
        <w:instrText>Δ</w:instrText>
      </w:r>
      <w:r w:rsidR="00580E0E">
        <w:instrText>H-bond profiles. Improved resistance for S03 appears to be a function of the ligand</w:instrText>
      </w:r>
      <w:r w:rsidR="00580E0E">
        <w:rPr>
          <w:rFonts w:hint="eastAsia"/>
        </w:rPr>
        <w:instrText>’</w:instrText>
      </w:r>
      <w:r w:rsidR="00580E0E">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580E0E">
        <w:rPr>
          <w:rFonts w:hint="eastAsia"/>
        </w:rPr>
        <w:instrText>µ</w:instrText>
      </w:r>
      <w:r w:rsidR="00580E0E">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580E0E">
        <w:rPr>
          <w:rFonts w:hint="eastAsia"/>
        </w:rPr>
        <w:instrText>’</w:instrText>
      </w:r>
      <w:r w:rsidR="00580E0E">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580E0E" w:rsidRPr="00580E0E">
        <w:rPr>
          <w:rFonts w:cs="Mangal"/>
          <w:szCs w:val="24"/>
          <w:vertAlign w:val="superscript"/>
          <w:lang w:bidi="hi-IN"/>
        </w:rPr>
        <w:t>60–62</w:t>
      </w:r>
      <w:r>
        <w:fldChar w:fldCharType="end"/>
      </w:r>
      <w:r>
        <w:t xml:space="preserve"> including HIV,</w:t>
      </w:r>
      <w:r>
        <w:fldChar w:fldCharType="begin"/>
      </w:r>
      <w:r w:rsidR="00580E0E">
        <w:instrText xml:space="preserve"> ADDIN ZOTERO_ITEM CSL_CITATION {"citationID":"FwFMZHUY","properties":{"unsorted":true,"formattedCitation":"\\super 26,63\\uc0\\u8211{}67\\nosupersub{}","plainCitation":"26,63</w:instrText>
      </w:r>
      <w:r w:rsidR="00580E0E">
        <w:rPr>
          <w:rFonts w:hint="eastAsia"/>
        </w:rPr>
        <w:instrText>–</w:instrText>
      </w:r>
      <w:r w:rsidR="00580E0E">
        <w:instrText>67","noteIndex":0},"citationItems":[{"id":318,"uris":["http://zotero.org/users/19404620/items/Z3JHCUEJ"],"itemData":{"id":318,"type":"article-journal","abstract":"The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580E0E">
        <w:rPr>
          <w:rFonts w:hint="eastAsia"/>
        </w:rPr>
        <w:instrText>ć</w:instrText>
      </w:r>
      <w:r w:rsidR="00580E0E">
        <w:instrText xml:space="preserve">","given":"Marina"},{"family":"Tirado-Rives","given":"Julian"},{"family":"Jorgensen","given":"William L."}],"issued":{"date-parts":[["2004",3,20]]}}},{"id":267,"uris":["http://zotero.org/users/19404620/items/FLDCEDH2"],"itemData":{"id":267,"type":"article-journal","abstract":"Darunavir (DRV) is a high affinity (4.5 </w:instrText>
      </w:r>
      <w:r w:rsidR="00580E0E">
        <w:rPr>
          <w:rFonts w:hint="eastAsia"/>
        </w:rPr>
        <w:instrText>×</w:instrText>
      </w:r>
      <w:r w:rsidR="00580E0E">
        <w:instrText xml:space="preserve"> 10−12 M, </w:instrText>
      </w:r>
      <w:r w:rsidR="00580E0E">
        <w:rPr>
          <w:rFonts w:hint="eastAsia"/>
        </w:rPr>
        <w:instrText>Δ</w:instrText>
      </w:r>
      <w:r w:rsidR="00580E0E">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580E0E">
        <w:rPr>
          <w:rFonts w:hint="eastAsia"/>
        </w:rPr>
        <w:instrText>Δ</w:instrText>
      </w:r>
      <w:r w:rsidR="00580E0E">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580E0E">
        <w:rPr>
          <w:rFonts w:hint="eastAsia"/>
        </w:rPr>
        <w:instrText>’</w:instrText>
      </w:r>
      <w:r w:rsidR="00580E0E">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580E0E">
        <w:rPr>
          <w:rFonts w:hint="eastAsia"/>
        </w:rPr>
        <w:instrText>Å</w:instrText>
      </w:r>
      <w:r w:rsidR="00580E0E">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580E0E" w:rsidRPr="00580E0E">
        <w:rPr>
          <w:rFonts w:cs="Mangal"/>
          <w:szCs w:val="24"/>
          <w:vertAlign w:val="superscript"/>
          <w:lang w:bidi="hi-IN"/>
        </w:rPr>
        <w:t>26,63–67</w:t>
      </w:r>
      <w:r>
        <w:fldChar w:fldCharType="end"/>
      </w:r>
      <w:r>
        <w:t xml:space="preserve"> and cancer.</w:t>
      </w:r>
      <w:r>
        <w:fldChar w:fldCharType="begin"/>
      </w:r>
      <w:r w:rsidR="00580E0E">
        <w:instrText xml:space="preserve"> ADDIN ZOTERO_ITEM CSL_CITATION {"citationID":"7z8cciZU","properties":{"unsorted":false,"formattedCitation":"\\super 68,69\\nosupersub{}","plainCitation":"68,69","noteIndex":0},"citationItems":[{"id":260,"uris":["http://zotero.org/users/19404620/items/6VJGNZIE"],"itemData":{"id":260,"type":"article-journal","abstract":"The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580E0E" w:rsidRPr="00580E0E">
        <w:rPr>
          <w:rFonts w:cs="Mangal"/>
          <w:szCs w:val="24"/>
          <w:vertAlign w:val="superscript"/>
          <w:lang w:bidi="hi-IN"/>
        </w:rPr>
        <w:t>68,69</w:t>
      </w:r>
      <w:r>
        <w:fldChar w:fldCharType="end"/>
      </w:r>
      <w:r>
        <w:t xml:space="preserve"> For transparency and reproducibility, we used open source alternatives to the more widely-used, commercial FEP workflows.</w:t>
      </w:r>
      <w:r>
        <w:fldChar w:fldCharType="begin"/>
      </w:r>
      <w:r w:rsidR="00580E0E">
        <w:instrText xml:space="preserve"> ADDIN ZOTERO_ITEM CSL_CITATION {"citationID":"9NrNcyuP","properties":{"unsorted":true,"formattedCitation":"\\super 70,71\\nosupersub{}","plainCitation":"70,71","noteIndex":0},"citationItems":[{"id":333,"uris":["http://zotero.org/users/19404620/items/88HGJU5N"],"itemData":{"id":333,"type":"article-journal","abstract":"Designing\ntight-binding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580E0E">
        <w:rPr>
          <w:rFonts w:ascii="Cambria Math" w:hAnsi="Cambria Math" w:cs="Cambria Math"/>
        </w:rPr>
        <w:instrText>∼</w:instrText>
      </w:r>
      <w:r w:rsidR="00580E0E">
        <w:instrText>5</w:instrText>
      </w:r>
      <w:r w:rsidR="00580E0E">
        <w:rPr>
          <w:rFonts w:hint="eastAsia"/>
        </w:rPr>
        <w:instrText>×</w:instrText>
      </w:r>
      <w:r w:rsidR="00580E0E">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580E0E">
        <w:rPr>
          <w:rFonts w:hint="eastAsia"/>
        </w:rPr>
        <w:instrText>ö</w:instrText>
      </w:r>
      <w:r w:rsidR="00580E0E">
        <w:instrText>se","given":"Dietrich"},{"family":"Buchstaller","given":"Hans-Peter"},{"family":"Burgdorf","given":"Lars"},{"family":"Cappel","given":"Daniel"},{"family":"Chekler","given":"Eugene"},{"family":"Czodrowski","given":"Paul"},{"family":"Dorsch","given":"Dieter"},{"family":"Eguida","given":"Merveille K. I."},{"family":"Follows","given":"Bruce"},{"family":"Fuch</w:instrText>
      </w:r>
      <w:r w:rsidR="00580E0E">
        <w:rPr>
          <w:rFonts w:hint="eastAsia"/>
        </w:rPr>
        <w:instrText>ß</w:instrText>
      </w:r>
      <w:r w:rsidR="00580E0E">
        <w:instrText>","given":"Thomas"},{"family":"Gr</w:instrText>
      </w:r>
      <w:r w:rsidR="00580E0E">
        <w:rPr>
          <w:rFonts w:hint="eastAsia"/>
        </w:rPr>
        <w:instrText>ä</w:instrText>
      </w:r>
      <w:r w:rsidR="00580E0E">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580E0E" w:rsidRPr="00580E0E">
        <w:rPr>
          <w:rFonts w:cs="Mangal"/>
          <w:szCs w:val="24"/>
          <w:vertAlign w:val="superscript"/>
          <w:lang w:bidi="hi-IN"/>
        </w:rPr>
        <w:t>70,71</w:t>
      </w:r>
      <w:r>
        <w:fldChar w:fldCharType="end"/>
      </w:r>
    </w:p>
    <w:p w14:paraId="47EB1EE3" w14:textId="77777777" w:rsidR="000E355B" w:rsidRPr="00E536AD" w:rsidRDefault="0045260D" w:rsidP="00991496">
      <w:pPr>
        <w:pStyle w:val="TAMainText"/>
        <w:spacing w:after="240"/>
        <w:rPr>
          <w:rFonts w:ascii="Times New Roman" w:hAnsi="Times New Roman"/>
        </w:rPr>
      </w:pPr>
      <w:r>
        <w:t>We found that the relative binding free energy, ∆∆G</w:t>
      </w:r>
      <w:r>
        <w:rPr>
          <w:vertAlign w:val="subscript"/>
        </w:rPr>
        <w:t>bind</w:t>
      </w:r>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220CD551"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(∆∆G</w:t>
      </w:r>
      <w:r>
        <w:rPr>
          <w:vertAlign w:val="subscript"/>
        </w:rPr>
        <w:t>bind</w:t>
      </w:r>
      <w:r>
        <w:t xml:space="preserve"> = 0.59 ± 0.41 and 0.19 ± 0.68 kcal/mol).</w:t>
      </w:r>
    </w:p>
    <w:bookmarkEnd w:id="2"/>
    <w:p w14:paraId="616038A6" w14:textId="3ACD613E"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580E0E">
        <w:instrText xml:space="preserve"> ADDIN ZOTERO_ITEM CSL_CITATION {"citationID":"gFu9MXsT","properties":{"unsorted":false,"formattedCitation":"\\super 10,11,72\\nosupersub{}","plainCitation":"10,11,72","noteIndex":0},"citationItems":[{"id":69,"uris":["http://zotero.org/users/19404620/items/TX3QRYY7"],"itemData":{"id":69,"type":"article-journal","abstract":"Non-nucleoside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580E0E">
        <w:rPr>
          <w:rFonts w:hint="eastAsia"/>
        </w:rPr>
        <w:instrText>π–π</w:instrText>
      </w:r>
      <w:r w:rsidR="00580E0E">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580E0E">
        <w:rPr>
          <w:rFonts w:hint="eastAsia"/>
        </w:rPr>
        <w:instrText>Å</w:instrText>
      </w:r>
      <w:r w:rsidR="00580E0E">
        <w:instrText xml:space="preserve">, Tyr181Cys RT (efavirenz) to 2.6 </w:instrText>
      </w:r>
      <w:r w:rsidR="00580E0E">
        <w:rPr>
          <w:rFonts w:hint="eastAsia"/>
        </w:rPr>
        <w:instrText>Å</w:instrText>
      </w:r>
      <w:r w:rsidR="00580E0E">
        <w:instrText xml:space="preserve">, Tyr181Cys RT (nevirapine) to 3.0 </w:instrText>
      </w:r>
      <w:r w:rsidR="00580E0E">
        <w:rPr>
          <w:rFonts w:hint="eastAsia"/>
        </w:rPr>
        <w:instrText>Å</w:instrText>
      </w:r>
      <w:r w:rsidR="00580E0E">
        <w:instrText xml:space="preserve">, Tyr181Cys RT (PETT-2) to 3.0 </w:instrText>
      </w:r>
      <w:r w:rsidR="00580E0E">
        <w:rPr>
          <w:rFonts w:hint="eastAsia"/>
        </w:rPr>
        <w:instrText>Å</w:instrText>
      </w:r>
      <w:r w:rsidR="00580E0E">
        <w:instrText xml:space="preserve">, Tyr188Cys RT (nevirapine) to 2.6 </w:instrText>
      </w:r>
      <w:r w:rsidR="00580E0E">
        <w:rPr>
          <w:rFonts w:hint="eastAsia"/>
        </w:rPr>
        <w:instrText>Å</w:instrText>
      </w:r>
      <w:r w:rsidR="00580E0E">
        <w:instrText xml:space="preserve">, Tyr188Cys RT (UC-781) to 2.6 </w:instrText>
      </w:r>
      <w:r w:rsidR="00580E0E">
        <w:rPr>
          <w:rFonts w:hint="eastAsia"/>
        </w:rPr>
        <w:instrText>Å</w:instrText>
      </w:r>
      <w:r w:rsidR="00580E0E">
        <w:instrText xml:space="preserve"> and Tyr188Cys RT (unliganded) to 2.8 </w:instrText>
      </w:r>
      <w:r w:rsidR="00580E0E">
        <w:rPr>
          <w:rFonts w:hint="eastAsia"/>
        </w:rPr>
        <w:instrText>Å</w:instrText>
      </w:r>
      <w:r w:rsidR="00580E0E">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580E0E" w:rsidRPr="00580E0E">
        <w:rPr>
          <w:rFonts w:cs="Mangal"/>
          <w:szCs w:val="24"/>
          <w:vertAlign w:val="superscript"/>
          <w:lang w:bidi="hi-IN"/>
        </w:rPr>
        <w:t>10,11,72</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(∆∆E</w:t>
      </w:r>
      <w:r>
        <w:rPr>
          <w:vertAlign w:val="subscript"/>
        </w:rPr>
        <w:t>vdW</w:t>
      </w:r>
      <w:r>
        <w:t xml:space="preserve"> = 2.25 ± 0.20 kcal/mol) and one of the largest binding free energy penalties (∆∆G</w:t>
      </w:r>
      <w:r>
        <w:rPr>
          <w:vertAlign w:val="subscript"/>
        </w:rPr>
        <w:t>bind</w:t>
      </w:r>
      <w:r>
        <w:t xml:space="preserve"> = 4.52 ± 0.49 kcal/mol) in the entire panel. Aromatic packing of DOR is therefore hinges on Tyr188 alone, consistent with the crystallographic observation that the Tyr181 side chain is rotated away from the drug,</w:t>
      </w:r>
      <w:r>
        <w:fldChar w:fldCharType="begin"/>
      </w:r>
      <w:r w:rsidR="008A2546">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sidR="008A2546">
        <w:rPr>
          <w:rFonts w:hint="eastAsia"/>
        </w:rPr>
        <w:instrText>ô</w:instrText>
      </w:r>
      <w:r w:rsidR="008A2546">
        <w:instrText>t</w:instrText>
      </w:r>
      <w:r w:rsidR="008A2546">
        <w:rPr>
          <w:rFonts w:hint="eastAsia"/>
        </w:rPr>
        <w:instrText>é</w:instrText>
      </w:r>
      <w:r w:rsidR="008A2546">
        <w:instrText>","given":"Bernard"},{"family":"Burch","given":"Jason D."},{"family":"Asante-Appiah","given":"Ernest"},{"family":"Bayly","given":"Chris"},{"family":"B</w:instrText>
      </w:r>
      <w:r w:rsidR="008A2546">
        <w:rPr>
          <w:rFonts w:hint="eastAsia"/>
        </w:rPr>
        <w:instrText>é</w:instrText>
      </w:r>
      <w:r w:rsidR="008A2546">
        <w:instrText>dard","given":"Leanne"},{"family":"Blouin","given":"Marc"},{"family":"Campeau","given":"Louis-Charles"},{"family":"Cauchon","given":"Elizabeth"},{"family":"Chan","given":"Manuel"},{"family":"Chefson","given":"Amandine"},{"family":"Coulombe","given":"Nathalie"},{"family":"Cromlish","given":"Wanda"},{"family":"Debnath","given":"Smita"},{"family":"Desch</w:instrText>
      </w:r>
      <w:r w:rsidR="008A2546">
        <w:rPr>
          <w:rFonts w:hint="eastAsia"/>
        </w:rPr>
        <w:instrText>ê</w:instrText>
      </w:r>
      <w:r w:rsidR="008A2546">
        <w:instrText>nes","given":"Denis"},{"family":"Dupont-Gaudet","given":"Kristina"},{"family":"Falgueyret","given":"Jean-Pierre"},{"family":"Forget","given":"Robert"},{"family":"Gagn</w:instrText>
      </w:r>
      <w:r w:rsidR="008A2546">
        <w:rPr>
          <w:rFonts w:hint="eastAsia"/>
        </w:rPr>
        <w:instrText>é</w:instrText>
      </w:r>
      <w:r w:rsidR="008A2546">
        <w:instrText>","given":"S</w:instrText>
      </w:r>
      <w:r w:rsidR="008A2546">
        <w:rPr>
          <w:rFonts w:hint="eastAsia"/>
        </w:rPr>
        <w:instrText>é</w:instrText>
      </w:r>
      <w:r w:rsidR="008A2546">
        <w:instrText>bastien"},{"family":"Gauvreau","given":"Danny"},{"family":"Girardin","given":"Melina"},{"family":"Guiral","given":"S</w:instrText>
      </w:r>
      <w:r w:rsidR="008A2546">
        <w:rPr>
          <w:rFonts w:hint="eastAsia"/>
        </w:rPr>
        <w:instrText>é</w:instrText>
      </w:r>
      <w:r w:rsidR="008A2546">
        <w:instrText>bastien"},{"family":"Langlois","given":"Eric"},{"family":"Li","given":"Chun Sing"},{"family":"Nguyen","given":"Natalie"},{"family":"Papp","given":"Rob"},{"family":"Plamondon","given":"Serge"},{"family":"Roy","given":"Am</w:instrText>
      </w:r>
      <w:r w:rsidR="008A2546">
        <w:rPr>
          <w:rFonts w:hint="eastAsia"/>
        </w:rPr>
        <w:instrText>é</w:instrText>
      </w:r>
      <w:r w:rsidR="008A2546">
        <w:instrText>lie"},{"family":"Roy","given":"St</w:instrText>
      </w:r>
      <w:r w:rsidR="008A2546">
        <w:rPr>
          <w:rFonts w:hint="eastAsia"/>
        </w:rPr>
        <w:instrText>é</w:instrText>
      </w:r>
      <w:r w:rsidR="008A2546">
        <w:instrText>phanie"},{"family":"Seliniotakis","given":"Ria"},{"family":"St-Onge","given":"Miguel"},{"family":"Ouellet","given":"St</w:instrText>
      </w:r>
      <w:r w:rsidR="008A2546">
        <w:rPr>
          <w:rFonts w:hint="eastAsia"/>
        </w:rPr>
        <w:instrText>é</w:instrText>
      </w:r>
      <w:r w:rsidR="008A2546">
        <w:instrText>phane"},{"family":"Tawa","given":"Paul"},{"family":"Truchon","given":"Jean-Fran</w:instrText>
      </w:r>
      <w:r w:rsidR="008A2546">
        <w:rPr>
          <w:rFonts w:hint="eastAsia"/>
        </w:rPr>
        <w:instrText>ç</w:instrText>
      </w:r>
      <w:r w:rsidR="008A2546">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436A294C" w14:textId="563A9F99"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(∆∆G</w:t>
      </w:r>
      <w:r>
        <w:rPr>
          <w:vertAlign w:val="subscript"/>
        </w:rPr>
        <w:t>bind</w:t>
      </w:r>
      <w:r>
        <w:t xml:space="preserve"> = −1.02 ± 0.38 kcal/mol). Notably, G190 substitutions increase susceptibility to DLV while severely impairing replication capacity, G190E most of all,</w:t>
      </w:r>
      <w:r>
        <w:fldChar w:fldCharType="begin"/>
      </w:r>
      <w:r w:rsidR="00580E0E">
        <w:instrText xml:space="preserve"> ADDIN ZOTERO_ITEM CSL_CITATION {"citationID":"dlVDHU6v","properties":{"unsorted":false,"formattedCitation":"\\super 73\\nosupersub{}","plainCitation":"73","noteIndex":0},"citationItems":[{"id":368,"uris":["http://zotero.org/users/19404620/items/BMQBFLD4"],"itemData":{"id":368,"type":"article-journal","abstract":"Suboptimal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580E0E" w:rsidRPr="00580E0E">
        <w:rPr>
          <w:rFonts w:cs="Mangal"/>
          <w:szCs w:val="24"/>
          <w:vertAlign w:val="superscript"/>
          <w:lang w:bidi="hi-IN"/>
        </w:rPr>
        <w:t>73</w:t>
      </w:r>
      <w:r>
        <w:fldChar w:fldCharType="end"/>
      </w:r>
      <w:r>
        <w:t xml:space="preserve"> so it is possible that the mechanism of DOR resistance associated with G190E may not be a binding effect.</w:t>
      </w:r>
    </w:p>
    <w:p w14:paraId="5ABF1F26" w14:textId="0F6CCAF5"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580E0E">
        <w:instrText xml:space="preserve"> ADDIN ZOTERO_ITEM CSL_CITATION {"citationID":"K6jBXZRI","properties":{"unsorted":false,"formattedCitation":"\\super 74\\nosupersub{}","plainCitation":"74","noteIndex":0},"citationItems":[{"id":370,"uris":["http://zotero.org/users/19404620/items/VTLEQGZX"],"itemData":{"id":370,"type":"article-journal","abstract":"Leu100Ile,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580E0E">
        <w:rPr>
          <w:rFonts w:hint="eastAsia"/>
        </w:rPr>
        <w:instrText>–</w:instrText>
      </w:r>
      <w:r w:rsidR="00580E0E">
        <w:instrText>inhibitor complexes. Val108 does not have direct contact with nevirapine in wild-type RT and in the RT(Val108Ile) complex the biggest change observed is at the distally positioned Tyr181 which is &gt;8</w:instrText>
      </w:r>
      <w:r w:rsidR="00580E0E">
        <w:rPr>
          <w:rFonts w:hint="eastAsia"/>
        </w:rPr>
        <w:instrText>Å</w:instrText>
      </w:r>
      <w:r w:rsidR="00580E0E">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580E0E" w:rsidRPr="00580E0E">
        <w:rPr>
          <w:rFonts w:cs="Mangal"/>
          <w:szCs w:val="24"/>
          <w:vertAlign w:val="superscript"/>
          <w:lang w:bidi="hi-IN"/>
        </w:rPr>
        <w:t>74</w:t>
      </w:r>
      <w:r>
        <w:fldChar w:fldCharType="end"/>
      </w:r>
      <w:r>
        <w:t xml:space="preserve"> consistent with V106A being the primary </w:t>
      </w:r>
      <w:r>
        <w:rPr>
          <w:i/>
          <w:iCs/>
        </w:rPr>
        <w:t xml:space="preserve">in vitro </w:t>
      </w:r>
      <w:r>
        <w:t>DOR resistance pathway, from which F227L and L234I subsequently emerge</w:t>
      </w:r>
      <w:r>
        <w:fldChar w:fldCharType="begin"/>
      </w:r>
      <w:r w:rsidR="008A2546">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∆∆G</w:t>
      </w:r>
      <w:r>
        <w:rPr>
          <w:vertAlign w:val="subscript"/>
        </w:rPr>
        <w:t>bind</w:t>
      </w:r>
      <w:r>
        <w:t xml:space="preserve"> in the panel (+2.27 ± 0.74 and +6.10 ± 0.16 kcal/mol) against fold-changes of 1.1 and 3.4 (Table 1). Notably, however, in subtype C, V106M alone reduces DOR susceptibility 17-fold,</w:t>
      </w:r>
      <w:r>
        <w:fldChar w:fldCharType="begin"/>
      </w:r>
      <w:r w:rsidR="00580E0E">
        <w:instrText xml:space="preserve"> ADDIN ZOTERO_ITEM CSL_CITATION {"citationID":"r7BEPXe7","properties":{"unsorted":false,"formattedCitation":"\\super 75\\nosupersub{}","plainCitation":"75","noteIndex":0},"citationItems":[{"id":76,"uris":["http://zotero.org/users/19404620/items/X6CIWY98"],"itemData":{"id":76,"type":"article-journal","abstract":"Doravirine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580E0E" w:rsidRPr="00580E0E">
        <w:rPr>
          <w:rFonts w:cs="Mangal"/>
          <w:szCs w:val="24"/>
          <w:vertAlign w:val="superscript"/>
          <w:lang w:bidi="hi-IN"/>
        </w:rPr>
        <w:t>75</w:t>
      </w:r>
      <w:r>
        <w:fldChar w:fldCharType="end"/>
      </w:r>
      <w:r>
        <w:t xml:space="preserve"> and V106A/V106M is the primary resistance pathway in subtypes A and C as well as B.</w:t>
      </w:r>
      <w:r>
        <w:fldChar w:fldCharType="begin"/>
      </w:r>
      <w:r w:rsidR="008A2546">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p>
    <w:p w14:paraId="711AED23" w14:textId="26BE86C0" w:rsidR="00CA031B" w:rsidRDefault="00330C66" w:rsidP="00B813C0">
      <w:pPr>
        <w:pStyle w:val="TAMainText"/>
        <w:spacing w:after="240"/>
      </w:pPr>
      <w:r>
        <w:t>Several genotypes show inconsistencies between ∆∆E</w:t>
      </w:r>
      <w:r>
        <w:rPr>
          <w:vertAlign w:val="subscript"/>
        </w:rPr>
        <w:t>Total</w:t>
      </w:r>
      <w:r>
        <w:t xml:space="preserve"> and ∆∆G</w:t>
      </w:r>
      <w:r>
        <w:rPr>
          <w:vertAlign w:val="subscript"/>
        </w:rPr>
        <w:t>bind</w:t>
      </w:r>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(∆∆E</w:t>
      </w:r>
      <w:r>
        <w:rPr>
          <w:vertAlign w:val="subscript"/>
        </w:rPr>
        <w:t>Total</w:t>
      </w:r>
      <w:r>
        <w:t xml:space="preserve"> = 1.94 ± 0.40 and 2.47 ± 0.24 kcal/mol), but comparable distortion is present in the apo simulations, so the penalty largely cancels in the thermodynamic cycle and the residual favors binding (∆∆G</w:t>
      </w:r>
      <w:r>
        <w:rPr>
          <w:vertAlign w:val="subscript"/>
        </w:rPr>
        <w:t>bind</w:t>
      </w:r>
      <w:r>
        <w:t xml:space="preserve"> = −1.02 ± 0.38 and −1.53 ± 0.87 kcal/mol). Similarly, for K103N+M230L, our calculations suggest negligible binding penalty (∆∆G</w:t>
      </w:r>
      <w:r>
        <w:rPr>
          <w:vertAlign w:val="subscript"/>
        </w:rPr>
        <w:t>bind</w:t>
      </w:r>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580E0E">
        <w:instrText xml:space="preserve"> ADDIN ZOTERO_ITEM CSL_CITATION {"citationID":"hcub9j4R","properties":{"unsorted":false,"formattedCitation":"\\super 76\\nosupersub{}","plainCitation":"76","noteIndex":0},"citationItems":[{"id":373,"uris":["http://zotero.org/users/19404620/items/WXBT89IW"],"itemData":{"id":373,"type":"article-journal","abstract":"Alanine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580E0E">
        <w:rPr>
          <w:rFonts w:hint="eastAsia"/>
        </w:rPr>
        <w:instrText>“</w:instrText>
      </w:r>
      <w:r w:rsidR="00580E0E">
        <w:instrText>primer grip</w:instrText>
      </w:r>
      <w:r w:rsidR="00580E0E">
        <w:rPr>
          <w:rFonts w:hint="eastAsia"/>
        </w:rPr>
        <w:instrText>”</w:instrText>
      </w:r>
      <w:r w:rsidR="00580E0E">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580E0E">
        <w:rPr>
          <w:rFonts w:hint="eastAsia"/>
        </w:rPr>
        <w:instrText>“</w:instrText>
      </w:r>
      <w:r w:rsidR="00580E0E">
        <w:instrText>precleaved</w:instrText>
      </w:r>
      <w:r w:rsidR="00580E0E">
        <w:rPr>
          <w:rFonts w:hint="eastAsia"/>
        </w:rPr>
        <w:instrText>”</w:instrText>
      </w:r>
      <w:r w:rsidR="00580E0E">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580E0E" w:rsidRPr="00580E0E">
        <w:rPr>
          <w:rFonts w:cs="Mangal"/>
          <w:szCs w:val="24"/>
          <w:vertAlign w:val="superscript"/>
          <w:lang w:bidi="hi-IN"/>
        </w:rPr>
        <w:t>76</w:t>
      </w:r>
      <w:r>
        <w:fldChar w:fldCharType="end"/>
      </w:r>
      <w:r>
        <w:t xml:space="preserve"> and M230L impairs RT enzymatic function and viral replicative capacity in addition to reducing NNRTI susceptibility.</w:t>
      </w:r>
      <w:r>
        <w:fldChar w:fldCharType="begin"/>
      </w:r>
      <w:r w:rsidR="00580E0E">
        <w:instrText xml:space="preserve"> ADDIN ZOTERO_ITEM CSL_CITATION {"citationID":"EQOSkDjk","properties":{"unsorted":false,"formattedCitation":"\\super 77\\nosupersub{}","plainCitation":"77","noteIndex":0},"citationItems":[{"id":376,"uris":["http://zotero.org/users/19404620/items/UE4GCS4D"],"itemData":{"id":376,"type":"article-journal","abstract":"The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580E0E" w:rsidRPr="00580E0E">
        <w:rPr>
          <w:rFonts w:cs="Mangal"/>
          <w:szCs w:val="24"/>
          <w:vertAlign w:val="superscript"/>
          <w:lang w:bidi="hi-IN"/>
        </w:rPr>
        <w:t>77</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580E0E">
        <w:instrText xml:space="preserve"> ADDIN ZOTERO_ITEM CSL_CITATION {"citationID":"sLjTkXhC","properties":{"unsorted":true,"formattedCitation":"\\super 78,79\\nosupersub{}","plainCitation":"78,79","noteIndex":0},"citationItems":[{"id":338,"uris":["http://zotero.org/users/19404620/items/GTRLFGP9"],"itemData":{"id":338,"type":"article-journal","abstract":"Computational\nenzymology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580E0E" w:rsidRPr="00580E0E">
        <w:rPr>
          <w:rFonts w:cs="Mangal"/>
          <w:szCs w:val="24"/>
          <w:vertAlign w:val="superscript"/>
          <w:lang w:bidi="hi-IN"/>
        </w:rPr>
        <w:t>78,79</w:t>
      </w:r>
      <w:r>
        <w:fldChar w:fldCharType="end"/>
      </w:r>
      <w:r>
        <w:t xml:space="preserve"> enhanced sampling techniques,</w:t>
      </w:r>
      <w:r>
        <w:fldChar w:fldCharType="begin"/>
      </w:r>
      <w:r w:rsidR="00580E0E">
        <w:instrText xml:space="preserve"> ADDIN ZOTERO_ITEM CSL_CITATION {"citationID":"rSbnknBS","properties":{"unsorted":true,"formattedCitation":"\\super 80\\uc0\\u8211{}82\\nosupersub{}","plainCitation":"80</w:instrText>
      </w:r>
      <w:r w:rsidR="00580E0E">
        <w:rPr>
          <w:rFonts w:hint="eastAsia"/>
        </w:rPr>
        <w:instrText>–</w:instrText>
      </w:r>
      <w:r w:rsidR="00580E0E">
        <w:instrText>82","noteIndex":0},"citationItems":[{"id":344,"uris":["http://zotero.org/users/19404620/items/LYV9Y28D"],"itemData":{"id":344,"type":"article-journal","abstract":"Understanding the structural mechanisms of protein</w:instrText>
      </w:r>
      <w:r w:rsidR="00580E0E">
        <w:rPr>
          <w:rFonts w:hint="eastAsia"/>
        </w:rPr>
        <w:instrText>–</w:instrText>
      </w:r>
      <w:r w:rsidR="00580E0E">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580E0E">
        <w:rPr>
          <w:rFonts w:hint="eastAsia"/>
        </w:rPr>
        <w:instrText>μ</w:instrText>
      </w:r>
      <w:r w:rsidR="00580E0E">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580E0E">
        <w:rPr>
          <w:rFonts w:hint="eastAsia"/>
        </w:rPr>
        <w:instrText>é</w:instrText>
      </w:r>
      <w:r w:rsidR="00580E0E">
        <w:instrText>","given":"Frank"}],"issued":{"date-parts":[["2015",7,2]]}}},{"id":342,"uris":["http://zotero.org/users/19404620/items/QEBNVLBI"],"itemData":{"id":342,"type":"article-journal","abstract":"The ability to predict the mechanisms and the associated rate constants of protein</w:instrText>
      </w:r>
      <w:r w:rsidR="00580E0E">
        <w:rPr>
          <w:rFonts w:hint="eastAsia"/>
        </w:rPr>
        <w:instrText>–</w:instrText>
      </w:r>
      <w:r w:rsidR="00580E0E">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580E0E">
        <w:rPr>
          <w:rFonts w:hint="eastAsia"/>
        </w:rPr>
        <w:instrText>–</w:instrText>
      </w:r>
      <w:r w:rsidR="00580E0E">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580E0E">
        <w:rPr>
          <w:rFonts w:hint="eastAsia"/>
        </w:rPr>
        <w:instrText>–</w:instrText>
      </w:r>
      <w:r w:rsidR="00580E0E">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580E0E">
        <w:rPr>
          <w:rFonts w:hint="eastAsia"/>
        </w:rPr>
        <w:instrText>–</w:instrText>
      </w:r>
      <w:r w:rsidR="00580E0E">
        <w:instrText>ligand unbinding: Predicting pathways, rates, and rate-limiting steps","title-short":"Kinetics of protein</w:instrText>
      </w:r>
      <w:r w:rsidR="00580E0E">
        <w:rPr>
          <w:rFonts w:hint="eastAsia"/>
        </w:rPr>
        <w:instrText>–</w:instrText>
      </w:r>
      <w:r w:rsidR="00580E0E">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580E0E">
        <w:rPr>
          <w:rFonts w:hint="eastAsia"/>
        </w:rPr>
        <w:instrText>–</w:instrText>
      </w:r>
      <w:r w:rsidR="00580E0E">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580E0E">
        <w:rPr>
          <w:rFonts w:hint="eastAsia"/>
        </w:rPr>
        <w:instrText>–</w:instrText>
      </w:r>
      <w:r w:rsidR="00580E0E">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580E0E" w:rsidRPr="00580E0E">
        <w:rPr>
          <w:rFonts w:cs="Mangal"/>
          <w:szCs w:val="24"/>
          <w:vertAlign w:val="superscript"/>
          <w:lang w:bidi="hi-IN"/>
        </w:rPr>
        <w:t>80–82</w:t>
      </w:r>
      <w:r>
        <w:fldChar w:fldCharType="end"/>
      </w:r>
      <w:r>
        <w:t xml:space="preserve"> and machine learning.</w:t>
      </w:r>
      <w:r>
        <w:fldChar w:fldCharType="begin"/>
      </w:r>
      <w:r w:rsidR="00580E0E">
        <w:instrText xml:space="preserve"> ADDIN ZOTERO_ITEM CSL_CITATION {"citationID":"QwpykdhK","properties":{"unsorted":false,"formattedCitation":"\\super 83\\uc0\\u8211{}85\\nosupersub{}","plainCitation":"83</w:instrText>
      </w:r>
      <w:r w:rsidR="00580E0E">
        <w:rPr>
          <w:rFonts w:hint="eastAsia"/>
        </w:rPr>
        <w:instrText>–</w:instrText>
      </w:r>
      <w:r w:rsidR="00580E0E">
        <w:instrText>85","noteIndex":0},"citationItems":[{"id":352,"uris":["http://zotero.org/users/19404620/items/ZQMDXA4E"],"itemData":{"id":352,"type":"article","abstract":"Predicting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580E0E">
        <w:rPr>
          <w:rFonts w:hint="eastAsia"/>
        </w:rPr>
        <w:instrText>ä</w:instrText>
      </w:r>
      <w:r w:rsidR="00580E0E">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580E0E">
        <w:rPr>
          <w:rFonts w:hint="eastAsia"/>
        </w:rPr>
        <w:instrText>©</w:instrText>
      </w:r>
      <w:r w:rsidR="00580E0E">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580E0E">
        <w:rPr>
          <w:rFonts w:hint="eastAsia"/>
        </w:rPr>
        <w:instrText>–</w:instrText>
      </w:r>
      <w:r w:rsidR="00580E0E">
        <w:instrText>protein binding affinity. Crucially, it achieves strong correlation with experimental readouts on many benchmarks, while being at least 1000</w:instrText>
      </w:r>
      <w:r w:rsidR="00580E0E">
        <w:rPr>
          <w:rFonts w:hint="eastAsia"/>
        </w:rPr>
        <w:instrText>×</w:instrText>
      </w:r>
      <w:r w:rsidR="00580E0E">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580E0E">
        <w:rPr>
          <w:rFonts w:hint="eastAsia"/>
        </w:rPr>
        <w:instrText>©</w:instrText>
      </w:r>
      <w:r w:rsidR="00580E0E">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580E0E" w:rsidRPr="00580E0E">
        <w:rPr>
          <w:rFonts w:cs="Mangal"/>
          <w:szCs w:val="24"/>
          <w:vertAlign w:val="superscript"/>
          <w:lang w:bidi="hi-IN"/>
        </w:rPr>
        <w:t>83–85</w:t>
      </w:r>
      <w:r>
        <w:fldChar w:fldCharType="end"/>
      </w:r>
    </w:p>
    <w:p w14:paraId="24FA0CBE" w14:textId="77777777" w:rsidR="00237C5E" w:rsidRPr="00E536AD" w:rsidRDefault="00237C5E" w:rsidP="00B813C0">
      <w:pPr>
        <w:pStyle w:val="TAMainText"/>
        <w:spacing w:after="240"/>
        <w:rPr>
          <w:rFonts w:ascii="Times New Roman" w:hAnsi="Times New Roman"/>
        </w:rPr>
      </w:pPr>
    </w:p>
    <w:p w14:paraId="31084CFB" w14:textId="77777777" w:rsidR="00776188" w:rsidRDefault="00000000">
      <w:pPr>
        <w:pStyle w:val="TAMainText"/>
        <w:spacing w:before="240" w:after="120"/>
        <w:rPr>
          <w:rFonts w:ascii="Times New Roman" w:hAnsi="Times New Roman"/>
          <w:b/>
          <w:bCs/>
          <w:sz w:val="28"/>
          <w:szCs w:val="22"/>
        </w:rPr>
      </w:pPr>
      <w:r>
        <w:rPr>
          <w:b/>
          <w:bCs/>
        </w:rPr>
        <w:t>ASSOCIATED CONTENT</w:t>
      </w:r>
    </w:p>
    <w:p w14:paraId="267DF700" w14:textId="77777777" w:rsidR="00776188" w:rsidRDefault="00000000">
      <w:pPr>
        <w:pStyle w:val="TAMainText"/>
        <w:spacing w:before="120" w:after="60"/>
        <w:rPr>
          <w:rFonts w:ascii="Times New Roman" w:hAnsi="Times New Roman"/>
          <w:i/>
          <w:iCs/>
        </w:rPr>
      </w:pPr>
      <w:r>
        <w:rPr>
          <w:i/>
          <w:iCs/>
        </w:rPr>
        <w:t>Supporting Information</w:t>
      </w:r>
    </w:p>
    <w:p w14:paraId="49798F38"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5778377A" w14:textId="771B293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39F51EE2" w14:textId="0F8D3F5B"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0BAE9C98" w14:textId="77777777" w:rsidR="00776188" w:rsidRDefault="00000000">
      <w:pPr>
        <w:pStyle w:val="TAMainText"/>
        <w:spacing w:after="120"/>
        <w:ind w:left="360"/>
        <w:rPr>
          <w:rFonts w:ascii="Times New Roman" w:hAnsi="Times New Roman"/>
        </w:rPr>
      </w:pPr>
      <w:r>
        <w:lastRenderedPageBreak/>
        <w:t>Supplementary Table 2: RT p66 subunit sequences for the wild type and all 18 simulated genotypes (XLSX)</w:t>
      </w:r>
    </w:p>
    <w:p w14:paraId="44BA3A8D" w14:textId="40B75DE9"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37650A11" w14:textId="229A9D98"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3A3FF5A8"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2C012CF" w14:textId="44CC5EB2"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D9E74CD" w14:textId="77777777" w:rsidR="00776188" w:rsidRDefault="00000000">
      <w:pPr>
        <w:pStyle w:val="TAMainText"/>
        <w:spacing w:before="240" w:after="120"/>
        <w:rPr>
          <w:rFonts w:ascii="Times New Roman" w:hAnsi="Times New Roman"/>
          <w:b/>
          <w:bCs/>
          <w:sz w:val="28"/>
          <w:szCs w:val="22"/>
        </w:rPr>
      </w:pPr>
      <w:r>
        <w:rPr>
          <w:b/>
          <w:bCs/>
        </w:rPr>
        <w:t>AUTHOR INFORMATION</w:t>
      </w:r>
    </w:p>
    <w:p w14:paraId="22F3C201" w14:textId="77777777" w:rsidR="00776188" w:rsidRDefault="00000000">
      <w:pPr>
        <w:pStyle w:val="TAMainText"/>
        <w:spacing w:before="120" w:after="60"/>
        <w:rPr>
          <w:rFonts w:ascii="Times New Roman" w:hAnsi="Times New Roman"/>
          <w:i/>
          <w:iCs/>
        </w:rPr>
      </w:pPr>
      <w:r>
        <w:rPr>
          <w:i/>
          <w:iCs/>
        </w:rPr>
        <w:t>Corresponding Author</w:t>
      </w:r>
    </w:p>
    <w:p w14:paraId="7C66588E" w14:textId="071DD61F"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7D6048A0" w14:textId="77777777" w:rsidR="00776188" w:rsidRDefault="00000000">
      <w:pPr>
        <w:pStyle w:val="TAMainText"/>
        <w:spacing w:before="120" w:after="60"/>
        <w:rPr>
          <w:rFonts w:ascii="Times New Roman" w:hAnsi="Times New Roman"/>
          <w:i/>
          <w:iCs/>
        </w:rPr>
      </w:pPr>
      <w:r>
        <w:rPr>
          <w:i/>
          <w:iCs/>
        </w:rPr>
        <w:t>Authors</w:t>
      </w:r>
    </w:p>
    <w:p w14:paraId="71CF2ADE" w14:textId="77777777" w:rsidR="00776188" w:rsidRDefault="00000000">
      <w:pPr>
        <w:pStyle w:val="TAMainText"/>
        <w:spacing w:after="240"/>
        <w:rPr>
          <w:rFonts w:ascii="Times New Roman" w:hAnsi="Times New Roman"/>
        </w:rPr>
      </w:pPr>
      <w:r>
        <w:t xml:space="preserve">Kaiming Tao — Division of Infectious Diseases, School of Medicine, Stanford University, Stanford, California 94305, United States; </w:t>
      </w:r>
      <w:r>
        <w:rPr>
          <w:highlight w:val="yellow"/>
        </w:rPr>
        <w:t>orcid.org/XXXX-XXXX-XXXX-XXXX</w:t>
      </w:r>
    </w:p>
    <w:p w14:paraId="33AC7385" w14:textId="77777777" w:rsidR="00776188" w:rsidRDefault="00000000">
      <w:pPr>
        <w:pStyle w:val="TAMainText"/>
        <w:spacing w:after="240"/>
        <w:rPr>
          <w:rFonts w:ascii="Times New Roman" w:hAnsi="Times New Roman"/>
        </w:rPr>
      </w:pPr>
      <w:r>
        <w:lastRenderedPageBreak/>
        <w:t xml:space="preserve">Robert W. Shafer — Division of Infectious Diseases, School of Medicine, Stanford University, Stanford, California 94305, United States; </w:t>
      </w:r>
      <w:r>
        <w:rPr>
          <w:highlight w:val="yellow"/>
        </w:rPr>
        <w:t>orcid.org/XXXX-XXXX-XXXX-XXXX</w:t>
      </w:r>
    </w:p>
    <w:p w14:paraId="79D88C4E" w14:textId="77777777" w:rsidR="00776188" w:rsidRDefault="00000000">
      <w:pPr>
        <w:pStyle w:val="TAMainText"/>
        <w:spacing w:before="120" w:after="60"/>
        <w:rPr>
          <w:rFonts w:ascii="Times New Roman" w:hAnsi="Times New Roman"/>
          <w:i/>
          <w:iCs/>
        </w:rPr>
      </w:pPr>
      <w:r>
        <w:rPr>
          <w:i/>
          <w:iCs/>
        </w:rPr>
        <w:t>Author Contributions</w:t>
      </w:r>
    </w:p>
    <w:p w14:paraId="038B881F" w14:textId="2BE56464"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AF1C370" w14:textId="77777777" w:rsidR="00776188" w:rsidRDefault="00000000">
      <w:pPr>
        <w:pStyle w:val="TAMainText"/>
        <w:spacing w:before="120" w:after="60"/>
        <w:rPr>
          <w:rFonts w:ascii="Times New Roman" w:hAnsi="Times New Roman"/>
          <w:i/>
          <w:iCs/>
        </w:rPr>
      </w:pPr>
      <w:r>
        <w:rPr>
          <w:i/>
          <w:iCs/>
        </w:rPr>
        <w:t>Funding Sources</w:t>
      </w:r>
    </w:p>
    <w:p w14:paraId="47E35FAD" w14:textId="77777777" w:rsidR="00776188" w:rsidRDefault="00000000">
      <w:pPr>
        <w:pStyle w:val="TAMainText"/>
        <w:spacing w:after="240"/>
        <w:rPr>
          <w:rFonts w:ascii="Times New Roman" w:hAnsi="Times New Roman"/>
        </w:rPr>
      </w:pPr>
      <w:r>
        <w:t xml:space="preserve">This work was supported by the </w:t>
      </w:r>
      <w:r>
        <w:rPr>
          <w:highlight w:val="yellow"/>
        </w:rPr>
        <w:t>National Institute of Allergy and Infectious Diseases, National Institutes of Health (grant number XXXXXXX to R.W.S.)</w:t>
      </w:r>
      <w:r>
        <w:t>. The funders had no role in study design, data collection and analysis, decision to publish, or preparation of the manuscript.</w:t>
      </w:r>
    </w:p>
    <w:p w14:paraId="78DA4E54" w14:textId="77777777" w:rsidR="00776188" w:rsidRDefault="00000000">
      <w:pPr>
        <w:pStyle w:val="TAMainText"/>
        <w:spacing w:before="120" w:after="60"/>
        <w:rPr>
          <w:rFonts w:ascii="Times New Roman" w:hAnsi="Times New Roman"/>
          <w:i/>
          <w:iCs/>
        </w:rPr>
      </w:pPr>
      <w:r>
        <w:rPr>
          <w:i/>
          <w:iCs/>
        </w:rPr>
        <w:t>Notes</w:t>
      </w:r>
    </w:p>
    <w:p w14:paraId="69FBEE97" w14:textId="77777777" w:rsidR="00776188" w:rsidRDefault="00000000">
      <w:pPr>
        <w:pStyle w:val="TAMainText"/>
        <w:spacing w:after="240"/>
        <w:rPr>
          <w:rFonts w:ascii="Times New Roman" w:hAnsi="Times New Roman"/>
        </w:rPr>
      </w:pPr>
      <w:r>
        <w:t>The authors declare no competing financial interest.</w:t>
      </w:r>
    </w:p>
    <w:p w14:paraId="00FCFD49" w14:textId="77777777" w:rsidR="00776188" w:rsidRDefault="00000000">
      <w:pPr>
        <w:pStyle w:val="TAMainText"/>
        <w:spacing w:before="240" w:after="120"/>
        <w:rPr>
          <w:rFonts w:ascii="Times New Roman" w:hAnsi="Times New Roman"/>
          <w:b/>
          <w:bCs/>
          <w:sz w:val="28"/>
          <w:szCs w:val="22"/>
        </w:rPr>
      </w:pPr>
      <w:r>
        <w:rPr>
          <w:b/>
          <w:bCs/>
        </w:rPr>
        <w:t>ACKNOWLEDGMENTS</w:t>
      </w:r>
    </w:p>
    <w:p w14:paraId="048D989D"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47247044" w14:textId="77777777" w:rsidR="00776188" w:rsidRDefault="00000000">
      <w:pPr>
        <w:pStyle w:val="TAMainText"/>
        <w:spacing w:before="240" w:after="120"/>
        <w:rPr>
          <w:rFonts w:ascii="Times New Roman" w:hAnsi="Times New Roman"/>
          <w:b/>
          <w:bCs/>
          <w:sz w:val="28"/>
          <w:szCs w:val="22"/>
        </w:rPr>
      </w:pPr>
      <w:r>
        <w:rPr>
          <w:b/>
          <w:bCs/>
        </w:rPr>
        <w:t>ABBREVIATIONS</w:t>
      </w:r>
    </w:p>
    <w:p w14:paraId="5BF3ACA4" w14:textId="77777777" w:rsidR="00776188" w:rsidRDefault="00000000">
      <w:pPr>
        <w:pStyle w:val="TAMainText"/>
        <w:spacing w:after="240"/>
        <w:rPr>
          <w:rFonts w:ascii="Times New Roman" w:hAnsi="Times New Roman"/>
        </w:rPr>
      </w:pPr>
      <w:r>
        <w:t xml:space="preserve">ART, antiretroviral therapy; BAR, Bennett acceptance ratio; CGI, Crooks Gaussian intersection; COM, center of mass; DLV, delavirdine; DOR, doravirine; EFV, efavirenz; ETR, etravirine; FEP, free energy perturbation; MD, molecular dynamics; MM/GBSA, molecular mechanics with </w:t>
      </w:r>
      <w:r>
        <w:lastRenderedPageBreak/>
        <w:t>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2E330032"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395FAEF9" w14:textId="77777777" w:rsidR="008A2546" w:rsidRPr="008A2546" w:rsidRDefault="00574C6E" w:rsidP="008A2546">
      <w:pPr>
        <w:pStyle w:val="Bibliography"/>
        <w:rPr>
          <w:lang w:bidi="hi-IN"/>
        </w:rPr>
      </w:pPr>
      <w:r>
        <w:fldChar w:fldCharType="begin"/>
      </w:r>
      <w:r w:rsidR="008A2546">
        <w:instrText xml:space="preserve"> ADDIN ZOTERO_BIBL {"uncited":[],"omitted":[],"custom":[]} CSL_BIBLIOGRAPHY </w:instrText>
      </w:r>
      <w:r>
        <w:fldChar w:fldCharType="separate"/>
      </w:r>
      <w:r w:rsidR="008A2546" w:rsidRPr="008A2546">
        <w:rPr>
          <w:lang w:bidi="hi-IN"/>
        </w:rPr>
        <w:t>(1)</w:t>
      </w:r>
      <w:r w:rsidR="008A2546" w:rsidRPr="008A2546">
        <w:rPr>
          <w:lang w:bidi="hi-IN"/>
        </w:rPr>
        <w:tab/>
        <w:t xml:space="preserve">Kohlstaedt, L. A.; Wang, J.; Friedman, J. M.; Rice, P. A.; Steitz, T. A. Crystal Structure at 3.5 Å Resolution of HIV-1 Reverse Transcriptase Complexed with an Inhibitor. </w:t>
      </w:r>
      <w:r w:rsidR="008A2546" w:rsidRPr="008A2546">
        <w:rPr>
          <w:i/>
          <w:iCs/>
          <w:lang w:bidi="hi-IN"/>
        </w:rPr>
        <w:t>Science</w:t>
      </w:r>
      <w:r w:rsidR="008A2546" w:rsidRPr="008A2546">
        <w:rPr>
          <w:lang w:bidi="hi-IN"/>
        </w:rPr>
        <w:t xml:space="preserve"> </w:t>
      </w:r>
      <w:r w:rsidR="008A2546" w:rsidRPr="008A2546">
        <w:rPr>
          <w:b/>
          <w:bCs/>
          <w:lang w:bidi="hi-IN"/>
        </w:rPr>
        <w:t>1992</w:t>
      </w:r>
      <w:r w:rsidR="008A2546" w:rsidRPr="008A2546">
        <w:rPr>
          <w:lang w:bidi="hi-IN"/>
        </w:rPr>
        <w:t xml:space="preserve">, </w:t>
      </w:r>
      <w:r w:rsidR="008A2546" w:rsidRPr="008A2546">
        <w:rPr>
          <w:i/>
          <w:iCs/>
          <w:lang w:bidi="hi-IN"/>
        </w:rPr>
        <w:t>256</w:t>
      </w:r>
      <w:r w:rsidR="008A2546" w:rsidRPr="008A2546">
        <w:rPr>
          <w:lang w:bidi="hi-IN"/>
        </w:rPr>
        <w:t xml:space="preserve"> (5065), 1783–1790. https://doi.org/10.1126/science.1377403</w:t>
      </w:r>
    </w:p>
    <w:p w14:paraId="26C85030" w14:textId="77777777" w:rsidR="008A2546" w:rsidRPr="008A2546" w:rsidRDefault="008A2546" w:rsidP="008A2546">
      <w:pPr>
        <w:pStyle w:val="Bibliography"/>
        <w:rPr>
          <w:lang w:bidi="hi-IN"/>
        </w:rPr>
      </w:pPr>
      <w:r w:rsidRPr="008A2546">
        <w:rPr>
          <w:lang w:bidi="hi-IN"/>
        </w:rPr>
        <w:t>(2)</w:t>
      </w:r>
      <w:r w:rsidRPr="008A2546">
        <w:rPr>
          <w:lang w:bidi="hi-IN"/>
        </w:rPr>
        <w:tab/>
        <w:t xml:space="preserve">Spence, R. A.; Kati, W. M.; Anderson, K. S.; Johnson, K. A. Mechanism of Inhibition of HIV-1 Reverse Transcriptase by Nonnucleoside Inhibitors. </w:t>
      </w:r>
      <w:r w:rsidRPr="008A2546">
        <w:rPr>
          <w:i/>
          <w:iCs/>
          <w:lang w:bidi="hi-IN"/>
        </w:rPr>
        <w:t>Science</w:t>
      </w:r>
      <w:r w:rsidRPr="008A2546">
        <w:rPr>
          <w:lang w:bidi="hi-IN"/>
        </w:rPr>
        <w:t xml:space="preserve"> </w:t>
      </w:r>
      <w:r w:rsidRPr="008A2546">
        <w:rPr>
          <w:b/>
          <w:bCs/>
          <w:lang w:bidi="hi-IN"/>
        </w:rPr>
        <w:t>1995</w:t>
      </w:r>
      <w:r w:rsidRPr="008A2546">
        <w:rPr>
          <w:lang w:bidi="hi-IN"/>
        </w:rPr>
        <w:t xml:space="preserve">, </w:t>
      </w:r>
      <w:r w:rsidRPr="008A2546">
        <w:rPr>
          <w:i/>
          <w:iCs/>
          <w:lang w:bidi="hi-IN"/>
        </w:rPr>
        <w:t>267</w:t>
      </w:r>
      <w:r w:rsidRPr="008A2546">
        <w:rPr>
          <w:lang w:bidi="hi-IN"/>
        </w:rPr>
        <w:t xml:space="preserve"> (5200), 988–993. https://doi.org/10.1126/science.7532321</w:t>
      </w:r>
    </w:p>
    <w:p w14:paraId="6DB91115" w14:textId="77777777" w:rsidR="008A2546" w:rsidRPr="008A2546" w:rsidRDefault="008A2546" w:rsidP="008A2546">
      <w:pPr>
        <w:pStyle w:val="Bibliography"/>
        <w:rPr>
          <w:lang w:bidi="hi-IN"/>
        </w:rPr>
      </w:pPr>
      <w:r w:rsidRPr="008A2546">
        <w:rPr>
          <w:lang w:bidi="hi-IN"/>
        </w:rPr>
        <w:t>(3)</w:t>
      </w:r>
      <w:r w:rsidRPr="008A2546">
        <w:rPr>
          <w:lang w:bidi="hi-IN"/>
        </w:rPr>
        <w:tab/>
        <w:t xml:space="preserve">Rodgers, D. W.; Gamblin, S. J.; Harris, B. A.; Ray, S.; Culp, J. S.; Hellmig, B.; Woolf, D. J.; Debouck, C.; Harrison, S. C. The Structure of Unliganded Reverse Transcriptase from the Human Immunodeficiency Virus Type 1. </w:t>
      </w:r>
      <w:r w:rsidRPr="008A2546">
        <w:rPr>
          <w:i/>
          <w:iCs/>
          <w:lang w:bidi="hi-IN"/>
        </w:rPr>
        <w:t>Proceedings of the National Academy of Sciences</w:t>
      </w:r>
      <w:r w:rsidRPr="008A2546">
        <w:rPr>
          <w:lang w:bidi="hi-IN"/>
        </w:rPr>
        <w:t xml:space="preserve"> </w:t>
      </w:r>
      <w:r w:rsidRPr="008A2546">
        <w:rPr>
          <w:b/>
          <w:bCs/>
          <w:lang w:bidi="hi-IN"/>
        </w:rPr>
        <w:t>1995</w:t>
      </w:r>
      <w:r w:rsidRPr="008A2546">
        <w:rPr>
          <w:lang w:bidi="hi-IN"/>
        </w:rPr>
        <w:t xml:space="preserve">, </w:t>
      </w:r>
      <w:r w:rsidRPr="008A2546">
        <w:rPr>
          <w:i/>
          <w:iCs/>
          <w:lang w:bidi="hi-IN"/>
        </w:rPr>
        <w:t>92</w:t>
      </w:r>
      <w:r w:rsidRPr="008A2546">
        <w:rPr>
          <w:lang w:bidi="hi-IN"/>
        </w:rPr>
        <w:t xml:space="preserve"> (4), 1222–1226. https://doi.org/10.1073/pnas.92.4.1222</w:t>
      </w:r>
    </w:p>
    <w:p w14:paraId="6FD1560D" w14:textId="77777777" w:rsidR="008A2546" w:rsidRPr="008A2546" w:rsidRDefault="008A2546" w:rsidP="008A2546">
      <w:pPr>
        <w:pStyle w:val="Bibliography"/>
        <w:rPr>
          <w:lang w:bidi="hi-IN"/>
        </w:rPr>
      </w:pPr>
      <w:r w:rsidRPr="008A2546">
        <w:rPr>
          <w:lang w:bidi="hi-IN"/>
        </w:rPr>
        <w:t>(4)</w:t>
      </w:r>
      <w:r w:rsidRPr="008A2546">
        <w:rPr>
          <w:lang w:bidi="hi-IN"/>
        </w:rPr>
        <w:tab/>
        <w:t xml:space="preserve">Hsiou, Y.; Ding, J.; Das, K.; AD Clark, J.; Hughes, S. H.; Arnold, E. Structure of Unliganded HIV-1 Reverse Transcriptase at 2.7 å Resolution: Implications of Conformational Changes for Polymerization and Inhibition Mechanisms. </w:t>
      </w:r>
      <w:r w:rsidRPr="008A2546">
        <w:rPr>
          <w:i/>
          <w:iCs/>
          <w:lang w:bidi="hi-IN"/>
        </w:rPr>
        <w:t>Structure</w:t>
      </w:r>
      <w:r w:rsidRPr="008A2546">
        <w:rPr>
          <w:lang w:bidi="hi-IN"/>
        </w:rPr>
        <w:t xml:space="preserve"> </w:t>
      </w:r>
      <w:r w:rsidRPr="008A2546">
        <w:rPr>
          <w:b/>
          <w:bCs/>
          <w:lang w:bidi="hi-IN"/>
        </w:rPr>
        <w:t>1996</w:t>
      </w:r>
      <w:r w:rsidRPr="008A2546">
        <w:rPr>
          <w:lang w:bidi="hi-IN"/>
        </w:rPr>
        <w:t xml:space="preserve">, </w:t>
      </w:r>
      <w:r w:rsidRPr="008A2546">
        <w:rPr>
          <w:i/>
          <w:iCs/>
          <w:lang w:bidi="hi-IN"/>
        </w:rPr>
        <w:t>4</w:t>
      </w:r>
      <w:r w:rsidRPr="008A2546">
        <w:rPr>
          <w:lang w:bidi="hi-IN"/>
        </w:rPr>
        <w:t xml:space="preserve"> (7), 853–860. https://doi.org/10.1016/S0969-2126(96)00091-3</w:t>
      </w:r>
    </w:p>
    <w:p w14:paraId="4CDF217D" w14:textId="77777777" w:rsidR="008A2546" w:rsidRPr="008A2546" w:rsidRDefault="008A2546" w:rsidP="008A2546">
      <w:pPr>
        <w:pStyle w:val="Bibliography"/>
        <w:rPr>
          <w:lang w:bidi="hi-IN"/>
        </w:rPr>
      </w:pPr>
      <w:r w:rsidRPr="008A2546">
        <w:rPr>
          <w:lang w:bidi="hi-IN"/>
        </w:rPr>
        <w:t>(5)</w:t>
      </w:r>
      <w:r w:rsidRPr="008A2546">
        <w:rPr>
          <w:lang w:bidi="hi-IN"/>
        </w:rPr>
        <w:tab/>
        <w:t xml:space="preserve">Arts, E. J.; Hazuda, D. J. HIV-1 Antiretroviral Drug Therapy. </w:t>
      </w:r>
      <w:r w:rsidRPr="008A2546">
        <w:rPr>
          <w:i/>
          <w:iCs/>
          <w:lang w:bidi="hi-IN"/>
        </w:rPr>
        <w:t>Cold Spring Harb Perspect Med</w:t>
      </w:r>
      <w:r w:rsidRPr="008A2546">
        <w:rPr>
          <w:lang w:bidi="hi-IN"/>
        </w:rPr>
        <w:t xml:space="preserve"> </w:t>
      </w:r>
      <w:r w:rsidRPr="008A2546">
        <w:rPr>
          <w:b/>
          <w:bCs/>
          <w:lang w:bidi="hi-IN"/>
        </w:rPr>
        <w:t>2012</w:t>
      </w:r>
      <w:r w:rsidRPr="008A2546">
        <w:rPr>
          <w:lang w:bidi="hi-IN"/>
        </w:rPr>
        <w:t xml:space="preserve">, </w:t>
      </w:r>
      <w:r w:rsidRPr="008A2546">
        <w:rPr>
          <w:i/>
          <w:iCs/>
          <w:lang w:bidi="hi-IN"/>
        </w:rPr>
        <w:t>2</w:t>
      </w:r>
      <w:r w:rsidRPr="008A2546">
        <w:rPr>
          <w:lang w:bidi="hi-IN"/>
        </w:rPr>
        <w:t xml:space="preserve"> (4), a007161. https://doi.org/10.1101/cshperspect.a007161</w:t>
      </w:r>
    </w:p>
    <w:p w14:paraId="2714A07D" w14:textId="77777777" w:rsidR="008A2546" w:rsidRPr="008A2546" w:rsidRDefault="008A2546" w:rsidP="008A2546">
      <w:pPr>
        <w:pStyle w:val="Bibliography"/>
        <w:rPr>
          <w:lang w:bidi="hi-IN"/>
        </w:rPr>
      </w:pPr>
      <w:r w:rsidRPr="008A2546">
        <w:rPr>
          <w:lang w:bidi="hi-IN"/>
        </w:rPr>
        <w:t>(6)</w:t>
      </w:r>
      <w:r w:rsidRPr="008A2546">
        <w:rPr>
          <w:lang w:bidi="hi-IN"/>
        </w:rPr>
        <w:tab/>
        <w:t xml:space="preserve">Cilento, M. E.; Kirby, K. A.; Sarafianos, S. G. Avoiding Drug Resistance in HIV Reverse Transcriptase. </w:t>
      </w:r>
      <w:r w:rsidRPr="008A2546">
        <w:rPr>
          <w:i/>
          <w:iCs/>
          <w:lang w:bidi="hi-IN"/>
        </w:rPr>
        <w:t>Chem. Rev.</w:t>
      </w:r>
      <w:r w:rsidRPr="008A2546">
        <w:rPr>
          <w:lang w:bidi="hi-IN"/>
        </w:rPr>
        <w:t xml:space="preserve"> </w:t>
      </w:r>
      <w:r w:rsidRPr="008A2546">
        <w:rPr>
          <w:b/>
          <w:bCs/>
          <w:lang w:bidi="hi-IN"/>
        </w:rPr>
        <w:t>2021</w:t>
      </w:r>
      <w:r w:rsidRPr="008A2546">
        <w:rPr>
          <w:lang w:bidi="hi-IN"/>
        </w:rPr>
        <w:t xml:space="preserve">, </w:t>
      </w:r>
      <w:r w:rsidRPr="008A2546">
        <w:rPr>
          <w:i/>
          <w:iCs/>
          <w:lang w:bidi="hi-IN"/>
        </w:rPr>
        <w:t>121</w:t>
      </w:r>
      <w:r w:rsidRPr="008A2546">
        <w:rPr>
          <w:lang w:bidi="hi-IN"/>
        </w:rPr>
        <w:t xml:space="preserve"> (6), 3271–3296. https://doi.org/10.1021/acs.chemrev.0c00967</w:t>
      </w:r>
    </w:p>
    <w:p w14:paraId="5D5D9A59" w14:textId="77777777" w:rsidR="008A2546" w:rsidRPr="008A2546" w:rsidRDefault="008A2546" w:rsidP="008A2546">
      <w:pPr>
        <w:pStyle w:val="Bibliography"/>
        <w:rPr>
          <w:lang w:bidi="hi-IN"/>
        </w:rPr>
      </w:pPr>
      <w:r w:rsidRPr="008A2546">
        <w:rPr>
          <w:lang w:bidi="hi-IN"/>
        </w:rPr>
        <w:t>(7)</w:t>
      </w:r>
      <w:r w:rsidRPr="008A2546">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8A2546">
        <w:rPr>
          <w:i/>
          <w:iCs/>
          <w:lang w:bidi="hi-IN"/>
        </w:rPr>
        <w:t>Journal of Molecular Biology</w:t>
      </w:r>
      <w:r w:rsidRPr="008A2546">
        <w:rPr>
          <w:lang w:bidi="hi-IN"/>
        </w:rPr>
        <w:t xml:space="preserve"> </w:t>
      </w:r>
      <w:r w:rsidRPr="008A2546">
        <w:rPr>
          <w:b/>
          <w:bCs/>
          <w:lang w:bidi="hi-IN"/>
        </w:rPr>
        <w:t>1994</w:t>
      </w:r>
      <w:r w:rsidRPr="008A2546">
        <w:rPr>
          <w:lang w:bidi="hi-IN"/>
        </w:rPr>
        <w:t xml:space="preserve">, </w:t>
      </w:r>
      <w:r w:rsidRPr="008A2546">
        <w:rPr>
          <w:i/>
          <w:iCs/>
          <w:lang w:bidi="hi-IN"/>
        </w:rPr>
        <w:t>243</w:t>
      </w:r>
      <w:r w:rsidRPr="008A2546">
        <w:rPr>
          <w:lang w:bidi="hi-IN"/>
        </w:rPr>
        <w:t xml:space="preserve"> (3), 369–387. https://doi.org/10.1006/jmbi.1994.1665</w:t>
      </w:r>
    </w:p>
    <w:p w14:paraId="6AF73859" w14:textId="77777777" w:rsidR="008A2546" w:rsidRPr="008A2546" w:rsidRDefault="008A2546" w:rsidP="008A2546">
      <w:pPr>
        <w:pStyle w:val="Bibliography"/>
        <w:rPr>
          <w:lang w:bidi="hi-IN"/>
        </w:rPr>
      </w:pPr>
      <w:r w:rsidRPr="008A2546">
        <w:rPr>
          <w:lang w:bidi="hi-IN"/>
        </w:rPr>
        <w:t>(8)</w:t>
      </w:r>
      <w:r w:rsidRPr="008A2546">
        <w:rPr>
          <w:lang w:bidi="hi-IN"/>
        </w:rPr>
        <w:tab/>
        <w:t xml:space="preserve">Schauer, G. D.; Huber, K. D.; Leuba, S. H.; Sluis-Cremer, N. Mechanism of Allosteric Inhibition of HIV-1 Reverse Transcriptase Revealed by Single-Molecule and Ensemble Fluorescence. </w:t>
      </w:r>
      <w:r w:rsidRPr="008A2546">
        <w:rPr>
          <w:i/>
          <w:iCs/>
          <w:lang w:bidi="hi-IN"/>
        </w:rPr>
        <w:t>Nucleic Acids Res</w:t>
      </w:r>
      <w:r w:rsidRPr="008A2546">
        <w:rPr>
          <w:lang w:bidi="hi-IN"/>
        </w:rPr>
        <w:t xml:space="preserve"> </w:t>
      </w:r>
      <w:r w:rsidRPr="008A2546">
        <w:rPr>
          <w:b/>
          <w:bCs/>
          <w:lang w:bidi="hi-IN"/>
        </w:rPr>
        <w:t>2014</w:t>
      </w:r>
      <w:r w:rsidRPr="008A2546">
        <w:rPr>
          <w:lang w:bidi="hi-IN"/>
        </w:rPr>
        <w:t xml:space="preserve">, </w:t>
      </w:r>
      <w:r w:rsidRPr="008A2546">
        <w:rPr>
          <w:i/>
          <w:iCs/>
          <w:lang w:bidi="hi-IN"/>
        </w:rPr>
        <w:t>42</w:t>
      </w:r>
      <w:r w:rsidRPr="008A2546">
        <w:rPr>
          <w:lang w:bidi="hi-IN"/>
        </w:rPr>
        <w:t xml:space="preserve"> (18), 11687–11696. https://doi.org/10.1093/nar/gku819</w:t>
      </w:r>
    </w:p>
    <w:p w14:paraId="29399D61" w14:textId="77777777" w:rsidR="008A2546" w:rsidRPr="008A2546" w:rsidRDefault="008A2546" w:rsidP="008A2546">
      <w:pPr>
        <w:pStyle w:val="Bibliography"/>
        <w:rPr>
          <w:lang w:bidi="hi-IN"/>
        </w:rPr>
      </w:pPr>
      <w:r w:rsidRPr="008A2546">
        <w:rPr>
          <w:lang w:bidi="hi-IN"/>
        </w:rPr>
        <w:lastRenderedPageBreak/>
        <w:t>(9)</w:t>
      </w:r>
      <w:r w:rsidRPr="008A2546">
        <w:rPr>
          <w:lang w:bidi="hi-IN"/>
        </w:rPr>
        <w:tab/>
        <w:t xml:space="preserve">Hsiou, Y.; Ding, J.; Das, K.; Clark, A. D.; Boyer, P. L.; Lewi, P.; Janssen, P. A. J.; Kleim, J.-P.; Rösner, M.; Hughes, S. H.; Arnold, E. The Lys103Asn Mutation of HIV-1 RT: A Novel Mechanism of Drug Resistance. </w:t>
      </w:r>
      <w:r w:rsidRPr="008A2546">
        <w:rPr>
          <w:i/>
          <w:iCs/>
          <w:lang w:bidi="hi-IN"/>
        </w:rPr>
        <w:t>Journal of Molecular Biology</w:t>
      </w:r>
      <w:r w:rsidRPr="008A2546">
        <w:rPr>
          <w:lang w:bidi="hi-IN"/>
        </w:rPr>
        <w:t xml:space="preserve"> </w:t>
      </w:r>
      <w:r w:rsidRPr="008A2546">
        <w:rPr>
          <w:b/>
          <w:bCs/>
          <w:lang w:bidi="hi-IN"/>
        </w:rPr>
        <w:t>2001</w:t>
      </w:r>
      <w:r w:rsidRPr="008A2546">
        <w:rPr>
          <w:lang w:bidi="hi-IN"/>
        </w:rPr>
        <w:t xml:space="preserve">, </w:t>
      </w:r>
      <w:r w:rsidRPr="008A2546">
        <w:rPr>
          <w:i/>
          <w:iCs/>
          <w:lang w:bidi="hi-IN"/>
        </w:rPr>
        <w:t>309</w:t>
      </w:r>
      <w:r w:rsidRPr="008A2546">
        <w:rPr>
          <w:lang w:bidi="hi-IN"/>
        </w:rPr>
        <w:t xml:space="preserve"> (2), 437–445. https://doi.org/10.1006/jmbi.2001.4648</w:t>
      </w:r>
    </w:p>
    <w:p w14:paraId="22574D0F" w14:textId="77777777" w:rsidR="008A2546" w:rsidRPr="008A2546" w:rsidRDefault="008A2546" w:rsidP="008A2546">
      <w:pPr>
        <w:pStyle w:val="Bibliography"/>
        <w:rPr>
          <w:lang w:bidi="hi-IN"/>
        </w:rPr>
      </w:pPr>
      <w:r w:rsidRPr="008A2546">
        <w:rPr>
          <w:lang w:bidi="hi-IN"/>
        </w:rPr>
        <w:t>(10)</w:t>
      </w:r>
      <w:r w:rsidRPr="008A2546">
        <w:rPr>
          <w:lang w:bidi="hi-IN"/>
        </w:rPr>
        <w:tab/>
        <w:t xml:space="preserve">Lai, M.-T.; Munshi, V.; Lu, M.; Feng, M.; Hrin-Solt, R.; McKenna, P. M.; Hazuda, D. J.; Miller, M. D. Mechanistic Study of Common Non-Nucleoside Reverse Transcriptase Inhibitor-Resistant Mutations with K103N and Y181C Substitutions. </w:t>
      </w:r>
      <w:r w:rsidRPr="008A2546">
        <w:rPr>
          <w:i/>
          <w:iCs/>
          <w:lang w:bidi="hi-IN"/>
        </w:rPr>
        <w:t>Viruses</w:t>
      </w:r>
      <w:r w:rsidRPr="008A2546">
        <w:rPr>
          <w:lang w:bidi="hi-IN"/>
        </w:rPr>
        <w:t xml:space="preserve"> </w:t>
      </w:r>
      <w:r w:rsidRPr="008A2546">
        <w:rPr>
          <w:b/>
          <w:bCs/>
          <w:lang w:bidi="hi-IN"/>
        </w:rPr>
        <w:t>2016</w:t>
      </w:r>
      <w:r w:rsidRPr="008A2546">
        <w:rPr>
          <w:lang w:bidi="hi-IN"/>
        </w:rPr>
        <w:t xml:space="preserve">, </w:t>
      </w:r>
      <w:r w:rsidRPr="008A2546">
        <w:rPr>
          <w:i/>
          <w:iCs/>
          <w:lang w:bidi="hi-IN"/>
        </w:rPr>
        <w:t>8</w:t>
      </w:r>
      <w:r w:rsidRPr="008A2546">
        <w:rPr>
          <w:lang w:bidi="hi-IN"/>
        </w:rPr>
        <w:t xml:space="preserve"> (10), 263. https://doi.org/10.3390/v8100263</w:t>
      </w:r>
    </w:p>
    <w:p w14:paraId="0A34027B" w14:textId="77777777" w:rsidR="008A2546" w:rsidRPr="008A2546" w:rsidRDefault="008A2546" w:rsidP="008A2546">
      <w:pPr>
        <w:pStyle w:val="Bibliography"/>
        <w:rPr>
          <w:lang w:bidi="hi-IN"/>
        </w:rPr>
      </w:pPr>
      <w:r w:rsidRPr="008A2546">
        <w:rPr>
          <w:lang w:bidi="hi-IN"/>
        </w:rPr>
        <w:t>(11)</w:t>
      </w:r>
      <w:r w:rsidRPr="008A2546">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8A2546">
        <w:rPr>
          <w:i/>
          <w:iCs/>
          <w:lang w:bidi="hi-IN"/>
        </w:rPr>
        <w:t>Journal of Molecular Biology</w:t>
      </w:r>
      <w:r w:rsidRPr="008A2546">
        <w:rPr>
          <w:lang w:bidi="hi-IN"/>
        </w:rPr>
        <w:t xml:space="preserve"> </w:t>
      </w:r>
      <w:r w:rsidRPr="008A2546">
        <w:rPr>
          <w:b/>
          <w:bCs/>
          <w:lang w:bidi="hi-IN"/>
        </w:rPr>
        <w:t>2001</w:t>
      </w:r>
      <w:r w:rsidRPr="008A2546">
        <w:rPr>
          <w:lang w:bidi="hi-IN"/>
        </w:rPr>
        <w:t xml:space="preserve">, </w:t>
      </w:r>
      <w:r w:rsidRPr="008A2546">
        <w:rPr>
          <w:i/>
          <w:iCs/>
          <w:lang w:bidi="hi-IN"/>
        </w:rPr>
        <w:t>312</w:t>
      </w:r>
      <w:r w:rsidRPr="008A2546">
        <w:rPr>
          <w:lang w:bidi="hi-IN"/>
        </w:rPr>
        <w:t xml:space="preserve"> (4), 795–805. https://doi.org/10.1006/jmbi.2001.4988</w:t>
      </w:r>
    </w:p>
    <w:p w14:paraId="084FEDD9" w14:textId="77777777" w:rsidR="008A2546" w:rsidRPr="008A2546" w:rsidRDefault="008A2546" w:rsidP="008A2546">
      <w:pPr>
        <w:pStyle w:val="Bibliography"/>
        <w:rPr>
          <w:lang w:bidi="hi-IN"/>
        </w:rPr>
      </w:pPr>
      <w:r w:rsidRPr="008A2546">
        <w:rPr>
          <w:lang w:bidi="hi-IN"/>
        </w:rPr>
        <w:t>(12)</w:t>
      </w:r>
      <w:r w:rsidRPr="008A2546">
        <w:rPr>
          <w:lang w:bidi="hi-IN"/>
        </w:rPr>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8A2546">
        <w:rPr>
          <w:i/>
          <w:iCs/>
          <w:lang w:bidi="hi-IN"/>
        </w:rPr>
        <w:t>J. Med. Chem.</w:t>
      </w:r>
      <w:r w:rsidRPr="008A2546">
        <w:rPr>
          <w:lang w:bidi="hi-IN"/>
        </w:rPr>
        <w:t xml:space="preserve"> </w:t>
      </w:r>
      <w:r w:rsidRPr="008A2546">
        <w:rPr>
          <w:b/>
          <w:bCs/>
          <w:lang w:bidi="hi-IN"/>
        </w:rPr>
        <w:t>2004</w:t>
      </w:r>
      <w:r w:rsidRPr="008A2546">
        <w:rPr>
          <w:lang w:bidi="hi-IN"/>
        </w:rPr>
        <w:t xml:space="preserve">, </w:t>
      </w:r>
      <w:r w:rsidRPr="008A2546">
        <w:rPr>
          <w:i/>
          <w:iCs/>
          <w:lang w:bidi="hi-IN"/>
        </w:rPr>
        <w:t>47</w:t>
      </w:r>
      <w:r w:rsidRPr="008A2546">
        <w:rPr>
          <w:lang w:bidi="hi-IN"/>
        </w:rPr>
        <w:t xml:space="preserve"> (10), 2550–2560. https://doi.org/10.1021/jm030558s</w:t>
      </w:r>
    </w:p>
    <w:p w14:paraId="7D64440B" w14:textId="77777777" w:rsidR="008A2546" w:rsidRPr="008A2546" w:rsidRDefault="008A2546" w:rsidP="008A2546">
      <w:pPr>
        <w:pStyle w:val="Bibliography"/>
        <w:rPr>
          <w:lang w:bidi="hi-IN"/>
        </w:rPr>
      </w:pPr>
      <w:r w:rsidRPr="008A2546">
        <w:rPr>
          <w:lang w:bidi="hi-IN"/>
        </w:rPr>
        <w:t>(13)</w:t>
      </w:r>
      <w:r w:rsidRPr="008A2546">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8A2546">
        <w:rPr>
          <w:i/>
          <w:iCs/>
          <w:lang w:bidi="hi-IN"/>
        </w:rPr>
        <w:t>Proceedings of the National Academy of Sciences</w:t>
      </w:r>
      <w:r w:rsidRPr="008A2546">
        <w:rPr>
          <w:lang w:bidi="hi-IN"/>
        </w:rPr>
        <w:t xml:space="preserve"> </w:t>
      </w:r>
      <w:r w:rsidRPr="008A2546">
        <w:rPr>
          <w:b/>
          <w:bCs/>
          <w:lang w:bidi="hi-IN"/>
        </w:rPr>
        <w:t>2008</w:t>
      </w:r>
      <w:r w:rsidRPr="008A2546">
        <w:rPr>
          <w:lang w:bidi="hi-IN"/>
        </w:rPr>
        <w:t xml:space="preserve">, </w:t>
      </w:r>
      <w:r w:rsidRPr="008A2546">
        <w:rPr>
          <w:i/>
          <w:iCs/>
          <w:lang w:bidi="hi-IN"/>
        </w:rPr>
        <w:t>105</w:t>
      </w:r>
      <w:r w:rsidRPr="008A2546">
        <w:rPr>
          <w:lang w:bidi="hi-IN"/>
        </w:rPr>
        <w:t xml:space="preserve"> (5), 1466–1471. https://doi.org/10.1073/pnas.0711209105</w:t>
      </w:r>
    </w:p>
    <w:p w14:paraId="0A934C44" w14:textId="77777777" w:rsidR="008A2546" w:rsidRPr="008A2546" w:rsidRDefault="008A2546" w:rsidP="008A2546">
      <w:pPr>
        <w:pStyle w:val="Bibliography"/>
        <w:rPr>
          <w:lang w:bidi="hi-IN"/>
        </w:rPr>
      </w:pPr>
      <w:r w:rsidRPr="008A2546">
        <w:rPr>
          <w:lang w:bidi="hi-IN"/>
        </w:rPr>
        <w:t>(14)</w:t>
      </w:r>
      <w:r w:rsidRPr="008A2546">
        <w:rPr>
          <w:lang w:bidi="hi-IN"/>
        </w:rPr>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sidRPr="008A2546">
        <w:rPr>
          <w:i/>
          <w:iCs/>
          <w:lang w:bidi="hi-IN"/>
        </w:rPr>
        <w:t>Bioorganic &amp; Medicinal Chemistry Letters</w:t>
      </w:r>
      <w:r w:rsidRPr="008A2546">
        <w:rPr>
          <w:lang w:bidi="hi-IN"/>
        </w:rPr>
        <w:t xml:space="preserve"> </w:t>
      </w:r>
      <w:r w:rsidRPr="008A2546">
        <w:rPr>
          <w:b/>
          <w:bCs/>
          <w:lang w:bidi="hi-IN"/>
        </w:rPr>
        <w:t>2014</w:t>
      </w:r>
      <w:r w:rsidRPr="008A2546">
        <w:rPr>
          <w:lang w:bidi="hi-IN"/>
        </w:rPr>
        <w:t xml:space="preserve">, </w:t>
      </w:r>
      <w:r w:rsidRPr="008A2546">
        <w:rPr>
          <w:i/>
          <w:iCs/>
          <w:lang w:bidi="hi-IN"/>
        </w:rPr>
        <w:t>24</w:t>
      </w:r>
      <w:r w:rsidRPr="008A2546">
        <w:rPr>
          <w:lang w:bidi="hi-IN"/>
        </w:rPr>
        <w:t xml:space="preserve"> (3), 917–922. https://doi.org/10.1016/j.bmcl.2013.12.070</w:t>
      </w:r>
    </w:p>
    <w:p w14:paraId="4FE18054" w14:textId="77777777" w:rsidR="008A2546" w:rsidRPr="008A2546" w:rsidRDefault="008A2546" w:rsidP="008A2546">
      <w:pPr>
        <w:pStyle w:val="Bibliography"/>
        <w:rPr>
          <w:lang w:bidi="hi-IN"/>
        </w:rPr>
      </w:pPr>
      <w:r w:rsidRPr="008A2546">
        <w:rPr>
          <w:lang w:bidi="hi-IN"/>
        </w:rPr>
        <w:t>(15)</w:t>
      </w:r>
      <w:r w:rsidRPr="008A2546">
        <w:rPr>
          <w:lang w:bidi="hi-IN"/>
        </w:rPr>
        <w:tab/>
        <w:t xml:space="preserve">Hwang, C.; Lai, M.-T.; Hazuda, D. Rational Design of Doravirine: From Bench to Patients. </w:t>
      </w:r>
      <w:r w:rsidRPr="008A2546">
        <w:rPr>
          <w:i/>
          <w:iCs/>
          <w:lang w:bidi="hi-IN"/>
        </w:rPr>
        <w:t>ACS Infect. Dis.</w:t>
      </w:r>
      <w:r w:rsidRPr="008A2546">
        <w:rPr>
          <w:lang w:bidi="hi-IN"/>
        </w:rPr>
        <w:t xml:space="preserve"> </w:t>
      </w:r>
      <w:r w:rsidRPr="008A2546">
        <w:rPr>
          <w:b/>
          <w:bCs/>
          <w:lang w:bidi="hi-IN"/>
        </w:rPr>
        <w:t>2020</w:t>
      </w:r>
      <w:r w:rsidRPr="008A2546">
        <w:rPr>
          <w:lang w:bidi="hi-IN"/>
        </w:rPr>
        <w:t xml:space="preserve">, </w:t>
      </w:r>
      <w:r w:rsidRPr="008A2546">
        <w:rPr>
          <w:i/>
          <w:iCs/>
          <w:lang w:bidi="hi-IN"/>
        </w:rPr>
        <w:t>6</w:t>
      </w:r>
      <w:r w:rsidRPr="008A2546">
        <w:rPr>
          <w:lang w:bidi="hi-IN"/>
        </w:rPr>
        <w:t xml:space="preserve"> (1), 64–73. https://doi.org/10.1021/acsinfecdis.9b00178</w:t>
      </w:r>
    </w:p>
    <w:p w14:paraId="1904F620" w14:textId="77777777" w:rsidR="008A2546" w:rsidRPr="008A2546" w:rsidRDefault="008A2546" w:rsidP="008A2546">
      <w:pPr>
        <w:pStyle w:val="Bibliography"/>
        <w:rPr>
          <w:lang w:bidi="hi-IN"/>
        </w:rPr>
      </w:pPr>
      <w:r w:rsidRPr="008A2546">
        <w:rPr>
          <w:lang w:bidi="hi-IN"/>
        </w:rPr>
        <w:t>(16)</w:t>
      </w:r>
      <w:r w:rsidRPr="008A2546">
        <w:rPr>
          <w:lang w:bidi="hi-IN"/>
        </w:rPr>
        <w:tab/>
        <w:t xml:space="preserve">Feng, M.; Wang, D.; Grobler, J. A.; Hazuda, D. J.; Miller, M. D.; Lai, M.-T. In Vitro Resistance Selection with Doravirine (MK-1439), a Novel Nonnucleoside Reverse Transcriptase Inhibitor with Distinct Mutation Development Pathways. </w:t>
      </w:r>
      <w:r w:rsidRPr="008A2546">
        <w:rPr>
          <w:i/>
          <w:iCs/>
          <w:lang w:bidi="hi-IN"/>
        </w:rPr>
        <w:t>Antimicrobial Agents and Chemotherapy</w:t>
      </w:r>
      <w:r w:rsidRPr="008A2546">
        <w:rPr>
          <w:lang w:bidi="hi-IN"/>
        </w:rPr>
        <w:t xml:space="preserve"> </w:t>
      </w:r>
      <w:r w:rsidRPr="008A2546">
        <w:rPr>
          <w:b/>
          <w:bCs/>
          <w:lang w:bidi="hi-IN"/>
        </w:rPr>
        <w:t>2015</w:t>
      </w:r>
      <w:r w:rsidRPr="008A2546">
        <w:rPr>
          <w:lang w:bidi="hi-IN"/>
        </w:rPr>
        <w:t xml:space="preserve">, </w:t>
      </w:r>
      <w:r w:rsidRPr="008A2546">
        <w:rPr>
          <w:i/>
          <w:iCs/>
          <w:lang w:bidi="hi-IN"/>
        </w:rPr>
        <w:t>59</w:t>
      </w:r>
      <w:r w:rsidRPr="008A2546">
        <w:rPr>
          <w:lang w:bidi="hi-IN"/>
        </w:rPr>
        <w:t xml:space="preserve"> (1), 590–598. https://doi.org/10.1128/aac.04201-14</w:t>
      </w:r>
    </w:p>
    <w:p w14:paraId="6E62FAC5" w14:textId="77777777" w:rsidR="008A2546" w:rsidRPr="008A2546" w:rsidRDefault="008A2546" w:rsidP="008A2546">
      <w:pPr>
        <w:pStyle w:val="Bibliography"/>
        <w:rPr>
          <w:lang w:bidi="hi-IN"/>
        </w:rPr>
      </w:pPr>
      <w:r w:rsidRPr="008A2546">
        <w:rPr>
          <w:lang w:bidi="hi-IN"/>
        </w:rPr>
        <w:lastRenderedPageBreak/>
        <w:t>(17)</w:t>
      </w:r>
      <w:r w:rsidRPr="008A2546">
        <w:rPr>
          <w:lang w:bidi="hi-IN"/>
        </w:rPr>
        <w:tab/>
        <w:t xml:space="preserve">Lai, M.-T.; Feng, M.; Falgueyret, J.-P.; Tawa, P.; Witmer, M.; DiStefano, D.; Li, Y.; Burch, J.; Sachs, N.; Lu, M.; Cauchon, E.; Campeau, L.-C.; Grobler, J.; Yan, Y.; Ducharme, Y.; Côté, B.; Asante-Appiah, E.; Hazuda, D. J.; Miller, M. D. In Vitro Characterization of MK-1439, a Novel HIV-1 Nonnucleoside Reverse Transcriptase Inhibitor. </w:t>
      </w:r>
      <w:r w:rsidRPr="008A2546">
        <w:rPr>
          <w:i/>
          <w:iCs/>
          <w:lang w:bidi="hi-IN"/>
        </w:rPr>
        <w:t>Antimicrobial Agents and Chemotherapy</w:t>
      </w:r>
      <w:r w:rsidRPr="008A2546">
        <w:rPr>
          <w:lang w:bidi="hi-IN"/>
        </w:rPr>
        <w:t xml:space="preserve"> </w:t>
      </w:r>
      <w:r w:rsidRPr="008A2546">
        <w:rPr>
          <w:b/>
          <w:bCs/>
          <w:lang w:bidi="hi-IN"/>
        </w:rPr>
        <w:t>2014</w:t>
      </w:r>
      <w:r w:rsidRPr="008A2546">
        <w:rPr>
          <w:lang w:bidi="hi-IN"/>
        </w:rPr>
        <w:t xml:space="preserve">, </w:t>
      </w:r>
      <w:r w:rsidRPr="008A2546">
        <w:rPr>
          <w:i/>
          <w:iCs/>
          <w:lang w:bidi="hi-IN"/>
        </w:rPr>
        <w:t>58</w:t>
      </w:r>
      <w:r w:rsidRPr="008A2546">
        <w:rPr>
          <w:lang w:bidi="hi-IN"/>
        </w:rPr>
        <w:t xml:space="preserve"> (3), 1652–1663. https://doi.org/10.1128/aac.02403-13</w:t>
      </w:r>
    </w:p>
    <w:p w14:paraId="663B4CE7" w14:textId="77777777" w:rsidR="008A2546" w:rsidRPr="008A2546" w:rsidRDefault="008A2546" w:rsidP="008A2546">
      <w:pPr>
        <w:pStyle w:val="Bibliography"/>
        <w:rPr>
          <w:lang w:bidi="hi-IN"/>
        </w:rPr>
      </w:pPr>
      <w:r w:rsidRPr="008A2546">
        <w:rPr>
          <w:lang w:bidi="hi-IN"/>
        </w:rPr>
        <w:t>(18)</w:t>
      </w:r>
      <w:r w:rsidRPr="008A2546">
        <w:rPr>
          <w:lang w:bidi="hi-IN"/>
        </w:rPr>
        <w:tab/>
        <w:t xml:space="preserve">Rhee, S.-Y.; Schapiro, J. M.; Saladini, F.; Zazzi, M.; Khoo, S.; Shafer, R. W. Potential Role of Doravirine for the Treatment of HIV-1-Infected Persons with Transmitted Drug Resistance. </w:t>
      </w:r>
      <w:r w:rsidRPr="008A2546">
        <w:rPr>
          <w:i/>
          <w:iCs/>
          <w:lang w:bidi="hi-IN"/>
        </w:rPr>
        <w:t>AIDS Res Ther</w:t>
      </w:r>
      <w:r w:rsidRPr="008A2546">
        <w:rPr>
          <w:lang w:bidi="hi-IN"/>
        </w:rPr>
        <w:t xml:space="preserve"> </w:t>
      </w:r>
      <w:r w:rsidRPr="008A2546">
        <w:rPr>
          <w:b/>
          <w:bCs/>
          <w:lang w:bidi="hi-IN"/>
        </w:rPr>
        <w:t>2023</w:t>
      </w:r>
      <w:r w:rsidRPr="008A2546">
        <w:rPr>
          <w:lang w:bidi="hi-IN"/>
        </w:rPr>
        <w:t xml:space="preserve">, </w:t>
      </w:r>
      <w:r w:rsidRPr="008A2546">
        <w:rPr>
          <w:i/>
          <w:iCs/>
          <w:lang w:bidi="hi-IN"/>
        </w:rPr>
        <w:t>20</w:t>
      </w:r>
      <w:r w:rsidRPr="008A2546">
        <w:rPr>
          <w:lang w:bidi="hi-IN"/>
        </w:rPr>
        <w:t xml:space="preserve"> (1), 8. https://doi.org/10.1186/s12981-023-00503-5</w:t>
      </w:r>
    </w:p>
    <w:p w14:paraId="0C0224FE" w14:textId="77777777" w:rsidR="008A2546" w:rsidRPr="008A2546" w:rsidRDefault="008A2546" w:rsidP="008A2546">
      <w:pPr>
        <w:pStyle w:val="Bibliography"/>
        <w:rPr>
          <w:lang w:bidi="hi-IN"/>
        </w:rPr>
      </w:pPr>
      <w:r w:rsidRPr="008A2546">
        <w:rPr>
          <w:lang w:bidi="hi-IN"/>
        </w:rPr>
        <w:t>(19)</w:t>
      </w:r>
      <w:r w:rsidRPr="008A2546">
        <w:rPr>
          <w:lang w:bidi="hi-IN"/>
        </w:rPr>
        <w:tab/>
        <w:t xml:space="preserve">Calza, L.; Colangeli, V.; Pensalfine, G.; Appolloni, L.; Vitale, S.; Bon, I.; Viale, P. Doravirine/Lamivudine/Tenofovir Disoproxil Fumarate in Virologically Suppressed People Living with HIV: A Real-Life Experience. </w:t>
      </w:r>
      <w:r w:rsidRPr="008A2546">
        <w:rPr>
          <w:i/>
          <w:iCs/>
          <w:lang w:bidi="hi-IN"/>
        </w:rPr>
        <w:t>Int J STD AIDS</w:t>
      </w:r>
      <w:r w:rsidRPr="008A2546">
        <w:rPr>
          <w:lang w:bidi="hi-IN"/>
        </w:rPr>
        <w:t xml:space="preserve"> </w:t>
      </w:r>
      <w:r w:rsidRPr="008A2546">
        <w:rPr>
          <w:b/>
          <w:bCs/>
          <w:lang w:bidi="hi-IN"/>
        </w:rPr>
        <w:t>2023</w:t>
      </w:r>
      <w:r w:rsidRPr="008A2546">
        <w:rPr>
          <w:lang w:bidi="hi-IN"/>
        </w:rPr>
        <w:t xml:space="preserve">, </w:t>
      </w:r>
      <w:r w:rsidRPr="008A2546">
        <w:rPr>
          <w:i/>
          <w:iCs/>
          <w:lang w:bidi="hi-IN"/>
        </w:rPr>
        <w:t>34</w:t>
      </w:r>
      <w:r w:rsidRPr="008A2546">
        <w:rPr>
          <w:lang w:bidi="hi-IN"/>
        </w:rPr>
        <w:t xml:space="preserve"> (14), 1018–1023. https://doi.org/10.1177/09564624231195084</w:t>
      </w:r>
    </w:p>
    <w:p w14:paraId="4951ED67" w14:textId="77777777" w:rsidR="008A2546" w:rsidRPr="008A2546" w:rsidRDefault="008A2546" w:rsidP="008A2546">
      <w:pPr>
        <w:pStyle w:val="Bibliography"/>
        <w:rPr>
          <w:lang w:bidi="hi-IN"/>
        </w:rPr>
      </w:pPr>
      <w:r w:rsidRPr="008A2546">
        <w:rPr>
          <w:lang w:bidi="hi-IN"/>
        </w:rPr>
        <w:t>(20)</w:t>
      </w:r>
      <w:r w:rsidRPr="008A2546">
        <w:rPr>
          <w:lang w:bidi="hi-I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sidRPr="008A2546">
        <w:rPr>
          <w:i/>
          <w:iCs/>
          <w:lang w:bidi="hi-IN"/>
        </w:rPr>
        <w:t>Microbiology Spectrum</w:t>
      </w:r>
      <w:r w:rsidRPr="008A2546">
        <w:rPr>
          <w:lang w:bidi="hi-IN"/>
        </w:rPr>
        <w:t xml:space="preserve"> </w:t>
      </w:r>
      <w:r w:rsidRPr="008A2546">
        <w:rPr>
          <w:b/>
          <w:bCs/>
          <w:lang w:bidi="hi-IN"/>
        </w:rPr>
        <w:t>2024</w:t>
      </w:r>
      <w:r w:rsidRPr="008A2546">
        <w:rPr>
          <w:lang w:bidi="hi-IN"/>
        </w:rPr>
        <w:t xml:space="preserve">, </w:t>
      </w:r>
      <w:r w:rsidRPr="008A2546">
        <w:rPr>
          <w:i/>
          <w:iCs/>
          <w:lang w:bidi="hi-IN"/>
        </w:rPr>
        <w:t>12</w:t>
      </w:r>
      <w:r w:rsidRPr="008A2546">
        <w:rPr>
          <w:lang w:bidi="hi-IN"/>
        </w:rPr>
        <w:t xml:space="preserve"> (8), e00654-24. https://doi.org/10.1128/spectrum.00654-24</w:t>
      </w:r>
    </w:p>
    <w:p w14:paraId="670D6D0B" w14:textId="77777777" w:rsidR="008A2546" w:rsidRPr="008A2546" w:rsidRDefault="008A2546" w:rsidP="008A2546">
      <w:pPr>
        <w:pStyle w:val="Bibliography"/>
        <w:rPr>
          <w:lang w:bidi="hi-IN"/>
        </w:rPr>
      </w:pPr>
      <w:r w:rsidRPr="008A2546">
        <w:rPr>
          <w:lang w:bidi="hi-IN"/>
        </w:rPr>
        <w:t>(21)</w:t>
      </w:r>
      <w:r w:rsidRPr="008A2546">
        <w:rPr>
          <w:lang w:bidi="hi-IN"/>
        </w:rPr>
        <w:tab/>
        <w:t xml:space="preserve">Yang, H.; Li, M.; Liu, Q.; Zeng, Q.; Yuan, J. The Efficacy and Safety of Doravirine/Lamivudine/Tenofovir Disoproxil Fumarate in Treatment-Naïve and Treatment-Experienced Patients with HIV. </w:t>
      </w:r>
      <w:r w:rsidRPr="008A2546">
        <w:rPr>
          <w:i/>
          <w:iCs/>
          <w:lang w:bidi="hi-IN"/>
        </w:rPr>
        <w:t>Annals of Medicine</w:t>
      </w:r>
      <w:r w:rsidRPr="008A2546">
        <w:rPr>
          <w:lang w:bidi="hi-IN"/>
        </w:rPr>
        <w:t xml:space="preserve"> </w:t>
      </w:r>
      <w:r w:rsidRPr="008A2546">
        <w:rPr>
          <w:b/>
          <w:bCs/>
          <w:lang w:bidi="hi-IN"/>
        </w:rPr>
        <w:t>2025</w:t>
      </w:r>
      <w:r w:rsidRPr="008A2546">
        <w:rPr>
          <w:lang w:bidi="hi-IN"/>
        </w:rPr>
        <w:t xml:space="preserve">, </w:t>
      </w:r>
      <w:r w:rsidRPr="008A2546">
        <w:rPr>
          <w:i/>
          <w:iCs/>
          <w:lang w:bidi="hi-IN"/>
        </w:rPr>
        <w:t>57</w:t>
      </w:r>
      <w:r w:rsidRPr="008A2546">
        <w:rPr>
          <w:lang w:bidi="hi-IN"/>
        </w:rPr>
        <w:t xml:space="preserve"> (1), 2564286. https://doi.org/10.1080/07853890.2025.2564286</w:t>
      </w:r>
    </w:p>
    <w:p w14:paraId="091D3D07" w14:textId="77777777" w:rsidR="008A2546" w:rsidRPr="008A2546" w:rsidRDefault="008A2546" w:rsidP="008A2546">
      <w:pPr>
        <w:pStyle w:val="Bibliography"/>
        <w:rPr>
          <w:lang w:bidi="hi-IN"/>
        </w:rPr>
      </w:pPr>
      <w:r w:rsidRPr="008A2546">
        <w:rPr>
          <w:lang w:bidi="hi-IN"/>
        </w:rPr>
        <w:t>(22)</w:t>
      </w:r>
      <w:r w:rsidRPr="008A2546">
        <w:rPr>
          <w:lang w:bidi="hi-IN"/>
        </w:rPr>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sidRPr="008A2546">
        <w:rPr>
          <w:i/>
          <w:iCs/>
          <w:lang w:bidi="hi-IN"/>
        </w:rPr>
        <w:t>The Lancet</w:t>
      </w:r>
      <w:r w:rsidRPr="008A2546">
        <w:rPr>
          <w:lang w:bidi="hi-IN"/>
        </w:rPr>
        <w:t xml:space="preserve"> </w:t>
      </w:r>
      <w:r w:rsidRPr="008A2546">
        <w:rPr>
          <w:b/>
          <w:bCs/>
          <w:lang w:bidi="hi-IN"/>
        </w:rPr>
        <w:t>2026</w:t>
      </w:r>
      <w:r w:rsidRPr="008A2546">
        <w:rPr>
          <w:lang w:bidi="hi-IN"/>
        </w:rPr>
        <w:t xml:space="preserve">, </w:t>
      </w:r>
      <w:r w:rsidRPr="008A2546">
        <w:rPr>
          <w:i/>
          <w:iCs/>
          <w:lang w:bidi="hi-IN"/>
        </w:rPr>
        <w:t>407</w:t>
      </w:r>
      <w:r w:rsidRPr="008A2546">
        <w:rPr>
          <w:lang w:bidi="hi-IN"/>
        </w:rPr>
        <w:t xml:space="preserve"> (10528), 599–610. https://doi.org/10.1016/S0140-6736(25)01945-2</w:t>
      </w:r>
    </w:p>
    <w:p w14:paraId="41BAFCF3" w14:textId="77777777" w:rsidR="008A2546" w:rsidRPr="008A2546" w:rsidRDefault="008A2546" w:rsidP="008A2546">
      <w:pPr>
        <w:pStyle w:val="Bibliography"/>
        <w:rPr>
          <w:lang w:bidi="hi-IN"/>
        </w:rPr>
      </w:pPr>
      <w:r w:rsidRPr="008A2546">
        <w:rPr>
          <w:lang w:bidi="hi-IN"/>
        </w:rPr>
        <w:t>(23)</w:t>
      </w:r>
      <w:r w:rsidRPr="008A2546">
        <w:rPr>
          <w:lang w:bidi="hi-IN"/>
        </w:rPr>
        <w:tab/>
        <w:t xml:space="preserve">Rizzo, R. C.; Wang, D.-P.; Tirado-Rives, J.; Jorgensen, W. L. Validation of a Model for the Complex of HIV-1 Reverse Transcriptase with Sustiva through Computation of Resistance Profiles. </w:t>
      </w:r>
      <w:r w:rsidRPr="008A2546">
        <w:rPr>
          <w:i/>
          <w:iCs/>
          <w:lang w:bidi="hi-IN"/>
        </w:rPr>
        <w:t>Journal American Chemical Society</w:t>
      </w:r>
      <w:r w:rsidRPr="008A2546">
        <w:rPr>
          <w:lang w:bidi="hi-IN"/>
        </w:rPr>
        <w:t xml:space="preserve"> </w:t>
      </w:r>
      <w:r w:rsidRPr="008A2546">
        <w:rPr>
          <w:b/>
          <w:bCs/>
          <w:lang w:bidi="hi-IN"/>
        </w:rPr>
        <w:t>2000</w:t>
      </w:r>
      <w:r w:rsidRPr="008A2546">
        <w:rPr>
          <w:lang w:bidi="hi-IN"/>
        </w:rPr>
        <w:t xml:space="preserve">, </w:t>
      </w:r>
      <w:r w:rsidRPr="008A2546">
        <w:rPr>
          <w:i/>
          <w:iCs/>
          <w:lang w:bidi="hi-IN"/>
        </w:rPr>
        <w:t>122</w:t>
      </w:r>
      <w:r w:rsidRPr="008A2546">
        <w:rPr>
          <w:lang w:bidi="hi-IN"/>
        </w:rPr>
        <w:t xml:space="preserve"> (51), 12898–12900. https://doi.org/10.1021/ja003113r</w:t>
      </w:r>
    </w:p>
    <w:p w14:paraId="3D86D417" w14:textId="77777777" w:rsidR="008A2546" w:rsidRPr="008A2546" w:rsidRDefault="008A2546" w:rsidP="008A2546">
      <w:pPr>
        <w:pStyle w:val="Bibliography"/>
        <w:rPr>
          <w:lang w:bidi="hi-IN"/>
        </w:rPr>
      </w:pPr>
      <w:r w:rsidRPr="008A2546">
        <w:rPr>
          <w:lang w:bidi="hi-IN"/>
        </w:rPr>
        <w:t>(24)</w:t>
      </w:r>
      <w:r w:rsidRPr="008A2546">
        <w:rPr>
          <w:lang w:bidi="hi-IN"/>
        </w:rPr>
        <w:tab/>
        <w:t xml:space="preserve">Wang, D.-P.; Rizzo, R. C.; Tirado-Rives, J.; Jorgensen, W. L. Antiviral Drug Design: Computational Analyses of the Effects of the L100I Mutation for HIV-RT on the Binding of NNRTIs. </w:t>
      </w:r>
      <w:r w:rsidRPr="008A2546">
        <w:rPr>
          <w:i/>
          <w:iCs/>
          <w:lang w:bidi="hi-IN"/>
        </w:rPr>
        <w:t>Bioorganic &amp; Medicinal Chemistry Letters</w:t>
      </w:r>
      <w:r w:rsidRPr="008A2546">
        <w:rPr>
          <w:lang w:bidi="hi-IN"/>
        </w:rPr>
        <w:t xml:space="preserve"> </w:t>
      </w:r>
      <w:r w:rsidRPr="008A2546">
        <w:rPr>
          <w:b/>
          <w:bCs/>
          <w:lang w:bidi="hi-IN"/>
        </w:rPr>
        <w:t>2001</w:t>
      </w:r>
      <w:r w:rsidRPr="008A2546">
        <w:rPr>
          <w:lang w:bidi="hi-IN"/>
        </w:rPr>
        <w:t xml:space="preserve">, </w:t>
      </w:r>
      <w:r w:rsidRPr="008A2546">
        <w:rPr>
          <w:i/>
          <w:iCs/>
          <w:lang w:bidi="hi-IN"/>
        </w:rPr>
        <w:t>11</w:t>
      </w:r>
      <w:r w:rsidRPr="008A2546">
        <w:rPr>
          <w:lang w:bidi="hi-IN"/>
        </w:rPr>
        <w:t xml:space="preserve"> (21), 2799–2802. https://doi.org/10.1016/S0960-894X(01)00510-8</w:t>
      </w:r>
    </w:p>
    <w:p w14:paraId="788339B6" w14:textId="77777777" w:rsidR="008A2546" w:rsidRPr="008A2546" w:rsidRDefault="008A2546" w:rsidP="008A2546">
      <w:pPr>
        <w:pStyle w:val="Bibliography"/>
        <w:rPr>
          <w:lang w:bidi="hi-IN"/>
        </w:rPr>
      </w:pPr>
      <w:r w:rsidRPr="008A2546">
        <w:rPr>
          <w:lang w:bidi="hi-IN"/>
        </w:rPr>
        <w:t>(25)</w:t>
      </w:r>
      <w:r w:rsidRPr="008A2546">
        <w:rPr>
          <w:lang w:bidi="hi-IN"/>
        </w:rPr>
        <w:tab/>
        <w:t xml:space="preserve">Udier-Blagović, M.; Tirado-Rives, J.; Jorgensen, W. L. Validation of a Model for the Complex of HIV-1 Reverse Transcriptase with Nonnucleoside Inhibitor TMC125. </w:t>
      </w:r>
      <w:r w:rsidRPr="008A2546">
        <w:rPr>
          <w:i/>
          <w:iCs/>
          <w:lang w:bidi="hi-IN"/>
        </w:rPr>
        <w:t>Journal American Chemical Society</w:t>
      </w:r>
      <w:r w:rsidRPr="008A2546">
        <w:rPr>
          <w:lang w:bidi="hi-IN"/>
        </w:rPr>
        <w:t xml:space="preserve"> </w:t>
      </w:r>
      <w:r w:rsidRPr="008A2546">
        <w:rPr>
          <w:b/>
          <w:bCs/>
          <w:lang w:bidi="hi-IN"/>
        </w:rPr>
        <w:t>2003</w:t>
      </w:r>
      <w:r w:rsidRPr="008A2546">
        <w:rPr>
          <w:lang w:bidi="hi-IN"/>
        </w:rPr>
        <w:t xml:space="preserve">, </w:t>
      </w:r>
      <w:r w:rsidRPr="008A2546">
        <w:rPr>
          <w:i/>
          <w:iCs/>
          <w:lang w:bidi="hi-IN"/>
        </w:rPr>
        <w:t>125</w:t>
      </w:r>
      <w:r w:rsidRPr="008A2546">
        <w:rPr>
          <w:lang w:bidi="hi-IN"/>
        </w:rPr>
        <w:t xml:space="preserve"> (20), 6016–6017. https://doi.org/10.1021/ja034308c</w:t>
      </w:r>
    </w:p>
    <w:p w14:paraId="5D4A06A2" w14:textId="77777777" w:rsidR="008A2546" w:rsidRPr="008A2546" w:rsidRDefault="008A2546" w:rsidP="008A2546">
      <w:pPr>
        <w:pStyle w:val="Bibliography"/>
        <w:rPr>
          <w:lang w:bidi="hi-IN"/>
        </w:rPr>
      </w:pPr>
      <w:r w:rsidRPr="008A2546">
        <w:rPr>
          <w:lang w:bidi="hi-IN"/>
        </w:rPr>
        <w:lastRenderedPageBreak/>
        <w:t>(26)</w:t>
      </w:r>
      <w:r w:rsidRPr="008A2546">
        <w:rPr>
          <w:lang w:bidi="hi-IN"/>
        </w:rPr>
        <w:tab/>
        <w:t xml:space="preserve">Udier-Blagović, M.; Tirado-Rives, J.; Jorgensen, W. L. Structural and Energetic Analyses of the Effects of the K103N Mutation of HIV-1 Reverse Transcriptase on Efavirenz Analogues. </w:t>
      </w:r>
      <w:r w:rsidRPr="008A2546">
        <w:rPr>
          <w:i/>
          <w:iCs/>
          <w:lang w:bidi="hi-IN"/>
        </w:rPr>
        <w:t>J. Med. Chem.</w:t>
      </w:r>
      <w:r w:rsidRPr="008A2546">
        <w:rPr>
          <w:lang w:bidi="hi-IN"/>
        </w:rPr>
        <w:t xml:space="preserve"> </w:t>
      </w:r>
      <w:r w:rsidRPr="008A2546">
        <w:rPr>
          <w:b/>
          <w:bCs/>
          <w:lang w:bidi="hi-IN"/>
        </w:rPr>
        <w:t>2004</w:t>
      </w:r>
      <w:r w:rsidRPr="008A2546">
        <w:rPr>
          <w:lang w:bidi="hi-IN"/>
        </w:rPr>
        <w:t xml:space="preserve">, </w:t>
      </w:r>
      <w:r w:rsidRPr="008A2546">
        <w:rPr>
          <w:i/>
          <w:iCs/>
          <w:lang w:bidi="hi-IN"/>
        </w:rPr>
        <w:t>47</w:t>
      </w:r>
      <w:r w:rsidRPr="008A2546">
        <w:rPr>
          <w:lang w:bidi="hi-IN"/>
        </w:rPr>
        <w:t xml:space="preserve"> (9), 2389–2392. https://doi.org/10.1021/jm0303507</w:t>
      </w:r>
    </w:p>
    <w:p w14:paraId="7BED56EE" w14:textId="77777777" w:rsidR="008A2546" w:rsidRPr="008A2546" w:rsidRDefault="008A2546" w:rsidP="008A2546">
      <w:pPr>
        <w:pStyle w:val="Bibliography"/>
        <w:rPr>
          <w:lang w:bidi="hi-IN"/>
        </w:rPr>
      </w:pPr>
      <w:r w:rsidRPr="008A2546">
        <w:rPr>
          <w:lang w:bidi="hi-IN"/>
        </w:rPr>
        <w:t>(27)</w:t>
      </w:r>
      <w:r w:rsidRPr="008A2546">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8A2546">
        <w:rPr>
          <w:i/>
          <w:iCs/>
          <w:lang w:bidi="hi-IN"/>
        </w:rPr>
        <w:t>Journal American Chemical Society</w:t>
      </w:r>
      <w:r w:rsidRPr="008A2546">
        <w:rPr>
          <w:lang w:bidi="hi-IN"/>
        </w:rPr>
        <w:t xml:space="preserve"> </w:t>
      </w:r>
      <w:r w:rsidRPr="008A2546">
        <w:rPr>
          <w:b/>
          <w:bCs/>
          <w:lang w:bidi="hi-IN"/>
        </w:rPr>
        <w:t>2005</w:t>
      </w:r>
      <w:r w:rsidRPr="008A2546">
        <w:rPr>
          <w:lang w:bidi="hi-IN"/>
        </w:rPr>
        <w:t xml:space="preserve">, </w:t>
      </w:r>
      <w:r w:rsidRPr="008A2546">
        <w:rPr>
          <w:i/>
          <w:iCs/>
          <w:lang w:bidi="hi-IN"/>
        </w:rPr>
        <w:t>127</w:t>
      </w:r>
      <w:r w:rsidRPr="008A2546">
        <w:rPr>
          <w:lang w:bidi="hi-IN"/>
        </w:rPr>
        <w:t xml:space="preserve"> (20), 7570–7578. https://doi.org/10.1021/ja042289g</w:t>
      </w:r>
    </w:p>
    <w:p w14:paraId="5B2CDFBF" w14:textId="77777777" w:rsidR="008A2546" w:rsidRPr="008A2546" w:rsidRDefault="008A2546" w:rsidP="008A2546">
      <w:pPr>
        <w:pStyle w:val="Bibliography"/>
        <w:rPr>
          <w:lang w:bidi="hi-IN"/>
        </w:rPr>
      </w:pPr>
      <w:r w:rsidRPr="008A2546">
        <w:rPr>
          <w:lang w:bidi="hi-IN"/>
        </w:rPr>
        <w:t>(28)</w:t>
      </w:r>
      <w:r w:rsidRPr="008A2546">
        <w:rPr>
          <w:lang w:bidi="hi-IN"/>
        </w:rPr>
        <w:tab/>
        <w:t xml:space="preserve">Zhou, Z.; Madrid, M.; Evanseck, J. D.; Madura, J. D. Effect of a Bound Non-Nucleoside RT Inhibitor on the Dynamics of Wild-Type and Mutant HIV-1 Reverse Transcriptase. </w:t>
      </w:r>
      <w:r w:rsidRPr="008A2546">
        <w:rPr>
          <w:i/>
          <w:iCs/>
          <w:lang w:bidi="hi-IN"/>
        </w:rPr>
        <w:t>J. Am. Chem. Soc.</w:t>
      </w:r>
      <w:r w:rsidRPr="008A2546">
        <w:rPr>
          <w:lang w:bidi="hi-IN"/>
        </w:rPr>
        <w:t xml:space="preserve"> </w:t>
      </w:r>
      <w:r w:rsidRPr="008A2546">
        <w:rPr>
          <w:b/>
          <w:bCs/>
          <w:lang w:bidi="hi-IN"/>
        </w:rPr>
        <w:t>2005</w:t>
      </w:r>
      <w:r w:rsidRPr="008A2546">
        <w:rPr>
          <w:lang w:bidi="hi-IN"/>
        </w:rPr>
        <w:t xml:space="preserve">, </w:t>
      </w:r>
      <w:r w:rsidRPr="008A2546">
        <w:rPr>
          <w:i/>
          <w:iCs/>
          <w:lang w:bidi="hi-IN"/>
        </w:rPr>
        <w:t>127</w:t>
      </w:r>
      <w:r w:rsidRPr="008A2546">
        <w:rPr>
          <w:lang w:bidi="hi-IN"/>
        </w:rPr>
        <w:t xml:space="preserve"> (49), 17253–17260. https://doi.org/10.1021/ja053973d</w:t>
      </w:r>
    </w:p>
    <w:p w14:paraId="639082D1" w14:textId="77777777" w:rsidR="008A2546" w:rsidRPr="008A2546" w:rsidRDefault="008A2546" w:rsidP="008A2546">
      <w:pPr>
        <w:pStyle w:val="Bibliography"/>
        <w:rPr>
          <w:lang w:bidi="hi-IN"/>
        </w:rPr>
      </w:pPr>
      <w:r w:rsidRPr="008A2546">
        <w:rPr>
          <w:lang w:bidi="hi-IN"/>
        </w:rPr>
        <w:t>(29)</w:t>
      </w:r>
      <w:r w:rsidRPr="008A2546">
        <w:rPr>
          <w:lang w:bidi="hi-IN"/>
        </w:rPr>
        <w:tab/>
        <w:t xml:space="preserve">Vijayan, R. S. K.; Arnold, E.; Das, K. Molecular Dynamics Study of HIV-1 RT-DNA-Nevirapine Complexes Explains NNRTI Inhibition and Resistance by Connection Mutations. </w:t>
      </w:r>
      <w:r w:rsidRPr="008A2546">
        <w:rPr>
          <w:i/>
          <w:iCs/>
          <w:lang w:bidi="hi-IN"/>
        </w:rPr>
        <w:t>Proteins: Structure, Function, and Bioinformatics</w:t>
      </w:r>
      <w:r w:rsidRPr="008A2546">
        <w:rPr>
          <w:lang w:bidi="hi-IN"/>
        </w:rPr>
        <w:t xml:space="preserve"> </w:t>
      </w:r>
      <w:r w:rsidRPr="008A2546">
        <w:rPr>
          <w:b/>
          <w:bCs/>
          <w:lang w:bidi="hi-IN"/>
        </w:rPr>
        <w:t>2014</w:t>
      </w:r>
      <w:r w:rsidRPr="008A2546">
        <w:rPr>
          <w:lang w:bidi="hi-IN"/>
        </w:rPr>
        <w:t xml:space="preserve">, </w:t>
      </w:r>
      <w:r w:rsidRPr="008A2546">
        <w:rPr>
          <w:i/>
          <w:iCs/>
          <w:lang w:bidi="hi-IN"/>
        </w:rPr>
        <w:t>82</w:t>
      </w:r>
      <w:r w:rsidRPr="008A2546">
        <w:rPr>
          <w:lang w:bidi="hi-IN"/>
        </w:rPr>
        <w:t xml:space="preserve"> (5), 815–829. https://doi.org/10.1002/prot.24460</w:t>
      </w:r>
    </w:p>
    <w:p w14:paraId="39F7835D" w14:textId="77777777" w:rsidR="008A2546" w:rsidRPr="008A2546" w:rsidRDefault="008A2546" w:rsidP="008A2546">
      <w:pPr>
        <w:pStyle w:val="Bibliography"/>
        <w:rPr>
          <w:lang w:bidi="hi-IN"/>
        </w:rPr>
      </w:pPr>
      <w:r w:rsidRPr="008A2546">
        <w:rPr>
          <w:lang w:bidi="hi-IN"/>
        </w:rPr>
        <w:t>(30)</w:t>
      </w:r>
      <w:r w:rsidRPr="008A2546">
        <w:rPr>
          <w:lang w:bidi="hi-IN"/>
        </w:rPr>
        <w:tab/>
        <w:t xml:space="preserve">Geitmann, M.; Unge, T.; Danielson, U. H. Interaction Kinetic Characterization of HIV-1 Reverse Transcriptase Non-Nucleoside Inhibitor Resistance. </w:t>
      </w:r>
      <w:r w:rsidRPr="008A2546">
        <w:rPr>
          <w:i/>
          <w:iCs/>
          <w:lang w:bidi="hi-IN"/>
        </w:rPr>
        <w:t>J. Med. Chem.</w:t>
      </w:r>
      <w:r w:rsidRPr="008A2546">
        <w:rPr>
          <w:lang w:bidi="hi-IN"/>
        </w:rPr>
        <w:t xml:space="preserve"> </w:t>
      </w:r>
      <w:r w:rsidRPr="008A2546">
        <w:rPr>
          <w:b/>
          <w:bCs/>
          <w:lang w:bidi="hi-IN"/>
        </w:rPr>
        <w:t>2006</w:t>
      </w:r>
      <w:r w:rsidRPr="008A2546">
        <w:rPr>
          <w:lang w:bidi="hi-IN"/>
        </w:rPr>
        <w:t xml:space="preserve">, </w:t>
      </w:r>
      <w:r w:rsidRPr="008A2546">
        <w:rPr>
          <w:i/>
          <w:iCs/>
          <w:lang w:bidi="hi-IN"/>
        </w:rPr>
        <w:t>49</w:t>
      </w:r>
      <w:r w:rsidRPr="008A2546">
        <w:rPr>
          <w:lang w:bidi="hi-IN"/>
        </w:rPr>
        <w:t xml:space="preserve"> (8), 2375–2387. https://doi.org/10.1021/jm0504050</w:t>
      </w:r>
    </w:p>
    <w:p w14:paraId="67774ECA" w14:textId="77777777" w:rsidR="008A2546" w:rsidRPr="008A2546" w:rsidRDefault="008A2546" w:rsidP="008A2546">
      <w:pPr>
        <w:pStyle w:val="Bibliography"/>
        <w:rPr>
          <w:lang w:bidi="hi-IN"/>
        </w:rPr>
      </w:pPr>
      <w:r w:rsidRPr="008A2546">
        <w:rPr>
          <w:lang w:bidi="hi-IN"/>
        </w:rPr>
        <w:t>(31)</w:t>
      </w:r>
      <w:r w:rsidRPr="008A2546">
        <w:rPr>
          <w:lang w:bidi="hi-IN"/>
        </w:rPr>
        <w:tab/>
        <w:t xml:space="preserve">Ghidini, A.; Serra, E.; Cavalli, A. On Free Energy Calculations in Drug Discovery. </w:t>
      </w:r>
      <w:r w:rsidRPr="008A2546">
        <w:rPr>
          <w:i/>
          <w:iCs/>
          <w:lang w:bidi="hi-IN"/>
        </w:rPr>
        <w:t>Acc. Chem. Res.</w:t>
      </w:r>
      <w:r w:rsidRPr="008A2546">
        <w:rPr>
          <w:lang w:bidi="hi-IN"/>
        </w:rPr>
        <w:t xml:space="preserve"> </w:t>
      </w:r>
      <w:r w:rsidRPr="008A2546">
        <w:rPr>
          <w:b/>
          <w:bCs/>
          <w:lang w:bidi="hi-IN"/>
        </w:rPr>
        <w:t>2025</w:t>
      </w:r>
      <w:r w:rsidRPr="008A2546">
        <w:rPr>
          <w:lang w:bidi="hi-IN"/>
        </w:rPr>
        <w:t xml:space="preserve">, </w:t>
      </w:r>
      <w:r w:rsidRPr="008A2546">
        <w:rPr>
          <w:i/>
          <w:iCs/>
          <w:lang w:bidi="hi-IN"/>
        </w:rPr>
        <w:t>58</w:t>
      </w:r>
      <w:r w:rsidRPr="008A2546">
        <w:rPr>
          <w:lang w:bidi="hi-IN"/>
        </w:rPr>
        <w:t xml:space="preserve"> (20), 3137–3145. https://doi.org/10.1021/acs.accounts.5c00465</w:t>
      </w:r>
    </w:p>
    <w:p w14:paraId="67168A93" w14:textId="77777777" w:rsidR="008A2546" w:rsidRPr="008A2546" w:rsidRDefault="008A2546" w:rsidP="008A2546">
      <w:pPr>
        <w:pStyle w:val="Bibliography"/>
        <w:rPr>
          <w:lang w:bidi="hi-IN"/>
        </w:rPr>
      </w:pPr>
      <w:r w:rsidRPr="008A2546">
        <w:rPr>
          <w:lang w:bidi="hi-IN"/>
        </w:rPr>
        <w:t>(32)</w:t>
      </w:r>
      <w:r w:rsidRPr="008A2546">
        <w:rPr>
          <w:lang w:bidi="hi-IN"/>
        </w:rPr>
        <w:tab/>
        <w:t xml:space="preserve">Gapsys, V.; Pérez-Benito, L.; Aldeghi, M.; Seeliger, D.; van Vlijmen, H.; Tresadern, G.; de Groot, B. L. Large Scale Relative Protein Ligand Binding Affinities Using Non-Equilibrium Alchemy. </w:t>
      </w:r>
      <w:r w:rsidRPr="008A2546">
        <w:rPr>
          <w:i/>
          <w:iCs/>
          <w:lang w:bidi="hi-IN"/>
        </w:rPr>
        <w:t>Chem. Sci.</w:t>
      </w:r>
      <w:r w:rsidRPr="008A2546">
        <w:rPr>
          <w:lang w:bidi="hi-IN"/>
        </w:rPr>
        <w:t xml:space="preserve"> </w:t>
      </w:r>
      <w:r w:rsidRPr="008A2546">
        <w:rPr>
          <w:b/>
          <w:bCs/>
          <w:lang w:bidi="hi-IN"/>
        </w:rPr>
        <w:t>2020</w:t>
      </w:r>
      <w:r w:rsidRPr="008A2546">
        <w:rPr>
          <w:lang w:bidi="hi-IN"/>
        </w:rPr>
        <w:t xml:space="preserve">, </w:t>
      </w:r>
      <w:r w:rsidRPr="008A2546">
        <w:rPr>
          <w:i/>
          <w:iCs/>
          <w:lang w:bidi="hi-IN"/>
        </w:rPr>
        <w:t>11</w:t>
      </w:r>
      <w:r w:rsidRPr="008A2546">
        <w:rPr>
          <w:lang w:bidi="hi-IN"/>
        </w:rPr>
        <w:t xml:space="preserve"> (4), 1140–1152. https://doi.org/10.1039/c9sc03754c</w:t>
      </w:r>
    </w:p>
    <w:p w14:paraId="66CF1885" w14:textId="77777777" w:rsidR="008A2546" w:rsidRPr="008A2546" w:rsidRDefault="008A2546" w:rsidP="008A2546">
      <w:pPr>
        <w:pStyle w:val="Bibliography"/>
        <w:rPr>
          <w:lang w:bidi="hi-IN"/>
        </w:rPr>
      </w:pPr>
      <w:r w:rsidRPr="008A2546">
        <w:rPr>
          <w:lang w:bidi="hi-IN"/>
        </w:rPr>
        <w:t>(33)</w:t>
      </w:r>
      <w:r w:rsidRPr="008A2546">
        <w:rPr>
          <w:lang w:bidi="hi-IN"/>
        </w:rPr>
        <w:tab/>
        <w:t xml:space="preserve">Kollman, P. A.; Massova, I.; Reyes, C.; Kuhn, B.; Huo, S.; Chong, L.; Lee, M.; Lee, T.; Duan, Y.; Wang, W.; Donini, O.; Cieplak, P.; Srinivasan, J.; Case, D. A.; Cheatham, T. E. Calculating Structures and Free Energies of Complex Molecules: Combining Molecular Mechanics and Continuum Models. </w:t>
      </w:r>
      <w:r w:rsidRPr="008A2546">
        <w:rPr>
          <w:i/>
          <w:iCs/>
          <w:lang w:bidi="hi-IN"/>
        </w:rPr>
        <w:t>Acc. Chem. Res.</w:t>
      </w:r>
      <w:r w:rsidRPr="008A2546">
        <w:rPr>
          <w:lang w:bidi="hi-IN"/>
        </w:rPr>
        <w:t xml:space="preserve"> </w:t>
      </w:r>
      <w:r w:rsidRPr="008A2546">
        <w:rPr>
          <w:b/>
          <w:bCs/>
          <w:lang w:bidi="hi-IN"/>
        </w:rPr>
        <w:t>2000</w:t>
      </w:r>
      <w:r w:rsidRPr="008A2546">
        <w:rPr>
          <w:lang w:bidi="hi-IN"/>
        </w:rPr>
        <w:t xml:space="preserve">, </w:t>
      </w:r>
      <w:r w:rsidRPr="008A2546">
        <w:rPr>
          <w:i/>
          <w:iCs/>
          <w:lang w:bidi="hi-IN"/>
        </w:rPr>
        <w:t>33</w:t>
      </w:r>
      <w:r w:rsidRPr="008A2546">
        <w:rPr>
          <w:lang w:bidi="hi-IN"/>
        </w:rPr>
        <w:t xml:space="preserve"> (12), 889–897. https://doi.org/10.1021/ar000033j</w:t>
      </w:r>
    </w:p>
    <w:p w14:paraId="31EC8E78" w14:textId="77777777" w:rsidR="008A2546" w:rsidRPr="008A2546" w:rsidRDefault="008A2546" w:rsidP="008A2546">
      <w:pPr>
        <w:pStyle w:val="Bibliography"/>
        <w:rPr>
          <w:lang w:bidi="hi-IN"/>
        </w:rPr>
      </w:pPr>
      <w:r w:rsidRPr="008A2546">
        <w:rPr>
          <w:lang w:bidi="hi-IN"/>
        </w:rPr>
        <w:t>(34)</w:t>
      </w:r>
      <w:r w:rsidRPr="008A2546">
        <w:rPr>
          <w:lang w:bidi="hi-IN"/>
        </w:rPr>
        <w:tab/>
        <w:t xml:space="preserve">Genheden, S.; Ryde, U. The MM/PBSA and MM/GBSA Methods to Estimate Ligand-Binding Affinities. </w:t>
      </w:r>
      <w:r w:rsidRPr="008A2546">
        <w:rPr>
          <w:i/>
          <w:iCs/>
          <w:lang w:bidi="hi-IN"/>
        </w:rPr>
        <w:t>Expert Opinion on Drug Discovery</w:t>
      </w:r>
      <w:r w:rsidRPr="008A2546">
        <w:rPr>
          <w:lang w:bidi="hi-IN"/>
        </w:rPr>
        <w:t xml:space="preserve"> </w:t>
      </w:r>
      <w:r w:rsidRPr="008A2546">
        <w:rPr>
          <w:b/>
          <w:bCs/>
          <w:lang w:bidi="hi-IN"/>
        </w:rPr>
        <w:t>2015</w:t>
      </w:r>
      <w:r w:rsidRPr="008A2546">
        <w:rPr>
          <w:lang w:bidi="hi-IN"/>
        </w:rPr>
        <w:t xml:space="preserve">, </w:t>
      </w:r>
      <w:r w:rsidRPr="008A2546">
        <w:rPr>
          <w:i/>
          <w:iCs/>
          <w:lang w:bidi="hi-IN"/>
        </w:rPr>
        <w:t>10</w:t>
      </w:r>
      <w:r w:rsidRPr="008A2546">
        <w:rPr>
          <w:lang w:bidi="hi-IN"/>
        </w:rPr>
        <w:t xml:space="preserve"> (5), 449–461. https://doi.org/10.1517/17460441.2015.1032936</w:t>
      </w:r>
    </w:p>
    <w:p w14:paraId="5B225780" w14:textId="77777777" w:rsidR="008A2546" w:rsidRPr="008A2546" w:rsidRDefault="008A2546" w:rsidP="008A2546">
      <w:pPr>
        <w:pStyle w:val="Bibliography"/>
        <w:rPr>
          <w:lang w:bidi="hi-IN"/>
        </w:rPr>
      </w:pPr>
      <w:r w:rsidRPr="008A2546">
        <w:rPr>
          <w:lang w:bidi="hi-IN"/>
        </w:rPr>
        <w:t>(35)</w:t>
      </w:r>
      <w:r w:rsidRPr="008A2546">
        <w:rPr>
          <w:lang w:bidi="hi-IN"/>
        </w:rPr>
        <w:tab/>
        <w:t xml:space="preserve">Kabsch, W. A Solution for the Best Rotation to Relate Two Sets of Vectors. </w:t>
      </w:r>
      <w:r w:rsidRPr="008A2546">
        <w:rPr>
          <w:i/>
          <w:iCs/>
          <w:lang w:bidi="hi-IN"/>
        </w:rPr>
        <w:t>Acta Crystallographica Section A</w:t>
      </w:r>
      <w:r w:rsidRPr="008A2546">
        <w:rPr>
          <w:lang w:bidi="hi-IN"/>
        </w:rPr>
        <w:t xml:space="preserve"> </w:t>
      </w:r>
      <w:r w:rsidRPr="008A2546">
        <w:rPr>
          <w:b/>
          <w:bCs/>
          <w:lang w:bidi="hi-IN"/>
        </w:rPr>
        <w:t>1976</w:t>
      </w:r>
      <w:r w:rsidRPr="008A2546">
        <w:rPr>
          <w:lang w:bidi="hi-IN"/>
        </w:rPr>
        <w:t xml:space="preserve">, </w:t>
      </w:r>
      <w:r w:rsidRPr="008A2546">
        <w:rPr>
          <w:i/>
          <w:iCs/>
          <w:lang w:bidi="hi-IN"/>
        </w:rPr>
        <w:t>32</w:t>
      </w:r>
      <w:r w:rsidRPr="008A2546">
        <w:rPr>
          <w:lang w:bidi="hi-IN"/>
        </w:rPr>
        <w:t xml:space="preserve"> (5), 922–923. https://doi.org/10.1107/S0567739476001873</w:t>
      </w:r>
    </w:p>
    <w:p w14:paraId="4F83B565" w14:textId="77777777" w:rsidR="008A2546" w:rsidRPr="008A2546" w:rsidRDefault="008A2546" w:rsidP="008A2546">
      <w:pPr>
        <w:pStyle w:val="Bibliography"/>
        <w:rPr>
          <w:lang w:bidi="hi-IN"/>
        </w:rPr>
      </w:pPr>
      <w:r w:rsidRPr="008A2546">
        <w:rPr>
          <w:lang w:bidi="hi-IN"/>
        </w:rPr>
        <w:t>(36)</w:t>
      </w:r>
      <w:r w:rsidRPr="008A2546">
        <w:rPr>
          <w:lang w:bidi="hi-IN"/>
        </w:rPr>
        <w:tab/>
        <w:t xml:space="preserve">Eastman, P.; Swails, J.; Chodera, J. D.; McGibbon, R. T.; Zhao, Y.; Beauchamp, K. A.; Wang, L.-P.; Simmonett, A. C.; Harrigan, M. P.; Stern, C. D.; Wiewiora, R. P.; Brooks, B. R.; Pande, V. S. OpenMM 7: Rapid Development of High Performance Algorithms for Molecular Dynamics. </w:t>
      </w:r>
      <w:r w:rsidRPr="008A2546">
        <w:rPr>
          <w:i/>
          <w:iCs/>
          <w:lang w:bidi="hi-IN"/>
        </w:rPr>
        <w:t>PLOS Computational Biology</w:t>
      </w:r>
      <w:r w:rsidRPr="008A2546">
        <w:rPr>
          <w:lang w:bidi="hi-IN"/>
        </w:rPr>
        <w:t xml:space="preserve"> </w:t>
      </w:r>
      <w:r w:rsidRPr="008A2546">
        <w:rPr>
          <w:b/>
          <w:bCs/>
          <w:lang w:bidi="hi-IN"/>
        </w:rPr>
        <w:t>2017</w:t>
      </w:r>
      <w:r w:rsidRPr="008A2546">
        <w:rPr>
          <w:lang w:bidi="hi-IN"/>
        </w:rPr>
        <w:t xml:space="preserve">, </w:t>
      </w:r>
      <w:r w:rsidRPr="008A2546">
        <w:rPr>
          <w:i/>
          <w:iCs/>
          <w:lang w:bidi="hi-IN"/>
        </w:rPr>
        <w:t>13</w:t>
      </w:r>
      <w:r w:rsidRPr="008A2546">
        <w:rPr>
          <w:lang w:bidi="hi-IN"/>
        </w:rPr>
        <w:t xml:space="preserve"> (7), e1005659. https://doi.org/10.1371/journal.pcbi.1005659</w:t>
      </w:r>
    </w:p>
    <w:p w14:paraId="0AD2D31D" w14:textId="77777777" w:rsidR="008A2546" w:rsidRPr="008A2546" w:rsidRDefault="008A2546" w:rsidP="008A2546">
      <w:pPr>
        <w:pStyle w:val="Bibliography"/>
        <w:rPr>
          <w:lang w:bidi="hi-IN"/>
        </w:rPr>
      </w:pPr>
      <w:r w:rsidRPr="008A2546">
        <w:rPr>
          <w:lang w:bidi="hi-IN"/>
        </w:rPr>
        <w:lastRenderedPageBreak/>
        <w:t>(37)</w:t>
      </w:r>
      <w:r w:rsidRPr="008A2546">
        <w:rPr>
          <w:lang w:bidi="hi-IN"/>
        </w:rPr>
        <w:tab/>
        <w:t xml:space="preserve">Maier, J. A.; Martinez, C.; Kasavajhala, K.; Wickstrom, L.; Hauser, K. E.; Simmerling, C. ff14SB: Improving the Accuracy of Protein Side Chain and Backbone Parameters from ff99SB. </w:t>
      </w:r>
      <w:r w:rsidRPr="008A2546">
        <w:rPr>
          <w:i/>
          <w:iCs/>
          <w:lang w:bidi="hi-IN"/>
        </w:rPr>
        <w:t>J. Chem. Theory Comput.</w:t>
      </w:r>
      <w:r w:rsidRPr="008A2546">
        <w:rPr>
          <w:lang w:bidi="hi-IN"/>
        </w:rPr>
        <w:t xml:space="preserve"> </w:t>
      </w:r>
      <w:r w:rsidRPr="008A2546">
        <w:rPr>
          <w:b/>
          <w:bCs/>
          <w:lang w:bidi="hi-IN"/>
        </w:rPr>
        <w:t>2015</w:t>
      </w:r>
      <w:r w:rsidRPr="008A2546">
        <w:rPr>
          <w:lang w:bidi="hi-IN"/>
        </w:rPr>
        <w:t xml:space="preserve">, </w:t>
      </w:r>
      <w:r w:rsidRPr="008A2546">
        <w:rPr>
          <w:i/>
          <w:iCs/>
          <w:lang w:bidi="hi-IN"/>
        </w:rPr>
        <w:t>11</w:t>
      </w:r>
      <w:r w:rsidRPr="008A2546">
        <w:rPr>
          <w:lang w:bidi="hi-IN"/>
        </w:rPr>
        <w:t xml:space="preserve"> (8), 3696–3713. https://doi.org/10.1021/acs.jctc.5b00255</w:t>
      </w:r>
    </w:p>
    <w:p w14:paraId="54F9B6D5" w14:textId="77777777" w:rsidR="008A2546" w:rsidRPr="008A2546" w:rsidRDefault="008A2546" w:rsidP="008A2546">
      <w:pPr>
        <w:pStyle w:val="Bibliography"/>
        <w:rPr>
          <w:lang w:bidi="hi-IN"/>
        </w:rPr>
      </w:pPr>
      <w:r w:rsidRPr="008A2546">
        <w:rPr>
          <w:lang w:bidi="hi-IN"/>
        </w:rPr>
        <w:t>(38)</w:t>
      </w:r>
      <w:r w:rsidRPr="008A2546">
        <w:rPr>
          <w:lang w:bidi="hi-IN"/>
        </w:rPr>
        <w:tab/>
        <w:t xml:space="preserve">Jorgensen, W. L.; Chandrasekhar, J.; Madura, J. D.; Impey, R. W.; Klein, M. L. Comparison of Simple Potential Functions for Simulating Liquid Water. </w:t>
      </w:r>
      <w:r w:rsidRPr="008A2546">
        <w:rPr>
          <w:i/>
          <w:iCs/>
          <w:lang w:bidi="hi-IN"/>
        </w:rPr>
        <w:t>J. Chem. Phys.</w:t>
      </w:r>
      <w:r w:rsidRPr="008A2546">
        <w:rPr>
          <w:lang w:bidi="hi-IN"/>
        </w:rPr>
        <w:t xml:space="preserve"> </w:t>
      </w:r>
      <w:r w:rsidRPr="008A2546">
        <w:rPr>
          <w:b/>
          <w:bCs/>
          <w:lang w:bidi="hi-IN"/>
        </w:rPr>
        <w:t>1983</w:t>
      </w:r>
      <w:r w:rsidRPr="008A2546">
        <w:rPr>
          <w:lang w:bidi="hi-IN"/>
        </w:rPr>
        <w:t xml:space="preserve">, </w:t>
      </w:r>
      <w:r w:rsidRPr="008A2546">
        <w:rPr>
          <w:i/>
          <w:iCs/>
          <w:lang w:bidi="hi-IN"/>
        </w:rPr>
        <w:t>79</w:t>
      </w:r>
      <w:r w:rsidRPr="008A2546">
        <w:rPr>
          <w:lang w:bidi="hi-IN"/>
        </w:rPr>
        <w:t xml:space="preserve"> (2), 926–935. https://doi.org/10.1063/1.445869</w:t>
      </w:r>
    </w:p>
    <w:p w14:paraId="0AE7E52B" w14:textId="77777777" w:rsidR="008A2546" w:rsidRPr="008A2546" w:rsidRDefault="008A2546" w:rsidP="008A2546">
      <w:pPr>
        <w:pStyle w:val="Bibliography"/>
        <w:rPr>
          <w:lang w:bidi="hi-IN"/>
        </w:rPr>
      </w:pPr>
      <w:r w:rsidRPr="008A2546">
        <w:rPr>
          <w:lang w:bidi="hi-IN"/>
        </w:rPr>
        <w:t>(39)</w:t>
      </w:r>
      <w:r w:rsidRPr="008A2546">
        <w:rPr>
          <w:lang w:bidi="hi-IN"/>
        </w:rPr>
        <w:tab/>
        <w:t xml:space="preserve">Mobley, D. L.; Bannan, C. C.; Rizzi, A.; Bayly, C. I.; Chodera, J. D.; Lim, V. T.; Lim, N. M.; Beauchamp, K. A.; Slochower, D. R.; Shirts, M. R.; Gilson, M. K.; Eastman, P. K. Escaping Atom Types in Force Fields Using Direct Chemical Perception. </w:t>
      </w:r>
      <w:r w:rsidRPr="008A2546">
        <w:rPr>
          <w:i/>
          <w:iCs/>
          <w:lang w:bidi="hi-IN"/>
        </w:rPr>
        <w:t>J. Chem. Theory Comput.</w:t>
      </w:r>
      <w:r w:rsidRPr="008A2546">
        <w:rPr>
          <w:lang w:bidi="hi-IN"/>
        </w:rPr>
        <w:t xml:space="preserve"> </w:t>
      </w:r>
      <w:r w:rsidRPr="008A2546">
        <w:rPr>
          <w:b/>
          <w:bCs/>
          <w:lang w:bidi="hi-IN"/>
        </w:rPr>
        <w:t>2018</w:t>
      </w:r>
      <w:r w:rsidRPr="008A2546">
        <w:rPr>
          <w:lang w:bidi="hi-IN"/>
        </w:rPr>
        <w:t xml:space="preserve">, </w:t>
      </w:r>
      <w:r w:rsidRPr="008A2546">
        <w:rPr>
          <w:i/>
          <w:iCs/>
          <w:lang w:bidi="hi-IN"/>
        </w:rPr>
        <w:t>14</w:t>
      </w:r>
      <w:r w:rsidRPr="008A2546">
        <w:rPr>
          <w:lang w:bidi="hi-IN"/>
        </w:rPr>
        <w:t xml:space="preserve"> (11), 6076–6092. https://doi.org/10.1021/acs.jctc.8b00640</w:t>
      </w:r>
    </w:p>
    <w:p w14:paraId="7D4F69A6" w14:textId="77777777" w:rsidR="008A2546" w:rsidRPr="008A2546" w:rsidRDefault="008A2546" w:rsidP="008A2546">
      <w:pPr>
        <w:pStyle w:val="Bibliography"/>
        <w:rPr>
          <w:lang w:bidi="hi-IN"/>
        </w:rPr>
      </w:pPr>
      <w:r w:rsidRPr="008A2546">
        <w:rPr>
          <w:lang w:bidi="hi-IN"/>
        </w:rPr>
        <w:t>(40)</w:t>
      </w:r>
      <w:r w:rsidRPr="008A2546">
        <w:rPr>
          <w:lang w:bidi="hi-IN"/>
        </w:rPr>
        <w:tab/>
        <w:t xml:space="preserve">Gasteiger, J.; Marsili, M. Iterative Partial Equalization of Orbital Electronegativity—a Rapid Access to Atomic Charges. </w:t>
      </w:r>
      <w:r w:rsidRPr="008A2546">
        <w:rPr>
          <w:i/>
          <w:iCs/>
          <w:lang w:bidi="hi-IN"/>
        </w:rPr>
        <w:t>Tetrahedron</w:t>
      </w:r>
      <w:r w:rsidRPr="008A2546">
        <w:rPr>
          <w:lang w:bidi="hi-IN"/>
        </w:rPr>
        <w:t xml:space="preserve"> </w:t>
      </w:r>
      <w:r w:rsidRPr="008A2546">
        <w:rPr>
          <w:b/>
          <w:bCs/>
          <w:lang w:bidi="hi-IN"/>
        </w:rPr>
        <w:t>1980</w:t>
      </w:r>
      <w:r w:rsidRPr="008A2546">
        <w:rPr>
          <w:lang w:bidi="hi-IN"/>
        </w:rPr>
        <w:t xml:space="preserve">, </w:t>
      </w:r>
      <w:r w:rsidRPr="008A2546">
        <w:rPr>
          <w:i/>
          <w:iCs/>
          <w:lang w:bidi="hi-IN"/>
        </w:rPr>
        <w:t>36</w:t>
      </w:r>
      <w:r w:rsidRPr="008A2546">
        <w:rPr>
          <w:lang w:bidi="hi-IN"/>
        </w:rPr>
        <w:t xml:space="preserve"> (22), 3219–3228. https://doi.org/10.1016/0040-4020(80)80168-2</w:t>
      </w:r>
    </w:p>
    <w:p w14:paraId="6A950CFF" w14:textId="77777777" w:rsidR="008A2546" w:rsidRPr="008A2546" w:rsidRDefault="008A2546" w:rsidP="008A2546">
      <w:pPr>
        <w:pStyle w:val="Bibliography"/>
        <w:rPr>
          <w:lang w:bidi="hi-IN"/>
        </w:rPr>
      </w:pPr>
      <w:r w:rsidRPr="008A2546">
        <w:rPr>
          <w:lang w:bidi="hi-IN"/>
        </w:rPr>
        <w:t>(41)</w:t>
      </w:r>
      <w:r w:rsidRPr="008A2546">
        <w:rPr>
          <w:lang w:bidi="hi-IN"/>
        </w:rPr>
        <w:tab/>
        <w:t>Darden, T.; York, D.; Pedersen, L. Particle Mesh Ewald: An N</w:t>
      </w:r>
      <w:r w:rsidRPr="008A2546">
        <w:rPr>
          <w:rFonts w:ascii="Cambria Math" w:hAnsi="Cambria Math" w:cs="Cambria Math"/>
          <w:lang w:bidi="hi-IN"/>
        </w:rPr>
        <w:t>⋅</w:t>
      </w:r>
      <w:r w:rsidRPr="008A2546">
        <w:rPr>
          <w:lang w:bidi="hi-IN"/>
        </w:rPr>
        <w:t xml:space="preserve">log(N) Method for Ewald Sums in Large Systems. </w:t>
      </w:r>
      <w:r w:rsidRPr="008A2546">
        <w:rPr>
          <w:i/>
          <w:iCs/>
          <w:lang w:bidi="hi-IN"/>
        </w:rPr>
        <w:t>J. Chem. Phys.</w:t>
      </w:r>
      <w:r w:rsidRPr="008A2546">
        <w:rPr>
          <w:lang w:bidi="hi-IN"/>
        </w:rPr>
        <w:t xml:space="preserve"> </w:t>
      </w:r>
      <w:r w:rsidRPr="008A2546">
        <w:rPr>
          <w:b/>
          <w:bCs/>
          <w:lang w:bidi="hi-IN"/>
        </w:rPr>
        <w:t>1993</w:t>
      </w:r>
      <w:r w:rsidRPr="008A2546">
        <w:rPr>
          <w:lang w:bidi="hi-IN"/>
        </w:rPr>
        <w:t xml:space="preserve">, </w:t>
      </w:r>
      <w:r w:rsidRPr="008A2546">
        <w:rPr>
          <w:i/>
          <w:iCs/>
          <w:lang w:bidi="hi-IN"/>
        </w:rPr>
        <w:t>98</w:t>
      </w:r>
      <w:r w:rsidRPr="008A2546">
        <w:rPr>
          <w:lang w:bidi="hi-IN"/>
        </w:rPr>
        <w:t xml:space="preserve"> (12), 10089–10092. https://doi.org/10.1063/1.464397</w:t>
      </w:r>
    </w:p>
    <w:p w14:paraId="7320910A" w14:textId="77777777" w:rsidR="008A2546" w:rsidRPr="008A2546" w:rsidRDefault="008A2546" w:rsidP="008A2546">
      <w:pPr>
        <w:pStyle w:val="Bibliography"/>
        <w:rPr>
          <w:lang w:bidi="hi-IN"/>
        </w:rPr>
      </w:pPr>
      <w:r w:rsidRPr="008A2546">
        <w:rPr>
          <w:lang w:bidi="hi-IN"/>
        </w:rPr>
        <w:t>(42)</w:t>
      </w:r>
      <w:r w:rsidRPr="008A2546">
        <w:rPr>
          <w:lang w:bidi="hi-IN"/>
        </w:rPr>
        <w:tab/>
        <w:t xml:space="preserve">Michaud-Agrawal, N.; Denning, E. J.; Woolf, T. B.; Beckstein, O. MDAnalysis: A Toolkit for the Analysis of Molecular Dynamics Simulations. </w:t>
      </w:r>
      <w:r w:rsidRPr="008A2546">
        <w:rPr>
          <w:i/>
          <w:iCs/>
          <w:lang w:bidi="hi-IN"/>
        </w:rPr>
        <w:t>Journal of Computational Chemistry</w:t>
      </w:r>
      <w:r w:rsidRPr="008A2546">
        <w:rPr>
          <w:lang w:bidi="hi-IN"/>
        </w:rPr>
        <w:t xml:space="preserve"> </w:t>
      </w:r>
      <w:r w:rsidRPr="008A2546">
        <w:rPr>
          <w:b/>
          <w:bCs/>
          <w:lang w:bidi="hi-IN"/>
        </w:rPr>
        <w:t>2011</w:t>
      </w:r>
      <w:r w:rsidRPr="008A2546">
        <w:rPr>
          <w:lang w:bidi="hi-IN"/>
        </w:rPr>
        <w:t xml:space="preserve">, </w:t>
      </w:r>
      <w:r w:rsidRPr="008A2546">
        <w:rPr>
          <w:i/>
          <w:iCs/>
          <w:lang w:bidi="hi-IN"/>
        </w:rPr>
        <w:t>32</w:t>
      </w:r>
      <w:r w:rsidRPr="008A2546">
        <w:rPr>
          <w:lang w:bidi="hi-IN"/>
        </w:rPr>
        <w:t xml:space="preserve"> (10), 2319–2327. https://doi.org/10.1002/jcc.21787</w:t>
      </w:r>
    </w:p>
    <w:p w14:paraId="436916E2" w14:textId="77777777" w:rsidR="008A2546" w:rsidRPr="008A2546" w:rsidRDefault="008A2546" w:rsidP="008A2546">
      <w:pPr>
        <w:pStyle w:val="Bibliography"/>
        <w:rPr>
          <w:lang w:bidi="hi-IN"/>
        </w:rPr>
      </w:pPr>
      <w:r w:rsidRPr="008A2546">
        <w:rPr>
          <w:lang w:bidi="hi-IN"/>
        </w:rPr>
        <w:t>(43)</w:t>
      </w:r>
      <w:r w:rsidRPr="008A2546">
        <w:rPr>
          <w:lang w:bidi="hi-IN"/>
        </w:rPr>
        <w:tab/>
        <w:t xml:space="preserve">McGibbon, R. T.; Beauchamp, K. A.; Harrigan, M. P.; Klein, C.; Swails, J. M.; Hernández, C. X.; Schwantes, C. R.; Wang, L.-P.; Lane, T. J.; Pande, V. S. MDTraj: A Modern Open Library for the Analysis of Molecular Dynamics Trajectories. </w:t>
      </w:r>
      <w:r w:rsidRPr="008A2546">
        <w:rPr>
          <w:i/>
          <w:iCs/>
          <w:lang w:bidi="hi-IN"/>
        </w:rPr>
        <w:t>Biophysical Journal</w:t>
      </w:r>
      <w:r w:rsidRPr="008A2546">
        <w:rPr>
          <w:lang w:bidi="hi-IN"/>
        </w:rPr>
        <w:t xml:space="preserve"> </w:t>
      </w:r>
      <w:r w:rsidRPr="008A2546">
        <w:rPr>
          <w:b/>
          <w:bCs/>
          <w:lang w:bidi="hi-IN"/>
        </w:rPr>
        <w:t>2015</w:t>
      </w:r>
      <w:r w:rsidRPr="008A2546">
        <w:rPr>
          <w:lang w:bidi="hi-IN"/>
        </w:rPr>
        <w:t xml:space="preserve">, </w:t>
      </w:r>
      <w:r w:rsidRPr="008A2546">
        <w:rPr>
          <w:i/>
          <w:iCs/>
          <w:lang w:bidi="hi-IN"/>
        </w:rPr>
        <w:t>109</w:t>
      </w:r>
      <w:r w:rsidRPr="008A2546">
        <w:rPr>
          <w:lang w:bidi="hi-IN"/>
        </w:rPr>
        <w:t xml:space="preserve"> (8), 1528–1532. https://doi.org/10.1016/j.bpj.2015.08.015</w:t>
      </w:r>
    </w:p>
    <w:p w14:paraId="319FA54F" w14:textId="77777777" w:rsidR="008A2546" w:rsidRPr="008A2546" w:rsidRDefault="008A2546" w:rsidP="008A2546">
      <w:pPr>
        <w:pStyle w:val="Bibliography"/>
        <w:rPr>
          <w:lang w:bidi="hi-IN"/>
        </w:rPr>
      </w:pPr>
      <w:r w:rsidRPr="008A2546">
        <w:rPr>
          <w:lang w:bidi="hi-IN"/>
        </w:rPr>
        <w:t>(44)</w:t>
      </w:r>
      <w:r w:rsidRPr="008A2546">
        <w:rPr>
          <w:lang w:bidi="hi-IN"/>
        </w:rPr>
        <w:tab/>
        <w:t xml:space="preserve">Massova, I.; Kollman, P. A. Combined Molecular Mechanical and Continuum Solvent Approach (MM-PBSA/GBSA) to Predict Ligand Binding. </w:t>
      </w:r>
      <w:r w:rsidRPr="008A2546">
        <w:rPr>
          <w:i/>
          <w:iCs/>
          <w:lang w:bidi="hi-IN"/>
        </w:rPr>
        <w:t>Perspectives in Drug Discovery and Design</w:t>
      </w:r>
      <w:r w:rsidRPr="008A2546">
        <w:rPr>
          <w:lang w:bidi="hi-IN"/>
        </w:rPr>
        <w:t xml:space="preserve"> </w:t>
      </w:r>
      <w:r w:rsidRPr="008A2546">
        <w:rPr>
          <w:b/>
          <w:bCs/>
          <w:lang w:bidi="hi-IN"/>
        </w:rPr>
        <w:t>2000</w:t>
      </w:r>
      <w:r w:rsidRPr="008A2546">
        <w:rPr>
          <w:lang w:bidi="hi-IN"/>
        </w:rPr>
        <w:t xml:space="preserve">, </w:t>
      </w:r>
      <w:r w:rsidRPr="008A2546">
        <w:rPr>
          <w:i/>
          <w:iCs/>
          <w:lang w:bidi="hi-IN"/>
        </w:rPr>
        <w:t>18</w:t>
      </w:r>
      <w:r w:rsidRPr="008A2546">
        <w:rPr>
          <w:lang w:bidi="hi-IN"/>
        </w:rPr>
        <w:t xml:space="preserve"> (1), 113–135. https://doi.org/10.1023/A:1008763014207</w:t>
      </w:r>
    </w:p>
    <w:p w14:paraId="54958CEF" w14:textId="77777777" w:rsidR="008A2546" w:rsidRPr="008A2546" w:rsidRDefault="008A2546" w:rsidP="008A2546">
      <w:pPr>
        <w:pStyle w:val="Bibliography"/>
        <w:rPr>
          <w:lang w:bidi="hi-IN"/>
        </w:rPr>
      </w:pPr>
      <w:r w:rsidRPr="008A2546">
        <w:rPr>
          <w:lang w:bidi="hi-IN"/>
        </w:rPr>
        <w:t>(45)</w:t>
      </w:r>
      <w:r w:rsidRPr="008A2546">
        <w:rPr>
          <w:lang w:bidi="hi-IN"/>
        </w:rPr>
        <w:tab/>
        <w:t xml:space="preserve">Onufriev, A.; Bashford, D.; Case, D. A. Exploring Protein Native States and Large-Scale Conformational Changes with a Modified Generalized Born Model. </w:t>
      </w:r>
      <w:r w:rsidRPr="008A2546">
        <w:rPr>
          <w:i/>
          <w:iCs/>
          <w:lang w:bidi="hi-IN"/>
        </w:rPr>
        <w:t>Proteins: Structure, Function, and Bioinformatics</w:t>
      </w:r>
      <w:r w:rsidRPr="008A2546">
        <w:rPr>
          <w:lang w:bidi="hi-IN"/>
        </w:rPr>
        <w:t xml:space="preserve"> </w:t>
      </w:r>
      <w:r w:rsidRPr="008A2546">
        <w:rPr>
          <w:b/>
          <w:bCs/>
          <w:lang w:bidi="hi-IN"/>
        </w:rPr>
        <w:t>2004</w:t>
      </w:r>
      <w:r w:rsidRPr="008A2546">
        <w:rPr>
          <w:lang w:bidi="hi-IN"/>
        </w:rPr>
        <w:t xml:space="preserve">, </w:t>
      </w:r>
      <w:r w:rsidRPr="008A2546">
        <w:rPr>
          <w:i/>
          <w:iCs/>
          <w:lang w:bidi="hi-IN"/>
        </w:rPr>
        <w:t>55</w:t>
      </w:r>
      <w:r w:rsidRPr="008A2546">
        <w:rPr>
          <w:lang w:bidi="hi-IN"/>
        </w:rPr>
        <w:t xml:space="preserve"> (2), 383–394. https://doi.org/10.1002/prot.20033</w:t>
      </w:r>
    </w:p>
    <w:p w14:paraId="084C805F" w14:textId="77777777" w:rsidR="008A2546" w:rsidRPr="008A2546" w:rsidRDefault="008A2546" w:rsidP="008A2546">
      <w:pPr>
        <w:pStyle w:val="Bibliography"/>
        <w:rPr>
          <w:lang w:bidi="hi-IN"/>
        </w:rPr>
      </w:pPr>
      <w:r w:rsidRPr="008A2546">
        <w:rPr>
          <w:lang w:bidi="hi-IN"/>
        </w:rPr>
        <w:t>(46)</w:t>
      </w:r>
      <w:r w:rsidRPr="008A2546">
        <w:rPr>
          <w:lang w:bidi="hi-IN"/>
        </w:rPr>
        <w:tab/>
        <w:t xml:space="preserve">Gapsys, V.; Michielssens, S.; Seeliger, D.; de Groot, B. L. Pmx: Automated Protein Structure and Topology Generation for Alchemical Perturbations. </w:t>
      </w:r>
      <w:r w:rsidRPr="008A2546">
        <w:rPr>
          <w:i/>
          <w:iCs/>
          <w:lang w:bidi="hi-IN"/>
        </w:rPr>
        <w:t>Journal of Computational Chemistry</w:t>
      </w:r>
      <w:r w:rsidRPr="008A2546">
        <w:rPr>
          <w:lang w:bidi="hi-IN"/>
        </w:rPr>
        <w:t xml:space="preserve"> </w:t>
      </w:r>
      <w:r w:rsidRPr="008A2546">
        <w:rPr>
          <w:b/>
          <w:bCs/>
          <w:lang w:bidi="hi-IN"/>
        </w:rPr>
        <w:t>2015</w:t>
      </w:r>
      <w:r w:rsidRPr="008A2546">
        <w:rPr>
          <w:lang w:bidi="hi-IN"/>
        </w:rPr>
        <w:t xml:space="preserve">, </w:t>
      </w:r>
      <w:r w:rsidRPr="008A2546">
        <w:rPr>
          <w:i/>
          <w:iCs/>
          <w:lang w:bidi="hi-IN"/>
        </w:rPr>
        <w:t>36</w:t>
      </w:r>
      <w:r w:rsidRPr="008A2546">
        <w:rPr>
          <w:lang w:bidi="hi-IN"/>
        </w:rPr>
        <w:t xml:space="preserve"> (5), 348–354. https://doi.org/10.1002/jcc.23804</w:t>
      </w:r>
    </w:p>
    <w:p w14:paraId="79E5844A" w14:textId="77777777" w:rsidR="008A2546" w:rsidRPr="008A2546" w:rsidRDefault="008A2546" w:rsidP="008A2546">
      <w:pPr>
        <w:pStyle w:val="Bibliography"/>
        <w:rPr>
          <w:lang w:bidi="hi-IN"/>
        </w:rPr>
      </w:pPr>
      <w:r w:rsidRPr="008A2546">
        <w:rPr>
          <w:lang w:bidi="hi-IN"/>
        </w:rPr>
        <w:t>(47)</w:t>
      </w:r>
      <w:r w:rsidRPr="008A2546">
        <w:rPr>
          <w:lang w:bidi="hi-IN"/>
        </w:rPr>
        <w:tab/>
        <w:t xml:space="preserve">Abraham, M. J.; Murtola, T.; Schulz, R.; Páll, S.; Smith, J. C.; Hess, B.; Lindahl, E. GROMACS: High Performance Molecular Simulations through Multi-Level Parallelism from Laptops to Supercomputers. </w:t>
      </w:r>
      <w:r w:rsidRPr="008A2546">
        <w:rPr>
          <w:i/>
          <w:iCs/>
          <w:lang w:bidi="hi-IN"/>
        </w:rPr>
        <w:t>SoftwareX</w:t>
      </w:r>
      <w:r w:rsidRPr="008A2546">
        <w:rPr>
          <w:lang w:bidi="hi-IN"/>
        </w:rPr>
        <w:t xml:space="preserve"> </w:t>
      </w:r>
      <w:r w:rsidRPr="008A2546">
        <w:rPr>
          <w:b/>
          <w:bCs/>
          <w:lang w:bidi="hi-IN"/>
        </w:rPr>
        <w:t>2015</w:t>
      </w:r>
      <w:r w:rsidRPr="008A2546">
        <w:rPr>
          <w:lang w:bidi="hi-IN"/>
        </w:rPr>
        <w:t xml:space="preserve">, </w:t>
      </w:r>
      <w:r w:rsidRPr="008A2546">
        <w:rPr>
          <w:i/>
          <w:iCs/>
          <w:lang w:bidi="hi-IN"/>
        </w:rPr>
        <w:t>1–2</w:t>
      </w:r>
      <w:r w:rsidRPr="008A2546">
        <w:rPr>
          <w:lang w:bidi="hi-IN"/>
        </w:rPr>
        <w:t>, 19–25. https://doi.org/10.1016/j.softx.2015.06.001</w:t>
      </w:r>
    </w:p>
    <w:p w14:paraId="75110B88" w14:textId="77777777" w:rsidR="008A2546" w:rsidRPr="008A2546" w:rsidRDefault="008A2546" w:rsidP="008A2546">
      <w:pPr>
        <w:pStyle w:val="Bibliography"/>
        <w:rPr>
          <w:lang w:bidi="hi-IN"/>
        </w:rPr>
      </w:pPr>
      <w:r w:rsidRPr="008A2546">
        <w:rPr>
          <w:lang w:bidi="hi-IN"/>
        </w:rPr>
        <w:lastRenderedPageBreak/>
        <w:t>(48)</w:t>
      </w:r>
      <w:r w:rsidRPr="008A2546">
        <w:rPr>
          <w:lang w:bidi="hi-IN"/>
        </w:rPr>
        <w:tab/>
        <w:t xml:space="preserve">Gapsys, V.; Seeliger, D.; de Groot, B. L. New Soft-Core Potential Function for Molecular Dynamics Based Alchemical Free Energy Calculations. </w:t>
      </w:r>
      <w:r w:rsidRPr="008A2546">
        <w:rPr>
          <w:i/>
          <w:iCs/>
          <w:lang w:bidi="hi-IN"/>
        </w:rPr>
        <w:t>J. Chem. Theory Comput.</w:t>
      </w:r>
      <w:r w:rsidRPr="008A2546">
        <w:rPr>
          <w:lang w:bidi="hi-IN"/>
        </w:rPr>
        <w:t xml:space="preserve"> </w:t>
      </w:r>
      <w:r w:rsidRPr="008A2546">
        <w:rPr>
          <w:b/>
          <w:bCs/>
          <w:lang w:bidi="hi-IN"/>
        </w:rPr>
        <w:t>2012</w:t>
      </w:r>
      <w:r w:rsidRPr="008A2546">
        <w:rPr>
          <w:lang w:bidi="hi-IN"/>
        </w:rPr>
        <w:t xml:space="preserve">, </w:t>
      </w:r>
      <w:r w:rsidRPr="008A2546">
        <w:rPr>
          <w:i/>
          <w:iCs/>
          <w:lang w:bidi="hi-IN"/>
        </w:rPr>
        <w:t>8</w:t>
      </w:r>
      <w:r w:rsidRPr="008A2546">
        <w:rPr>
          <w:lang w:bidi="hi-IN"/>
        </w:rPr>
        <w:t xml:space="preserve"> (7), 2373–2382. https://doi.org/10.1021/ct300220p</w:t>
      </w:r>
    </w:p>
    <w:p w14:paraId="29F45BF7" w14:textId="77777777" w:rsidR="008A2546" w:rsidRPr="008A2546" w:rsidRDefault="008A2546" w:rsidP="008A2546">
      <w:pPr>
        <w:pStyle w:val="Bibliography"/>
        <w:rPr>
          <w:lang w:bidi="hi-IN"/>
        </w:rPr>
      </w:pPr>
      <w:r w:rsidRPr="008A2546">
        <w:rPr>
          <w:lang w:bidi="hi-IN"/>
        </w:rPr>
        <w:t>(49)</w:t>
      </w:r>
      <w:r w:rsidRPr="008A2546">
        <w:rPr>
          <w:lang w:bidi="hi-IN"/>
        </w:rPr>
        <w:tab/>
        <w:t xml:space="preserve">Jarzynski, C. Nonequilibrium Equality for Free Energy Differences. </w:t>
      </w:r>
      <w:r w:rsidRPr="008A2546">
        <w:rPr>
          <w:i/>
          <w:iCs/>
          <w:lang w:bidi="hi-IN"/>
        </w:rPr>
        <w:t>Phys. Rev. Lett.</w:t>
      </w:r>
      <w:r w:rsidRPr="008A2546">
        <w:rPr>
          <w:lang w:bidi="hi-IN"/>
        </w:rPr>
        <w:t xml:space="preserve"> </w:t>
      </w:r>
      <w:r w:rsidRPr="008A2546">
        <w:rPr>
          <w:b/>
          <w:bCs/>
          <w:lang w:bidi="hi-IN"/>
        </w:rPr>
        <w:t>1997</w:t>
      </w:r>
      <w:r w:rsidRPr="008A2546">
        <w:rPr>
          <w:lang w:bidi="hi-IN"/>
        </w:rPr>
        <w:t xml:space="preserve">, </w:t>
      </w:r>
      <w:r w:rsidRPr="008A2546">
        <w:rPr>
          <w:i/>
          <w:iCs/>
          <w:lang w:bidi="hi-IN"/>
        </w:rPr>
        <w:t>78</w:t>
      </w:r>
      <w:r w:rsidRPr="008A2546">
        <w:rPr>
          <w:lang w:bidi="hi-IN"/>
        </w:rPr>
        <w:t xml:space="preserve"> (14), 2690–2693. https://doi.org/10.1103/PhysRevLett.78.2690</w:t>
      </w:r>
    </w:p>
    <w:p w14:paraId="1E78DA70" w14:textId="77777777" w:rsidR="008A2546" w:rsidRPr="008A2546" w:rsidRDefault="008A2546" w:rsidP="008A2546">
      <w:pPr>
        <w:pStyle w:val="Bibliography"/>
        <w:rPr>
          <w:lang w:bidi="hi-IN"/>
        </w:rPr>
      </w:pPr>
      <w:r w:rsidRPr="008A2546">
        <w:rPr>
          <w:lang w:bidi="hi-IN"/>
        </w:rPr>
        <w:t>(50)</w:t>
      </w:r>
      <w:r w:rsidRPr="008A2546">
        <w:rPr>
          <w:lang w:bidi="hi-IN"/>
        </w:rPr>
        <w:tab/>
        <w:t xml:space="preserve">Crooks, G. E. Entropy Production Fluctuation Theorem and the Nonequilibrium Work Relation for Free Energy Differences. </w:t>
      </w:r>
      <w:r w:rsidRPr="008A2546">
        <w:rPr>
          <w:i/>
          <w:iCs/>
          <w:lang w:bidi="hi-IN"/>
        </w:rPr>
        <w:t>Phys. Rev. E</w:t>
      </w:r>
      <w:r w:rsidRPr="008A2546">
        <w:rPr>
          <w:lang w:bidi="hi-IN"/>
        </w:rPr>
        <w:t xml:space="preserve"> </w:t>
      </w:r>
      <w:r w:rsidRPr="008A2546">
        <w:rPr>
          <w:b/>
          <w:bCs/>
          <w:lang w:bidi="hi-IN"/>
        </w:rPr>
        <w:t>1999</w:t>
      </w:r>
      <w:r w:rsidRPr="008A2546">
        <w:rPr>
          <w:lang w:bidi="hi-IN"/>
        </w:rPr>
        <w:t xml:space="preserve">, </w:t>
      </w:r>
      <w:r w:rsidRPr="008A2546">
        <w:rPr>
          <w:i/>
          <w:iCs/>
          <w:lang w:bidi="hi-IN"/>
        </w:rPr>
        <w:t>60</w:t>
      </w:r>
      <w:r w:rsidRPr="008A2546">
        <w:rPr>
          <w:lang w:bidi="hi-IN"/>
        </w:rPr>
        <w:t xml:space="preserve"> (3), 2721–2726. https://doi.org/10.1103/PhysRevE.60.2721</w:t>
      </w:r>
    </w:p>
    <w:p w14:paraId="1D60CE03" w14:textId="77777777" w:rsidR="008A2546" w:rsidRPr="008A2546" w:rsidRDefault="008A2546" w:rsidP="008A2546">
      <w:pPr>
        <w:pStyle w:val="Bibliography"/>
        <w:rPr>
          <w:lang w:bidi="hi-IN"/>
        </w:rPr>
      </w:pPr>
      <w:r w:rsidRPr="008A2546">
        <w:rPr>
          <w:lang w:bidi="hi-IN"/>
        </w:rPr>
        <w:t>(51)</w:t>
      </w:r>
      <w:r w:rsidRPr="008A2546">
        <w:rPr>
          <w:lang w:bidi="hi-IN"/>
        </w:rPr>
        <w:tab/>
        <w:t xml:space="preserve">Bernetti, M.; Bussi, G. Pressure Control Using Stochastic Cell Rescaling. </w:t>
      </w:r>
      <w:r w:rsidRPr="008A2546">
        <w:rPr>
          <w:i/>
          <w:iCs/>
          <w:lang w:bidi="hi-IN"/>
        </w:rPr>
        <w:t>J. Chem. Phys.</w:t>
      </w:r>
      <w:r w:rsidRPr="008A2546">
        <w:rPr>
          <w:lang w:bidi="hi-IN"/>
        </w:rPr>
        <w:t xml:space="preserve"> </w:t>
      </w:r>
      <w:r w:rsidRPr="008A2546">
        <w:rPr>
          <w:b/>
          <w:bCs/>
          <w:lang w:bidi="hi-IN"/>
        </w:rPr>
        <w:t>2020</w:t>
      </w:r>
      <w:r w:rsidRPr="008A2546">
        <w:rPr>
          <w:lang w:bidi="hi-IN"/>
        </w:rPr>
        <w:t xml:space="preserve">, </w:t>
      </w:r>
      <w:r w:rsidRPr="008A2546">
        <w:rPr>
          <w:i/>
          <w:iCs/>
          <w:lang w:bidi="hi-IN"/>
        </w:rPr>
        <w:t>153</w:t>
      </w:r>
      <w:r w:rsidRPr="008A2546">
        <w:rPr>
          <w:lang w:bidi="hi-IN"/>
        </w:rPr>
        <w:t xml:space="preserve"> (11), 114107. https://doi.org/10.1063/5.0020514</w:t>
      </w:r>
    </w:p>
    <w:p w14:paraId="25CBFBF8" w14:textId="77777777" w:rsidR="008A2546" w:rsidRPr="008A2546" w:rsidRDefault="008A2546" w:rsidP="008A2546">
      <w:pPr>
        <w:pStyle w:val="Bibliography"/>
        <w:rPr>
          <w:lang w:bidi="hi-IN"/>
        </w:rPr>
      </w:pPr>
      <w:r w:rsidRPr="008A2546">
        <w:rPr>
          <w:lang w:bidi="hi-IN"/>
        </w:rPr>
        <w:t>(52)</w:t>
      </w:r>
      <w:r w:rsidRPr="008A2546">
        <w:rPr>
          <w:lang w:bidi="hi-IN"/>
        </w:rPr>
        <w:tab/>
        <w:t xml:space="preserve">Bennett, C. H. Efficient Estimation of Free Energy Differences from Monte Carlo Data. </w:t>
      </w:r>
      <w:r w:rsidRPr="008A2546">
        <w:rPr>
          <w:i/>
          <w:iCs/>
          <w:lang w:bidi="hi-IN"/>
        </w:rPr>
        <w:t>Journal of Computational Physics</w:t>
      </w:r>
      <w:r w:rsidRPr="008A2546">
        <w:rPr>
          <w:lang w:bidi="hi-IN"/>
        </w:rPr>
        <w:t xml:space="preserve"> </w:t>
      </w:r>
      <w:r w:rsidRPr="008A2546">
        <w:rPr>
          <w:b/>
          <w:bCs/>
          <w:lang w:bidi="hi-IN"/>
        </w:rPr>
        <w:t>1976</w:t>
      </w:r>
      <w:r w:rsidRPr="008A2546">
        <w:rPr>
          <w:lang w:bidi="hi-IN"/>
        </w:rPr>
        <w:t xml:space="preserve">, </w:t>
      </w:r>
      <w:r w:rsidRPr="008A2546">
        <w:rPr>
          <w:i/>
          <w:iCs/>
          <w:lang w:bidi="hi-IN"/>
        </w:rPr>
        <w:t>22</w:t>
      </w:r>
      <w:r w:rsidRPr="008A2546">
        <w:rPr>
          <w:lang w:bidi="hi-IN"/>
        </w:rPr>
        <w:t xml:space="preserve"> (2), 245–268. https://doi.org/10.1016/0021-9991(76)90078-4</w:t>
      </w:r>
    </w:p>
    <w:p w14:paraId="1D8E1962" w14:textId="77777777" w:rsidR="008A2546" w:rsidRPr="008A2546" w:rsidRDefault="008A2546" w:rsidP="008A2546">
      <w:pPr>
        <w:pStyle w:val="Bibliography"/>
        <w:rPr>
          <w:lang w:bidi="hi-IN"/>
        </w:rPr>
      </w:pPr>
      <w:r w:rsidRPr="008A2546">
        <w:rPr>
          <w:lang w:bidi="hi-IN"/>
        </w:rPr>
        <w:t>(53)</w:t>
      </w:r>
      <w:r w:rsidRPr="008A2546">
        <w:rPr>
          <w:lang w:bidi="hi-IN"/>
        </w:rPr>
        <w:tab/>
        <w:t xml:space="preserve">Rocklin, G. J.; Mobley, D. L.; Dill, K. A.; Hünenberger, P. H. Calculating the Binding Free Energies of Charged Species Based on Explicit-Solvent Simulations Employing Lattice-Sum Methods: An Accurate Correction Scheme for Electrostatic Finite-Size Effects. </w:t>
      </w:r>
      <w:r w:rsidRPr="008A2546">
        <w:rPr>
          <w:i/>
          <w:iCs/>
          <w:lang w:bidi="hi-IN"/>
        </w:rPr>
        <w:t>J. Chem. Phys.</w:t>
      </w:r>
      <w:r w:rsidRPr="008A2546">
        <w:rPr>
          <w:lang w:bidi="hi-IN"/>
        </w:rPr>
        <w:t xml:space="preserve"> </w:t>
      </w:r>
      <w:r w:rsidRPr="008A2546">
        <w:rPr>
          <w:b/>
          <w:bCs/>
          <w:lang w:bidi="hi-IN"/>
        </w:rPr>
        <w:t>2013</w:t>
      </w:r>
      <w:r w:rsidRPr="008A2546">
        <w:rPr>
          <w:lang w:bidi="hi-IN"/>
        </w:rPr>
        <w:t xml:space="preserve">, </w:t>
      </w:r>
      <w:r w:rsidRPr="008A2546">
        <w:rPr>
          <w:i/>
          <w:iCs/>
          <w:lang w:bidi="hi-IN"/>
        </w:rPr>
        <w:t>139</w:t>
      </w:r>
      <w:r w:rsidRPr="008A2546">
        <w:rPr>
          <w:lang w:bidi="hi-IN"/>
        </w:rPr>
        <w:t xml:space="preserve"> (18), 184103. https://doi.org/10.1063/1.4826261</w:t>
      </w:r>
    </w:p>
    <w:p w14:paraId="6F709898" w14:textId="77777777" w:rsidR="008A2546" w:rsidRPr="008A2546" w:rsidRDefault="008A2546" w:rsidP="008A2546">
      <w:pPr>
        <w:pStyle w:val="Bibliography"/>
        <w:rPr>
          <w:lang w:bidi="hi-IN"/>
        </w:rPr>
      </w:pPr>
      <w:r w:rsidRPr="008A2546">
        <w:rPr>
          <w:lang w:bidi="hi-IN"/>
        </w:rPr>
        <w:t>(54)</w:t>
      </w:r>
      <w:r w:rsidRPr="008A2546">
        <w:rPr>
          <w:lang w:bidi="hi-IN"/>
        </w:rPr>
        <w:tab/>
        <w:t xml:space="preserve">Orkin, C.; Kuritzkes, D. R.; Katlama, C.; Su, F.-H.; Plank, R. M.; Lahoulou, R.; Asante-Appiah, E. Doravirine Resistance Patterns Identified Through Week 192 in the DRIVE-FORWARD and DRIVE-AHEAD Phase 3 Clinical Trials. </w:t>
      </w:r>
      <w:r w:rsidRPr="008A2546">
        <w:rPr>
          <w:i/>
          <w:iCs/>
          <w:lang w:bidi="hi-IN"/>
        </w:rPr>
        <w:t>J Acquir Immune Defic Syndr</w:t>
      </w:r>
      <w:r w:rsidRPr="008A2546">
        <w:rPr>
          <w:lang w:bidi="hi-IN"/>
        </w:rPr>
        <w:t xml:space="preserve"> </w:t>
      </w:r>
      <w:r w:rsidRPr="008A2546">
        <w:rPr>
          <w:b/>
          <w:bCs/>
          <w:lang w:bidi="hi-IN"/>
        </w:rPr>
        <w:t>2026</w:t>
      </w:r>
      <w:r w:rsidRPr="008A2546">
        <w:rPr>
          <w:lang w:bidi="hi-IN"/>
        </w:rPr>
        <w:t xml:space="preserve">, </w:t>
      </w:r>
      <w:r w:rsidRPr="008A2546">
        <w:rPr>
          <w:i/>
          <w:iCs/>
          <w:lang w:bidi="hi-IN"/>
        </w:rPr>
        <w:t>101</w:t>
      </w:r>
      <w:r w:rsidRPr="008A2546">
        <w:rPr>
          <w:lang w:bidi="hi-IN"/>
        </w:rPr>
        <w:t xml:space="preserve"> (3), 308–315. https://doi.org/10.1097/QAI.0000000000003787</w:t>
      </w:r>
    </w:p>
    <w:p w14:paraId="4D9AF0CF" w14:textId="77777777" w:rsidR="008A2546" w:rsidRPr="008A2546" w:rsidRDefault="008A2546" w:rsidP="008A2546">
      <w:pPr>
        <w:pStyle w:val="Bibliography"/>
        <w:rPr>
          <w:lang w:bidi="hi-IN"/>
        </w:rPr>
      </w:pPr>
      <w:r w:rsidRPr="008A2546">
        <w:rPr>
          <w:lang w:bidi="hi-IN"/>
        </w:rPr>
        <w:t>(55)</w:t>
      </w:r>
      <w:r w:rsidRPr="008A2546">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8A2546">
        <w:rPr>
          <w:i/>
          <w:iCs/>
          <w:lang w:bidi="hi-IN"/>
        </w:rPr>
        <w:t>Antimicrobial Agents and Chemotherapy</w:t>
      </w:r>
      <w:r w:rsidRPr="008A2546">
        <w:rPr>
          <w:lang w:bidi="hi-IN"/>
        </w:rPr>
        <w:t xml:space="preserve"> </w:t>
      </w:r>
      <w:r w:rsidRPr="008A2546">
        <w:rPr>
          <w:b/>
          <w:bCs/>
          <w:lang w:bidi="hi-IN"/>
        </w:rPr>
        <w:t>2021</w:t>
      </w:r>
      <w:r w:rsidRPr="008A2546">
        <w:rPr>
          <w:lang w:bidi="hi-IN"/>
        </w:rPr>
        <w:t xml:space="preserve">, </w:t>
      </w:r>
      <w:r w:rsidRPr="008A2546">
        <w:rPr>
          <w:i/>
          <w:iCs/>
          <w:lang w:bidi="hi-IN"/>
        </w:rPr>
        <w:t>65</w:t>
      </w:r>
      <w:r w:rsidRPr="008A2546">
        <w:rPr>
          <w:lang w:bidi="hi-IN"/>
        </w:rPr>
        <w:t xml:space="preserve"> (12), 10.1128/aac.01216-21. https://doi.org/10.1128/aac.01216-21</w:t>
      </w:r>
    </w:p>
    <w:p w14:paraId="4C151D20" w14:textId="77777777" w:rsidR="008A2546" w:rsidRPr="008A2546" w:rsidRDefault="008A2546" w:rsidP="008A2546">
      <w:pPr>
        <w:pStyle w:val="Bibliography"/>
        <w:rPr>
          <w:lang w:bidi="hi-IN"/>
        </w:rPr>
      </w:pPr>
      <w:r w:rsidRPr="008A2546">
        <w:rPr>
          <w:lang w:bidi="hi-IN"/>
        </w:rPr>
        <w:t>(56)</w:t>
      </w:r>
      <w:r w:rsidRPr="008A2546">
        <w:rPr>
          <w:lang w:bidi="hi-IN"/>
        </w:rPr>
        <w:tab/>
        <w:t xml:space="preserve">Lai, M.-T.; Xu, M.; Ngo, W.; Feng, M.; Graham, D.; Wang, J.; Hazuda, D. J.; Hanna, G. J.; Kumar, S.; Xu, X.; Martin, E.; Hwang, C. </w:t>
      </w:r>
      <w:r w:rsidRPr="008A2546">
        <w:rPr>
          <w:i/>
          <w:iCs/>
          <w:lang w:bidi="hi-IN"/>
        </w:rPr>
        <w:t>Characterization of Doravirine-Selected Resistance Patterns From Participants in Treatment-Naïve Phase 3 Clinical Trials</w:t>
      </w:r>
      <w:r w:rsidRPr="008A2546">
        <w:rPr>
          <w:lang w:bidi="hi-IN"/>
        </w:rPr>
        <w:t>. https://www.natap.org/2018/IAC/IAC_54.htm (accessed 2026-05-24)</w:t>
      </w:r>
    </w:p>
    <w:p w14:paraId="610B2BFD" w14:textId="77777777" w:rsidR="008A2546" w:rsidRPr="008A2546" w:rsidRDefault="008A2546" w:rsidP="008A2546">
      <w:pPr>
        <w:pStyle w:val="Bibliography"/>
        <w:rPr>
          <w:lang w:bidi="hi-IN"/>
        </w:rPr>
      </w:pPr>
      <w:r w:rsidRPr="008A2546">
        <w:rPr>
          <w:lang w:bidi="hi-IN"/>
        </w:rPr>
        <w:t>(57)</w:t>
      </w:r>
      <w:r w:rsidRPr="008A2546">
        <w:rPr>
          <w:lang w:bidi="hi-IN"/>
        </w:rPr>
        <w:tab/>
        <w:t xml:space="preserve">Hazuda, D. J.; Xu, M.; Ngo, W.; Feng, M.; Hwang, C.; Grobler, J. A.; Lai, M.-T. </w:t>
      </w:r>
      <w:r w:rsidRPr="008A2546">
        <w:rPr>
          <w:i/>
          <w:iCs/>
          <w:lang w:bidi="hi-IN"/>
        </w:rPr>
        <w:t>Understanding the Resistance Profile of the HIV-1 NNRTI Doravirine in Combination With the Novel NRTTI MK-8591</w:t>
      </w:r>
      <w:r w:rsidRPr="008A2546">
        <w:rPr>
          <w:lang w:bidi="hi-IN"/>
        </w:rPr>
        <w:t>. https://www.natap.org/2018/IAC/IAC_48.htm (accessed 2026-05-24)</w:t>
      </w:r>
    </w:p>
    <w:p w14:paraId="04A3812D" w14:textId="77777777" w:rsidR="008A2546" w:rsidRPr="008A2546" w:rsidRDefault="008A2546" w:rsidP="008A2546">
      <w:pPr>
        <w:pStyle w:val="Bibliography"/>
        <w:rPr>
          <w:lang w:bidi="hi-IN"/>
        </w:rPr>
      </w:pPr>
      <w:r w:rsidRPr="008A2546">
        <w:rPr>
          <w:lang w:bidi="hi-IN"/>
        </w:rPr>
        <w:t>(58)</w:t>
      </w:r>
      <w:r w:rsidRPr="008A2546">
        <w:rPr>
          <w:lang w:bidi="hi-IN"/>
        </w:rPr>
        <w:tab/>
        <w:t xml:space="preserve">Smith, S. J.; Pauly, G. T.; Akram, A.; Melody, K.; Ambrose, Z.; Schneider, J. P.; Hughes, S. H. Rilpivirine and Doravirine Have Complementary Efficacies Against NNRTI-Resistant HIV-1 Mutants. </w:t>
      </w:r>
      <w:r w:rsidRPr="008A2546">
        <w:rPr>
          <w:i/>
          <w:iCs/>
          <w:lang w:bidi="hi-IN"/>
        </w:rPr>
        <w:t>JAIDS Journal of Acquired Immune Deficiency Syndromes</w:t>
      </w:r>
      <w:r w:rsidRPr="008A2546">
        <w:rPr>
          <w:lang w:bidi="hi-IN"/>
        </w:rPr>
        <w:t xml:space="preserve"> </w:t>
      </w:r>
      <w:r w:rsidRPr="008A2546">
        <w:rPr>
          <w:b/>
          <w:bCs/>
          <w:lang w:bidi="hi-IN"/>
        </w:rPr>
        <w:t>2016</w:t>
      </w:r>
      <w:r w:rsidRPr="008A2546">
        <w:rPr>
          <w:lang w:bidi="hi-IN"/>
        </w:rPr>
        <w:t xml:space="preserve">, </w:t>
      </w:r>
      <w:r w:rsidRPr="008A2546">
        <w:rPr>
          <w:i/>
          <w:iCs/>
          <w:lang w:bidi="hi-IN"/>
        </w:rPr>
        <w:t>72</w:t>
      </w:r>
      <w:r w:rsidRPr="008A2546">
        <w:rPr>
          <w:lang w:bidi="hi-IN"/>
        </w:rPr>
        <w:t xml:space="preserve"> (5), 485. https://doi.org/10.1097/QAI.0000000000001031</w:t>
      </w:r>
    </w:p>
    <w:p w14:paraId="0F9F3CEB" w14:textId="77777777" w:rsidR="008A2546" w:rsidRPr="008A2546" w:rsidRDefault="008A2546" w:rsidP="008A2546">
      <w:pPr>
        <w:pStyle w:val="Bibliography"/>
        <w:rPr>
          <w:lang w:bidi="hi-IN"/>
        </w:rPr>
      </w:pPr>
      <w:r w:rsidRPr="008A2546">
        <w:rPr>
          <w:lang w:bidi="hi-IN"/>
        </w:rPr>
        <w:lastRenderedPageBreak/>
        <w:t>(59)</w:t>
      </w:r>
      <w:r w:rsidRPr="008A2546">
        <w:rPr>
          <w:lang w:bidi="hi-IN"/>
        </w:rPr>
        <w:tab/>
        <w:t xml:space="preserve">Kellinger, M. W.; Johnson, K. A. Nucleotide-Dependent Conformational Change Governs Specificity and Analog Discrimination by HIV Reverse Transcriptase. </w:t>
      </w:r>
      <w:r w:rsidRPr="008A2546">
        <w:rPr>
          <w:i/>
          <w:iCs/>
          <w:lang w:bidi="hi-IN"/>
        </w:rPr>
        <w:t>Proceedings of the National Academy of Sciences</w:t>
      </w:r>
      <w:r w:rsidRPr="008A2546">
        <w:rPr>
          <w:lang w:bidi="hi-IN"/>
        </w:rPr>
        <w:t xml:space="preserve"> </w:t>
      </w:r>
      <w:r w:rsidRPr="008A2546">
        <w:rPr>
          <w:b/>
          <w:bCs/>
          <w:lang w:bidi="hi-IN"/>
        </w:rPr>
        <w:t>2010</w:t>
      </w:r>
      <w:r w:rsidRPr="008A2546">
        <w:rPr>
          <w:lang w:bidi="hi-IN"/>
        </w:rPr>
        <w:t xml:space="preserve">, </w:t>
      </w:r>
      <w:r w:rsidRPr="008A2546">
        <w:rPr>
          <w:i/>
          <w:iCs/>
          <w:lang w:bidi="hi-IN"/>
        </w:rPr>
        <w:t>107</w:t>
      </w:r>
      <w:r w:rsidRPr="008A2546">
        <w:rPr>
          <w:lang w:bidi="hi-IN"/>
        </w:rPr>
        <w:t xml:space="preserve"> (17), 7734–7739. https://doi.org/10.1073/pnas.0913946107</w:t>
      </w:r>
    </w:p>
    <w:p w14:paraId="6AF0C53B" w14:textId="77777777" w:rsidR="008A2546" w:rsidRPr="008A2546" w:rsidRDefault="008A2546" w:rsidP="008A2546">
      <w:pPr>
        <w:pStyle w:val="Bibliography"/>
        <w:rPr>
          <w:lang w:bidi="hi-IN"/>
        </w:rPr>
      </w:pPr>
      <w:r w:rsidRPr="008A2546">
        <w:rPr>
          <w:lang w:bidi="hi-IN"/>
        </w:rPr>
        <w:t>(60)</w:t>
      </w:r>
      <w:r w:rsidRPr="008A2546">
        <w:rPr>
          <w:lang w:bidi="hi-IN"/>
        </w:rPr>
        <w:tab/>
        <w:t xml:space="preserve">Chachra, R.; Rizzo, R. C. Origins of Resistance Conferred by the R292K Neuraminidase Mutation via Molecular Dynamics and Free Energy Calculations. </w:t>
      </w:r>
      <w:r w:rsidRPr="008A2546">
        <w:rPr>
          <w:i/>
          <w:iCs/>
          <w:lang w:bidi="hi-IN"/>
        </w:rPr>
        <w:t>J. Chem. Theory Comput.</w:t>
      </w:r>
      <w:r w:rsidRPr="008A2546">
        <w:rPr>
          <w:lang w:bidi="hi-IN"/>
        </w:rPr>
        <w:t xml:space="preserve"> </w:t>
      </w:r>
      <w:r w:rsidRPr="008A2546">
        <w:rPr>
          <w:b/>
          <w:bCs/>
          <w:lang w:bidi="hi-IN"/>
        </w:rPr>
        <w:t>2008</w:t>
      </w:r>
      <w:r w:rsidRPr="008A2546">
        <w:rPr>
          <w:lang w:bidi="hi-IN"/>
        </w:rPr>
        <w:t xml:space="preserve">, </w:t>
      </w:r>
      <w:r w:rsidRPr="008A2546">
        <w:rPr>
          <w:i/>
          <w:iCs/>
          <w:lang w:bidi="hi-IN"/>
        </w:rPr>
        <w:t>4</w:t>
      </w:r>
      <w:r w:rsidRPr="008A2546">
        <w:rPr>
          <w:lang w:bidi="hi-IN"/>
        </w:rPr>
        <w:t xml:space="preserve"> (9), 1526–1540. https://doi.org/10.1021/ct800068v</w:t>
      </w:r>
    </w:p>
    <w:p w14:paraId="31CB5BAD" w14:textId="77777777" w:rsidR="008A2546" w:rsidRPr="008A2546" w:rsidRDefault="008A2546" w:rsidP="008A2546">
      <w:pPr>
        <w:pStyle w:val="Bibliography"/>
        <w:rPr>
          <w:lang w:bidi="hi-IN"/>
        </w:rPr>
      </w:pPr>
      <w:r w:rsidRPr="008A2546">
        <w:rPr>
          <w:lang w:bidi="hi-IN"/>
        </w:rPr>
        <w:t>(61)</w:t>
      </w:r>
      <w:r w:rsidRPr="008A2546">
        <w:rPr>
          <w:lang w:bidi="hi-IN"/>
        </w:rPr>
        <w:tab/>
        <w:t xml:space="preserve">Ripoll, D. R.; Khavrutskii, I. V.; Chaudhury, S.; Liu, J.; Kuschner, R. A.; Wallqvist, A.; Reifman, J. Quantitative Predictions of Binding Free Energy Changes in Drug-Resistant Influenza Neuraminidase. </w:t>
      </w:r>
      <w:r w:rsidRPr="008A2546">
        <w:rPr>
          <w:i/>
          <w:iCs/>
          <w:lang w:bidi="hi-IN"/>
        </w:rPr>
        <w:t>PLOS Computational Biology</w:t>
      </w:r>
      <w:r w:rsidRPr="008A2546">
        <w:rPr>
          <w:lang w:bidi="hi-IN"/>
        </w:rPr>
        <w:t xml:space="preserve"> </w:t>
      </w:r>
      <w:r w:rsidRPr="008A2546">
        <w:rPr>
          <w:b/>
          <w:bCs/>
          <w:lang w:bidi="hi-IN"/>
        </w:rPr>
        <w:t>2012</w:t>
      </w:r>
      <w:r w:rsidRPr="008A2546">
        <w:rPr>
          <w:lang w:bidi="hi-IN"/>
        </w:rPr>
        <w:t xml:space="preserve">, </w:t>
      </w:r>
      <w:r w:rsidRPr="008A2546">
        <w:rPr>
          <w:i/>
          <w:iCs/>
          <w:lang w:bidi="hi-IN"/>
        </w:rPr>
        <w:t>8</w:t>
      </w:r>
      <w:r w:rsidRPr="008A2546">
        <w:rPr>
          <w:lang w:bidi="hi-IN"/>
        </w:rPr>
        <w:t xml:space="preserve"> (8), e1002665. https://doi.org/10.1371/journal.pcbi.1002665</w:t>
      </w:r>
    </w:p>
    <w:p w14:paraId="6188BD42" w14:textId="77777777" w:rsidR="008A2546" w:rsidRPr="008A2546" w:rsidRDefault="008A2546" w:rsidP="008A2546">
      <w:pPr>
        <w:pStyle w:val="Bibliography"/>
        <w:rPr>
          <w:lang w:bidi="hi-IN"/>
        </w:rPr>
      </w:pPr>
      <w:r w:rsidRPr="008A2546">
        <w:rPr>
          <w:lang w:bidi="hi-IN"/>
        </w:rPr>
        <w:t>(62)</w:t>
      </w:r>
      <w:r w:rsidRPr="008A2546">
        <w:rPr>
          <w:lang w:bidi="hi-IN"/>
        </w:rPr>
        <w:tab/>
        <w:t xml:space="preserve">Havranek, B.; Demissie, R.; Lee, H.; Lan, S.; Zhang, H.; Sarafianos, S.; Ayitou, A. J.-L.; Islam, S. M. Discovery of Nirmatrelvir Resistance Mutations in SARS-CoV‑2 3CLpro: A Computational-Experimental Approach. </w:t>
      </w:r>
      <w:r w:rsidRPr="008A2546">
        <w:rPr>
          <w:i/>
          <w:iCs/>
          <w:lang w:bidi="hi-IN"/>
        </w:rPr>
        <w:t>J. Chem. Inf. Model.</w:t>
      </w:r>
      <w:r w:rsidRPr="008A2546">
        <w:rPr>
          <w:lang w:bidi="hi-IN"/>
        </w:rPr>
        <w:t xml:space="preserve"> </w:t>
      </w:r>
      <w:r w:rsidRPr="008A2546">
        <w:rPr>
          <w:b/>
          <w:bCs/>
          <w:lang w:bidi="hi-IN"/>
        </w:rPr>
        <w:t>2023</w:t>
      </w:r>
      <w:r w:rsidRPr="008A2546">
        <w:rPr>
          <w:lang w:bidi="hi-IN"/>
        </w:rPr>
        <w:t xml:space="preserve">, </w:t>
      </w:r>
      <w:r w:rsidRPr="008A2546">
        <w:rPr>
          <w:i/>
          <w:iCs/>
          <w:lang w:bidi="hi-IN"/>
        </w:rPr>
        <w:t>63</w:t>
      </w:r>
      <w:r w:rsidRPr="008A2546">
        <w:rPr>
          <w:lang w:bidi="hi-IN"/>
        </w:rPr>
        <w:t xml:space="preserve"> (22), 7180–7188. https://doi.org/10.1021/acs.jcim.3c01269</w:t>
      </w:r>
    </w:p>
    <w:p w14:paraId="55D17CC5" w14:textId="77777777" w:rsidR="008A2546" w:rsidRPr="008A2546" w:rsidRDefault="008A2546" w:rsidP="008A2546">
      <w:pPr>
        <w:pStyle w:val="Bibliography"/>
        <w:rPr>
          <w:lang w:bidi="hi-IN"/>
        </w:rPr>
      </w:pPr>
      <w:r w:rsidRPr="008A2546">
        <w:rPr>
          <w:lang w:bidi="hi-IN"/>
        </w:rPr>
        <w:t>(63)</w:t>
      </w:r>
      <w:r w:rsidRPr="008A2546">
        <w:rPr>
          <w:lang w:bidi="hi-IN"/>
        </w:rPr>
        <w:tab/>
        <w:t xml:space="preserve">Cai, Y.; Schiffer, C. A. Decomposing the Energetic Impact of Drug Resistant Mutations in HIV-1 Protease on Binding DRV. </w:t>
      </w:r>
      <w:r w:rsidRPr="008A2546">
        <w:rPr>
          <w:i/>
          <w:iCs/>
          <w:lang w:bidi="hi-IN"/>
        </w:rPr>
        <w:t>J. Chem. Theory Comput.</w:t>
      </w:r>
      <w:r w:rsidRPr="008A2546">
        <w:rPr>
          <w:lang w:bidi="hi-IN"/>
        </w:rPr>
        <w:t xml:space="preserve"> </w:t>
      </w:r>
      <w:r w:rsidRPr="008A2546">
        <w:rPr>
          <w:b/>
          <w:bCs/>
          <w:lang w:bidi="hi-IN"/>
        </w:rPr>
        <w:t>2010</w:t>
      </w:r>
      <w:r w:rsidRPr="008A2546">
        <w:rPr>
          <w:lang w:bidi="hi-IN"/>
        </w:rPr>
        <w:t xml:space="preserve">, </w:t>
      </w:r>
      <w:r w:rsidRPr="008A2546">
        <w:rPr>
          <w:i/>
          <w:iCs/>
          <w:lang w:bidi="hi-IN"/>
        </w:rPr>
        <w:t>6</w:t>
      </w:r>
      <w:r w:rsidRPr="008A2546">
        <w:rPr>
          <w:lang w:bidi="hi-IN"/>
        </w:rPr>
        <w:t xml:space="preserve"> (4), 1358–1368. https://doi.org/10.1021/ct9004678</w:t>
      </w:r>
    </w:p>
    <w:p w14:paraId="60AC6BB4" w14:textId="77777777" w:rsidR="008A2546" w:rsidRPr="008A2546" w:rsidRDefault="008A2546" w:rsidP="008A2546">
      <w:pPr>
        <w:pStyle w:val="Bibliography"/>
        <w:rPr>
          <w:lang w:bidi="hi-IN"/>
        </w:rPr>
      </w:pPr>
      <w:r w:rsidRPr="008A2546">
        <w:rPr>
          <w:lang w:bidi="hi-IN"/>
        </w:rPr>
        <w:t>(64)</w:t>
      </w:r>
      <w:r w:rsidRPr="008A2546">
        <w:rPr>
          <w:lang w:bidi="hi-IN"/>
        </w:rPr>
        <w:tab/>
        <w:t xml:space="preserve">Bastys, T.; Gapsys, V.; Doncheva, N. T.; Kaiser, R.; de Groot, B. L.; Kalinina, O. V. Consistent Prediction of Mutation Effect on Drug Binding in HIV‑1 Protease Using Alchemical Calculations. </w:t>
      </w:r>
      <w:r w:rsidRPr="008A2546">
        <w:rPr>
          <w:i/>
          <w:iCs/>
          <w:lang w:bidi="hi-IN"/>
        </w:rPr>
        <w:t>J. Chem. Theory Comput.</w:t>
      </w:r>
      <w:r w:rsidRPr="008A2546">
        <w:rPr>
          <w:lang w:bidi="hi-IN"/>
        </w:rPr>
        <w:t xml:space="preserve"> </w:t>
      </w:r>
      <w:r w:rsidRPr="008A2546">
        <w:rPr>
          <w:b/>
          <w:bCs/>
          <w:lang w:bidi="hi-IN"/>
        </w:rPr>
        <w:t>2018</w:t>
      </w:r>
      <w:r w:rsidRPr="008A2546">
        <w:rPr>
          <w:lang w:bidi="hi-IN"/>
        </w:rPr>
        <w:t xml:space="preserve">, </w:t>
      </w:r>
      <w:r w:rsidRPr="008A2546">
        <w:rPr>
          <w:i/>
          <w:iCs/>
          <w:lang w:bidi="hi-IN"/>
        </w:rPr>
        <w:t>14</w:t>
      </w:r>
      <w:r w:rsidRPr="008A2546">
        <w:rPr>
          <w:lang w:bidi="hi-IN"/>
        </w:rPr>
        <w:t xml:space="preserve"> (7), 3397–3408. https://doi.org/10.1021/acs.jctc.7b01109</w:t>
      </w:r>
    </w:p>
    <w:p w14:paraId="51ACC5EF" w14:textId="77777777" w:rsidR="008A2546" w:rsidRPr="008A2546" w:rsidRDefault="008A2546" w:rsidP="008A2546">
      <w:pPr>
        <w:pStyle w:val="Bibliography"/>
        <w:rPr>
          <w:lang w:bidi="hi-IN"/>
        </w:rPr>
      </w:pPr>
      <w:r w:rsidRPr="008A2546">
        <w:rPr>
          <w:lang w:bidi="hi-IN"/>
        </w:rPr>
        <w:t>(65)</w:t>
      </w:r>
      <w:r w:rsidRPr="008A2546">
        <w:rPr>
          <w:lang w:bidi="hi-IN"/>
        </w:rPr>
        <w:tab/>
        <w:t xml:space="preserve">Bastys, T.; Gapsys, V.; Walter, H.; Heger, E.; Doncheva, N. T.; Kaiser, R.; de Groot, B. L.; Kalinina, O. V. Non-Active Site Mutants of HIV-1 Protease Influence Resistance and Sensitisation towards Protease Inhibitors. </w:t>
      </w:r>
      <w:r w:rsidRPr="008A2546">
        <w:rPr>
          <w:i/>
          <w:iCs/>
          <w:lang w:bidi="hi-IN"/>
        </w:rPr>
        <w:t>Retrovirology</w:t>
      </w:r>
      <w:r w:rsidRPr="008A2546">
        <w:rPr>
          <w:lang w:bidi="hi-IN"/>
        </w:rPr>
        <w:t xml:space="preserve"> </w:t>
      </w:r>
      <w:r w:rsidRPr="008A2546">
        <w:rPr>
          <w:b/>
          <w:bCs/>
          <w:lang w:bidi="hi-IN"/>
        </w:rPr>
        <w:t>2020</w:t>
      </w:r>
      <w:r w:rsidRPr="008A2546">
        <w:rPr>
          <w:lang w:bidi="hi-IN"/>
        </w:rPr>
        <w:t xml:space="preserve">, </w:t>
      </w:r>
      <w:r w:rsidRPr="008A2546">
        <w:rPr>
          <w:i/>
          <w:iCs/>
          <w:lang w:bidi="hi-IN"/>
        </w:rPr>
        <w:t>17</w:t>
      </w:r>
      <w:r w:rsidRPr="008A2546">
        <w:rPr>
          <w:lang w:bidi="hi-IN"/>
        </w:rPr>
        <w:t xml:space="preserve"> (1), 13. https://doi.org/10.1186/s12977-020-00520-6</w:t>
      </w:r>
    </w:p>
    <w:p w14:paraId="6C325117" w14:textId="77777777" w:rsidR="008A2546" w:rsidRPr="008A2546" w:rsidRDefault="008A2546" w:rsidP="008A2546">
      <w:pPr>
        <w:pStyle w:val="Bibliography"/>
        <w:rPr>
          <w:lang w:bidi="hi-IN"/>
        </w:rPr>
      </w:pPr>
      <w:r w:rsidRPr="008A2546">
        <w:rPr>
          <w:lang w:bidi="hi-IN"/>
        </w:rPr>
        <w:t>(66)</w:t>
      </w:r>
      <w:r w:rsidRPr="008A2546">
        <w:rPr>
          <w:lang w:bidi="hi-IN"/>
        </w:rPr>
        <w:tab/>
        <w:t xml:space="preserve">Sun, Q.; Levy, R. M.; Kirby, K. A.; Wang, Z.; Sarafianos, S. G.; Deng, N. Molecular Dynamics Free Energy Simulations Reveal the Mechanism for the Antiviral Resistance of the M66I HIV-1 Capsid Mutation. </w:t>
      </w:r>
      <w:r w:rsidRPr="008A2546">
        <w:rPr>
          <w:i/>
          <w:iCs/>
          <w:lang w:bidi="hi-IN"/>
        </w:rPr>
        <w:t>Viruses</w:t>
      </w:r>
      <w:r w:rsidRPr="008A2546">
        <w:rPr>
          <w:lang w:bidi="hi-IN"/>
        </w:rPr>
        <w:t xml:space="preserve"> </w:t>
      </w:r>
      <w:r w:rsidRPr="008A2546">
        <w:rPr>
          <w:b/>
          <w:bCs/>
          <w:lang w:bidi="hi-IN"/>
        </w:rPr>
        <w:t>2021</w:t>
      </w:r>
      <w:r w:rsidRPr="008A2546">
        <w:rPr>
          <w:lang w:bidi="hi-IN"/>
        </w:rPr>
        <w:t xml:space="preserve">, </w:t>
      </w:r>
      <w:r w:rsidRPr="008A2546">
        <w:rPr>
          <w:i/>
          <w:iCs/>
          <w:lang w:bidi="hi-IN"/>
        </w:rPr>
        <w:t>13</w:t>
      </w:r>
      <w:r w:rsidRPr="008A2546">
        <w:rPr>
          <w:lang w:bidi="hi-IN"/>
        </w:rPr>
        <w:t xml:space="preserve"> (5), 920. https://doi.org/10.3390/v13050920</w:t>
      </w:r>
    </w:p>
    <w:p w14:paraId="615DD571" w14:textId="77777777" w:rsidR="008A2546" w:rsidRPr="008A2546" w:rsidRDefault="008A2546" w:rsidP="008A2546">
      <w:pPr>
        <w:pStyle w:val="Bibliography"/>
        <w:rPr>
          <w:lang w:bidi="hi-IN"/>
        </w:rPr>
      </w:pPr>
      <w:r w:rsidRPr="008A2546">
        <w:rPr>
          <w:lang w:bidi="hi-IN"/>
        </w:rPr>
        <w:t>(67)</w:t>
      </w:r>
      <w:r w:rsidRPr="008A2546">
        <w:rPr>
          <w:lang w:bidi="hi-IN"/>
        </w:rPr>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sidRPr="008A2546">
        <w:rPr>
          <w:i/>
          <w:iCs/>
          <w:lang w:bidi="hi-IN"/>
        </w:rPr>
        <w:t>Science Advances</w:t>
      </w:r>
      <w:r w:rsidRPr="008A2546">
        <w:rPr>
          <w:lang w:bidi="hi-IN"/>
        </w:rPr>
        <w:t xml:space="preserve"> </w:t>
      </w:r>
      <w:r w:rsidRPr="008A2546">
        <w:rPr>
          <w:b/>
          <w:bCs/>
          <w:lang w:bidi="hi-IN"/>
        </w:rPr>
        <w:t>2023</w:t>
      </w:r>
      <w:r w:rsidRPr="008A2546">
        <w:rPr>
          <w:lang w:bidi="hi-IN"/>
        </w:rPr>
        <w:t xml:space="preserve">, </w:t>
      </w:r>
      <w:r w:rsidRPr="008A2546">
        <w:rPr>
          <w:i/>
          <w:iCs/>
          <w:lang w:bidi="hi-IN"/>
        </w:rPr>
        <w:t>9</w:t>
      </w:r>
      <w:r w:rsidRPr="008A2546">
        <w:rPr>
          <w:lang w:bidi="hi-IN"/>
        </w:rPr>
        <w:t xml:space="preserve"> (29), eadg5953. https://doi.org/10.1126/sciadv.adg5953</w:t>
      </w:r>
    </w:p>
    <w:p w14:paraId="67D23414" w14:textId="77777777" w:rsidR="008A2546" w:rsidRPr="008A2546" w:rsidRDefault="008A2546" w:rsidP="008A2546">
      <w:pPr>
        <w:pStyle w:val="Bibliography"/>
        <w:rPr>
          <w:lang w:bidi="hi-IN"/>
        </w:rPr>
      </w:pPr>
      <w:r w:rsidRPr="008A2546">
        <w:rPr>
          <w:lang w:bidi="hi-IN"/>
        </w:rPr>
        <w:t>(68)</w:t>
      </w:r>
      <w:r w:rsidRPr="008A2546">
        <w:rPr>
          <w:lang w:bidi="hi-IN"/>
        </w:rPr>
        <w:tab/>
        <w:t xml:space="preserve">Hauser, K.; Negron, C.; Albanese, S. K.; Ray, S.; Steinbrecher, T.; Abel, R.; Chodera, J. D.; Wang, L. Predicting Resistance of Clinical Abl Mutations to Targeted Kinase Inhibitors Using Alchemical Free-Energy Calculations. </w:t>
      </w:r>
      <w:r w:rsidRPr="008A2546">
        <w:rPr>
          <w:i/>
          <w:iCs/>
          <w:lang w:bidi="hi-IN"/>
        </w:rPr>
        <w:t>Commun Biol</w:t>
      </w:r>
      <w:r w:rsidRPr="008A2546">
        <w:rPr>
          <w:lang w:bidi="hi-IN"/>
        </w:rPr>
        <w:t xml:space="preserve"> </w:t>
      </w:r>
      <w:r w:rsidRPr="008A2546">
        <w:rPr>
          <w:b/>
          <w:bCs/>
          <w:lang w:bidi="hi-IN"/>
        </w:rPr>
        <w:t>2018</w:t>
      </w:r>
      <w:r w:rsidRPr="008A2546">
        <w:rPr>
          <w:lang w:bidi="hi-IN"/>
        </w:rPr>
        <w:t xml:space="preserve">, </w:t>
      </w:r>
      <w:r w:rsidRPr="008A2546">
        <w:rPr>
          <w:i/>
          <w:iCs/>
          <w:lang w:bidi="hi-IN"/>
        </w:rPr>
        <w:t>1</w:t>
      </w:r>
      <w:r w:rsidRPr="008A2546">
        <w:rPr>
          <w:lang w:bidi="hi-IN"/>
        </w:rPr>
        <w:t xml:space="preserve"> (1), 70. https://doi.org/10.1038/s42003-018-0075-x</w:t>
      </w:r>
    </w:p>
    <w:p w14:paraId="0624CFEA" w14:textId="77777777" w:rsidR="008A2546" w:rsidRPr="008A2546" w:rsidRDefault="008A2546" w:rsidP="008A2546">
      <w:pPr>
        <w:pStyle w:val="Bibliography"/>
        <w:rPr>
          <w:lang w:bidi="hi-IN"/>
        </w:rPr>
      </w:pPr>
      <w:r w:rsidRPr="008A2546">
        <w:rPr>
          <w:lang w:bidi="hi-IN"/>
        </w:rPr>
        <w:lastRenderedPageBreak/>
        <w:t>(69)</w:t>
      </w:r>
      <w:r w:rsidRPr="008A2546">
        <w:rPr>
          <w:lang w:bidi="hi-IN"/>
        </w:rPr>
        <w:tab/>
        <w:t xml:space="preserve">Nagarajan, A.; Amberg-Johnson, K.; Paull, E.; Huang, K.; Ghanakota, P.; Chandrasinghe, A.; Chief Elk, J.; Sampson, J. M.; Wang, L.; Abel, R.; Albanese, S. K. Predicting Resistance to Small Molecule Kinase Inhibitors. </w:t>
      </w:r>
      <w:r w:rsidRPr="008A2546">
        <w:rPr>
          <w:i/>
          <w:iCs/>
          <w:lang w:bidi="hi-IN"/>
        </w:rPr>
        <w:t>J. Chem. Inf. Model.</w:t>
      </w:r>
      <w:r w:rsidRPr="008A2546">
        <w:rPr>
          <w:lang w:bidi="hi-IN"/>
        </w:rPr>
        <w:t xml:space="preserve"> </w:t>
      </w:r>
      <w:r w:rsidRPr="008A2546">
        <w:rPr>
          <w:b/>
          <w:bCs/>
          <w:lang w:bidi="hi-IN"/>
        </w:rPr>
        <w:t>2025</w:t>
      </w:r>
      <w:r w:rsidRPr="008A2546">
        <w:rPr>
          <w:lang w:bidi="hi-IN"/>
        </w:rPr>
        <w:t xml:space="preserve">, </w:t>
      </w:r>
      <w:r w:rsidRPr="008A2546">
        <w:rPr>
          <w:i/>
          <w:iCs/>
          <w:lang w:bidi="hi-IN"/>
        </w:rPr>
        <w:t>65</w:t>
      </w:r>
      <w:r w:rsidRPr="008A2546">
        <w:rPr>
          <w:lang w:bidi="hi-IN"/>
        </w:rPr>
        <w:t xml:space="preserve"> (5), 2543–2557. https://doi.org/10.1021/acs.jcim.4c02313</w:t>
      </w:r>
    </w:p>
    <w:p w14:paraId="4D490605" w14:textId="77777777" w:rsidR="008A2546" w:rsidRPr="008A2546" w:rsidRDefault="008A2546" w:rsidP="008A2546">
      <w:pPr>
        <w:pStyle w:val="Bibliography"/>
        <w:rPr>
          <w:lang w:bidi="hi-IN"/>
        </w:rPr>
      </w:pPr>
      <w:r w:rsidRPr="008A2546">
        <w:rPr>
          <w:lang w:bidi="hi-IN"/>
        </w:rPr>
        <w:t>(70)</w:t>
      </w:r>
      <w:r w:rsidRPr="008A2546">
        <w:rPr>
          <w:lang w:bidi="hi-IN"/>
        </w:rPr>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8A2546">
        <w:rPr>
          <w:i/>
          <w:iCs/>
          <w:lang w:bidi="hi-IN"/>
        </w:rPr>
        <w:t>Journal American Chemical Society</w:t>
      </w:r>
      <w:r w:rsidRPr="008A2546">
        <w:rPr>
          <w:lang w:bidi="hi-IN"/>
        </w:rPr>
        <w:t xml:space="preserve"> </w:t>
      </w:r>
      <w:r w:rsidRPr="008A2546">
        <w:rPr>
          <w:b/>
          <w:bCs/>
          <w:lang w:bidi="hi-IN"/>
        </w:rPr>
        <w:t>2015</w:t>
      </w:r>
      <w:r w:rsidRPr="008A2546">
        <w:rPr>
          <w:lang w:bidi="hi-IN"/>
        </w:rPr>
        <w:t xml:space="preserve">, </w:t>
      </w:r>
      <w:r w:rsidRPr="008A2546">
        <w:rPr>
          <w:i/>
          <w:iCs/>
          <w:lang w:bidi="hi-IN"/>
        </w:rPr>
        <w:t>137</w:t>
      </w:r>
      <w:r w:rsidRPr="008A2546">
        <w:rPr>
          <w:lang w:bidi="hi-IN"/>
        </w:rPr>
        <w:t xml:space="preserve"> (7), 2695–2703. https://doi.org/10.1021/ja512751q</w:t>
      </w:r>
    </w:p>
    <w:p w14:paraId="0578C8A2" w14:textId="77777777" w:rsidR="008A2546" w:rsidRPr="008A2546" w:rsidRDefault="008A2546" w:rsidP="008A2546">
      <w:pPr>
        <w:pStyle w:val="Bibliography"/>
        <w:rPr>
          <w:lang w:bidi="hi-IN"/>
        </w:rPr>
      </w:pPr>
      <w:r w:rsidRPr="008A2546">
        <w:rPr>
          <w:lang w:bidi="hi-IN"/>
        </w:rPr>
        <w:t>(71)</w:t>
      </w:r>
      <w:r w:rsidRPr="008A2546">
        <w:rPr>
          <w:lang w:bidi="hi-IN"/>
        </w:rPr>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sidRPr="008A2546">
        <w:rPr>
          <w:i/>
          <w:iCs/>
          <w:lang w:bidi="hi-IN"/>
        </w:rPr>
        <w:t>J. Chem. Inf. Model.</w:t>
      </w:r>
      <w:r w:rsidRPr="008A2546">
        <w:rPr>
          <w:lang w:bidi="hi-IN"/>
        </w:rPr>
        <w:t xml:space="preserve"> </w:t>
      </w:r>
      <w:r w:rsidRPr="008A2546">
        <w:rPr>
          <w:b/>
          <w:bCs/>
          <w:lang w:bidi="hi-IN"/>
        </w:rPr>
        <w:t>2020</w:t>
      </w:r>
      <w:r w:rsidRPr="008A2546">
        <w:rPr>
          <w:lang w:bidi="hi-IN"/>
        </w:rPr>
        <w:t xml:space="preserve">, </w:t>
      </w:r>
      <w:r w:rsidRPr="008A2546">
        <w:rPr>
          <w:i/>
          <w:iCs/>
          <w:lang w:bidi="hi-IN"/>
        </w:rPr>
        <w:t>60</w:t>
      </w:r>
      <w:r w:rsidRPr="008A2546">
        <w:rPr>
          <w:lang w:bidi="hi-IN"/>
        </w:rPr>
        <w:t xml:space="preserve"> (11), 5457–5474. https://doi.org/10.1021/acs.jcim.0c00900</w:t>
      </w:r>
    </w:p>
    <w:p w14:paraId="05B5A807" w14:textId="77777777" w:rsidR="008A2546" w:rsidRPr="008A2546" w:rsidRDefault="008A2546" w:rsidP="008A2546">
      <w:pPr>
        <w:pStyle w:val="Bibliography"/>
        <w:rPr>
          <w:lang w:bidi="hi-IN"/>
        </w:rPr>
      </w:pPr>
      <w:r w:rsidRPr="008A2546">
        <w:rPr>
          <w:lang w:bidi="hi-IN"/>
        </w:rPr>
        <w:t>(72)</w:t>
      </w:r>
      <w:r w:rsidRPr="008A2546">
        <w:rPr>
          <w:lang w:bidi="hi-IN"/>
        </w:rPr>
        <w:tab/>
        <w:t xml:space="preserve">Ren, J.; Stammers, D. K. Structural Basis for Drug Resistance Mechanisms for Non-Nucleoside Inhibitors of HIV Reverse Transcriptase. </w:t>
      </w:r>
      <w:r w:rsidRPr="008A2546">
        <w:rPr>
          <w:i/>
          <w:iCs/>
          <w:lang w:bidi="hi-IN"/>
        </w:rPr>
        <w:t>Virus Research</w:t>
      </w:r>
      <w:r w:rsidRPr="008A2546">
        <w:rPr>
          <w:lang w:bidi="hi-IN"/>
        </w:rPr>
        <w:t xml:space="preserve"> </w:t>
      </w:r>
      <w:r w:rsidRPr="008A2546">
        <w:rPr>
          <w:b/>
          <w:bCs/>
          <w:lang w:bidi="hi-IN"/>
        </w:rPr>
        <w:t>2008</w:t>
      </w:r>
      <w:r w:rsidRPr="008A2546">
        <w:rPr>
          <w:lang w:bidi="hi-IN"/>
        </w:rPr>
        <w:t xml:space="preserve">, </w:t>
      </w:r>
      <w:r w:rsidRPr="008A2546">
        <w:rPr>
          <w:i/>
          <w:iCs/>
          <w:lang w:bidi="hi-IN"/>
        </w:rPr>
        <w:t>134</w:t>
      </w:r>
      <w:r w:rsidRPr="008A2546">
        <w:rPr>
          <w:lang w:bidi="hi-IN"/>
        </w:rPr>
        <w:t xml:space="preserve"> (1), 157–170. https://doi.org/10.1016/j.virusres.2007.12.018</w:t>
      </w:r>
    </w:p>
    <w:p w14:paraId="24FBB85C" w14:textId="77777777" w:rsidR="008A2546" w:rsidRPr="008A2546" w:rsidRDefault="008A2546" w:rsidP="008A2546">
      <w:pPr>
        <w:pStyle w:val="Bibliography"/>
        <w:rPr>
          <w:lang w:bidi="hi-IN"/>
        </w:rPr>
      </w:pPr>
      <w:r w:rsidRPr="008A2546">
        <w:rPr>
          <w:lang w:bidi="hi-IN"/>
        </w:rPr>
        <w:t>(73)</w:t>
      </w:r>
      <w:r w:rsidRPr="008A2546">
        <w:rPr>
          <w:lang w:bidi="hi-IN"/>
        </w:rPr>
        <w:tab/>
        <w:t xml:space="preserve">Huang, W.; Gamarnik, A.; Limoli, K.; Petropoulos, C. J.; Whitcomb, J. M. Amino Acid Substitutions at Position 190 of Human Immunodeficiency Virus Type 1 Reverse Transcriptase Increase Susceptibility to Delavirdine and Impair Virus Replication. </w:t>
      </w:r>
      <w:r w:rsidRPr="008A2546">
        <w:rPr>
          <w:i/>
          <w:iCs/>
          <w:lang w:bidi="hi-IN"/>
        </w:rPr>
        <w:t>Journal of Virology</w:t>
      </w:r>
      <w:r w:rsidRPr="008A2546">
        <w:rPr>
          <w:lang w:bidi="hi-IN"/>
        </w:rPr>
        <w:t xml:space="preserve"> </w:t>
      </w:r>
      <w:r w:rsidRPr="008A2546">
        <w:rPr>
          <w:b/>
          <w:bCs/>
          <w:lang w:bidi="hi-IN"/>
        </w:rPr>
        <w:t>2003</w:t>
      </w:r>
      <w:r w:rsidRPr="008A2546">
        <w:rPr>
          <w:lang w:bidi="hi-IN"/>
        </w:rPr>
        <w:t xml:space="preserve">, </w:t>
      </w:r>
      <w:r w:rsidRPr="008A2546">
        <w:rPr>
          <w:i/>
          <w:iCs/>
          <w:lang w:bidi="hi-IN"/>
        </w:rPr>
        <w:t>77</w:t>
      </w:r>
      <w:r w:rsidRPr="008A2546">
        <w:rPr>
          <w:lang w:bidi="hi-IN"/>
        </w:rPr>
        <w:t xml:space="preserve"> (2), 1512–1523. https://doi.org/10.1128/jvi.77.2.1512-1523.2003</w:t>
      </w:r>
    </w:p>
    <w:p w14:paraId="67DC7484" w14:textId="77777777" w:rsidR="008A2546" w:rsidRPr="008A2546" w:rsidRDefault="008A2546" w:rsidP="008A2546">
      <w:pPr>
        <w:pStyle w:val="Bibliography"/>
        <w:rPr>
          <w:lang w:bidi="hi-IN"/>
        </w:rPr>
      </w:pPr>
      <w:r w:rsidRPr="008A2546">
        <w:rPr>
          <w:lang w:bidi="hi-IN"/>
        </w:rPr>
        <w:t>(74)</w:t>
      </w:r>
      <w:r w:rsidRPr="008A2546">
        <w:rPr>
          <w:lang w:bidi="hi-IN"/>
        </w:rPr>
        <w:tab/>
        <w:t xml:space="preserve">Ren, J.; Nichols, C. E.; Chamberlain, P. P.; Weaver, K. L.; Short, S. A.; Stammers, D. K. Crystal Structures of HIV-1 Reverse Transcriptases Mutated at Codons 100, 106 and 108 and Mechanisms of Resistance to Non-Nucleoside Inhibitors. </w:t>
      </w:r>
      <w:r w:rsidRPr="008A2546">
        <w:rPr>
          <w:i/>
          <w:iCs/>
          <w:lang w:bidi="hi-IN"/>
        </w:rPr>
        <w:t>Journal of Molecular Biology</w:t>
      </w:r>
      <w:r w:rsidRPr="008A2546">
        <w:rPr>
          <w:lang w:bidi="hi-IN"/>
        </w:rPr>
        <w:t xml:space="preserve"> </w:t>
      </w:r>
      <w:r w:rsidRPr="008A2546">
        <w:rPr>
          <w:b/>
          <w:bCs/>
          <w:lang w:bidi="hi-IN"/>
        </w:rPr>
        <w:t>2004</w:t>
      </w:r>
      <w:r w:rsidRPr="008A2546">
        <w:rPr>
          <w:lang w:bidi="hi-IN"/>
        </w:rPr>
        <w:t xml:space="preserve">, </w:t>
      </w:r>
      <w:r w:rsidRPr="008A2546">
        <w:rPr>
          <w:i/>
          <w:iCs/>
          <w:lang w:bidi="hi-IN"/>
        </w:rPr>
        <w:t>336</w:t>
      </w:r>
      <w:r w:rsidRPr="008A2546">
        <w:rPr>
          <w:lang w:bidi="hi-IN"/>
        </w:rPr>
        <w:t xml:space="preserve"> (3), 569–578. https://doi.org/10.1016/j.jmb.2003.12.055</w:t>
      </w:r>
    </w:p>
    <w:p w14:paraId="0F6ED6A8" w14:textId="77777777" w:rsidR="008A2546" w:rsidRPr="008A2546" w:rsidRDefault="008A2546" w:rsidP="008A2546">
      <w:pPr>
        <w:pStyle w:val="Bibliography"/>
        <w:rPr>
          <w:lang w:bidi="hi-IN"/>
        </w:rPr>
      </w:pPr>
      <w:r w:rsidRPr="008A2546">
        <w:rPr>
          <w:lang w:bidi="hi-IN"/>
        </w:rPr>
        <w:t>(75)</w:t>
      </w:r>
      <w:r w:rsidRPr="008A2546">
        <w:rPr>
          <w:lang w:bidi="hi-IN"/>
        </w:rPr>
        <w:tab/>
        <w:t xml:space="preserve">Reddy, N.; Papathanasopoulos, M.; Steegen, K.; Basson, A. E. K103N, V106M and Y188L Significantly Reduce HIV-1 Subtype C Phenotypic Susceptibility to Doravirine. </w:t>
      </w:r>
      <w:r w:rsidRPr="008A2546">
        <w:rPr>
          <w:i/>
          <w:iCs/>
          <w:lang w:bidi="hi-IN"/>
        </w:rPr>
        <w:t>Viruses</w:t>
      </w:r>
      <w:r w:rsidRPr="008A2546">
        <w:rPr>
          <w:lang w:bidi="hi-IN"/>
        </w:rPr>
        <w:t xml:space="preserve"> </w:t>
      </w:r>
      <w:r w:rsidRPr="008A2546">
        <w:rPr>
          <w:b/>
          <w:bCs/>
          <w:lang w:bidi="hi-IN"/>
        </w:rPr>
        <w:t>2024</w:t>
      </w:r>
      <w:r w:rsidRPr="008A2546">
        <w:rPr>
          <w:lang w:bidi="hi-IN"/>
        </w:rPr>
        <w:t xml:space="preserve">, </w:t>
      </w:r>
      <w:r w:rsidRPr="008A2546">
        <w:rPr>
          <w:i/>
          <w:iCs/>
          <w:lang w:bidi="hi-IN"/>
        </w:rPr>
        <w:t>16</w:t>
      </w:r>
      <w:r w:rsidRPr="008A2546">
        <w:rPr>
          <w:lang w:bidi="hi-IN"/>
        </w:rPr>
        <w:t xml:space="preserve"> (9), 1493. https://doi.org/10.3390/v16091493</w:t>
      </w:r>
    </w:p>
    <w:p w14:paraId="2A2D9152" w14:textId="77777777" w:rsidR="008A2546" w:rsidRPr="008A2546" w:rsidRDefault="008A2546" w:rsidP="008A2546">
      <w:pPr>
        <w:pStyle w:val="Bibliography"/>
        <w:rPr>
          <w:lang w:bidi="hi-IN"/>
        </w:rPr>
      </w:pPr>
      <w:r w:rsidRPr="008A2546">
        <w:rPr>
          <w:lang w:bidi="hi-IN"/>
        </w:rPr>
        <w:t>(76)</w:t>
      </w:r>
      <w:r w:rsidRPr="008A2546">
        <w:rPr>
          <w:lang w:bidi="hi-IN"/>
        </w:rPr>
        <w:tab/>
        <w:t xml:space="preserve">Ghosh, M.; Jacques, P. S.; Rodgers, D. W.; Ottman, M.; Darlix, J.-L.; Le Grice, S. F. J. Alterations to the Primer Grip of P66 HIV-1 Reverse Transcriptase and Their Consequences for Template-Primer Utilization. </w:t>
      </w:r>
      <w:r w:rsidRPr="008A2546">
        <w:rPr>
          <w:i/>
          <w:iCs/>
          <w:lang w:bidi="hi-IN"/>
        </w:rPr>
        <w:t>Biochemistry</w:t>
      </w:r>
      <w:r w:rsidRPr="008A2546">
        <w:rPr>
          <w:lang w:bidi="hi-IN"/>
        </w:rPr>
        <w:t xml:space="preserve"> </w:t>
      </w:r>
      <w:r w:rsidRPr="008A2546">
        <w:rPr>
          <w:b/>
          <w:bCs/>
          <w:lang w:bidi="hi-IN"/>
        </w:rPr>
        <w:t>1996</w:t>
      </w:r>
      <w:r w:rsidRPr="008A2546">
        <w:rPr>
          <w:lang w:bidi="hi-IN"/>
        </w:rPr>
        <w:t xml:space="preserve">, </w:t>
      </w:r>
      <w:r w:rsidRPr="008A2546">
        <w:rPr>
          <w:i/>
          <w:iCs/>
          <w:lang w:bidi="hi-IN"/>
        </w:rPr>
        <w:t>35</w:t>
      </w:r>
      <w:r w:rsidRPr="008A2546">
        <w:rPr>
          <w:lang w:bidi="hi-IN"/>
        </w:rPr>
        <w:t xml:space="preserve"> (26), 8553–8562. https://doi.org/10.1021/bi952773j</w:t>
      </w:r>
    </w:p>
    <w:p w14:paraId="312CC9A9" w14:textId="77777777" w:rsidR="008A2546" w:rsidRPr="008A2546" w:rsidRDefault="008A2546" w:rsidP="008A2546">
      <w:pPr>
        <w:pStyle w:val="Bibliography"/>
        <w:rPr>
          <w:lang w:bidi="hi-IN"/>
        </w:rPr>
      </w:pPr>
      <w:r w:rsidRPr="008A2546">
        <w:rPr>
          <w:lang w:bidi="hi-IN"/>
        </w:rPr>
        <w:t>(77)</w:t>
      </w:r>
      <w:r w:rsidRPr="008A2546">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8A2546">
        <w:rPr>
          <w:i/>
          <w:iCs/>
          <w:lang w:bidi="hi-IN"/>
        </w:rPr>
        <w:lastRenderedPageBreak/>
        <w:t>Antimicrobial Agents and Chemotherapy</w:t>
      </w:r>
      <w:r w:rsidRPr="008A2546">
        <w:rPr>
          <w:lang w:bidi="hi-IN"/>
        </w:rPr>
        <w:t xml:space="preserve"> </w:t>
      </w:r>
      <w:r w:rsidRPr="008A2546">
        <w:rPr>
          <w:b/>
          <w:bCs/>
          <w:lang w:bidi="hi-IN"/>
        </w:rPr>
        <w:t>2010</w:t>
      </w:r>
      <w:r w:rsidRPr="008A2546">
        <w:rPr>
          <w:lang w:bidi="hi-IN"/>
        </w:rPr>
        <w:t xml:space="preserve">, </w:t>
      </w:r>
      <w:r w:rsidRPr="008A2546">
        <w:rPr>
          <w:i/>
          <w:iCs/>
          <w:lang w:bidi="hi-IN"/>
        </w:rPr>
        <w:t>54</w:t>
      </w:r>
      <w:r w:rsidRPr="008A2546">
        <w:rPr>
          <w:lang w:bidi="hi-IN"/>
        </w:rPr>
        <w:t xml:space="preserve"> (6), 2401–2408. https://doi.org/10.1128/aac.01795-09</w:t>
      </w:r>
    </w:p>
    <w:p w14:paraId="1E412E31" w14:textId="77777777" w:rsidR="008A2546" w:rsidRPr="008A2546" w:rsidRDefault="008A2546" w:rsidP="008A2546">
      <w:pPr>
        <w:pStyle w:val="Bibliography"/>
        <w:rPr>
          <w:lang w:bidi="hi-IN"/>
        </w:rPr>
      </w:pPr>
      <w:r w:rsidRPr="008A2546">
        <w:rPr>
          <w:lang w:bidi="hi-IN"/>
        </w:rPr>
        <w:t>(78)</w:t>
      </w:r>
      <w:r w:rsidRPr="008A2546">
        <w:rPr>
          <w:lang w:bidi="hi-IN"/>
        </w:rPr>
        <w:tab/>
        <w:t xml:space="preserve">van der Kamp, M. W.; Mulholland, A. J. Combined Quantum Mechanics/Molecular Mechanics (QM/MM) Methods in Computational Enzymology. </w:t>
      </w:r>
      <w:r w:rsidRPr="008A2546">
        <w:rPr>
          <w:i/>
          <w:iCs/>
          <w:lang w:bidi="hi-IN"/>
        </w:rPr>
        <w:t>Biochemistry</w:t>
      </w:r>
      <w:r w:rsidRPr="008A2546">
        <w:rPr>
          <w:lang w:bidi="hi-IN"/>
        </w:rPr>
        <w:t xml:space="preserve"> </w:t>
      </w:r>
      <w:r w:rsidRPr="008A2546">
        <w:rPr>
          <w:b/>
          <w:bCs/>
          <w:lang w:bidi="hi-IN"/>
        </w:rPr>
        <w:t>2013</w:t>
      </w:r>
      <w:r w:rsidRPr="008A2546">
        <w:rPr>
          <w:lang w:bidi="hi-IN"/>
        </w:rPr>
        <w:t xml:space="preserve">, </w:t>
      </w:r>
      <w:r w:rsidRPr="008A2546">
        <w:rPr>
          <w:i/>
          <w:iCs/>
          <w:lang w:bidi="hi-IN"/>
        </w:rPr>
        <w:t>52</w:t>
      </w:r>
      <w:r w:rsidRPr="008A2546">
        <w:rPr>
          <w:lang w:bidi="hi-IN"/>
        </w:rPr>
        <w:t xml:space="preserve"> (16), 2708–2728. https://doi.org/10.1021/bi400215w</w:t>
      </w:r>
    </w:p>
    <w:p w14:paraId="4595C074" w14:textId="77777777" w:rsidR="008A2546" w:rsidRPr="008A2546" w:rsidRDefault="008A2546" w:rsidP="008A2546">
      <w:pPr>
        <w:pStyle w:val="Bibliography"/>
        <w:rPr>
          <w:lang w:bidi="hi-IN"/>
        </w:rPr>
      </w:pPr>
      <w:r w:rsidRPr="008A2546">
        <w:rPr>
          <w:lang w:bidi="hi-IN"/>
        </w:rPr>
        <w:t>(79)</w:t>
      </w:r>
      <w:r w:rsidRPr="008A2546">
        <w:rPr>
          <w:lang w:bidi="hi-IN"/>
        </w:rPr>
        <w:tab/>
        <w:t xml:space="preserve">Taguchi, M.; Oyama, R.; Kaneso, M.; Hayashi, S. Hybrid QM/MM Free-Energy Evaluation of Drug-Resistant Mutational Effect on the Binding of an Inhibitor Indinavir to HIV‑1 Protease. </w:t>
      </w:r>
      <w:r w:rsidRPr="008A2546">
        <w:rPr>
          <w:i/>
          <w:iCs/>
          <w:lang w:bidi="hi-IN"/>
        </w:rPr>
        <w:t>J. Chem. Inf. Model.</w:t>
      </w:r>
      <w:r w:rsidRPr="008A2546">
        <w:rPr>
          <w:lang w:bidi="hi-IN"/>
        </w:rPr>
        <w:t xml:space="preserve"> </w:t>
      </w:r>
      <w:r w:rsidRPr="008A2546">
        <w:rPr>
          <w:b/>
          <w:bCs/>
          <w:lang w:bidi="hi-IN"/>
        </w:rPr>
        <w:t>2022</w:t>
      </w:r>
      <w:r w:rsidRPr="008A2546">
        <w:rPr>
          <w:lang w:bidi="hi-IN"/>
        </w:rPr>
        <w:t xml:space="preserve">, </w:t>
      </w:r>
      <w:r w:rsidRPr="008A2546">
        <w:rPr>
          <w:i/>
          <w:iCs/>
          <w:lang w:bidi="hi-IN"/>
        </w:rPr>
        <w:t>62</w:t>
      </w:r>
      <w:r w:rsidRPr="008A2546">
        <w:rPr>
          <w:lang w:bidi="hi-IN"/>
        </w:rPr>
        <w:t xml:space="preserve"> (5), 1328–1344. https://doi.org/10.1021/acs.jcim.1c01193</w:t>
      </w:r>
    </w:p>
    <w:p w14:paraId="1D04F3E4" w14:textId="77777777" w:rsidR="008A2546" w:rsidRPr="008A2546" w:rsidRDefault="008A2546" w:rsidP="008A2546">
      <w:pPr>
        <w:pStyle w:val="Bibliography"/>
        <w:rPr>
          <w:lang w:bidi="hi-IN"/>
        </w:rPr>
      </w:pPr>
      <w:r w:rsidRPr="008A2546">
        <w:rPr>
          <w:lang w:bidi="hi-IN"/>
        </w:rPr>
        <w:t>(80)</w:t>
      </w:r>
      <w:r w:rsidRPr="008A2546">
        <w:rPr>
          <w:lang w:bidi="hi-IN"/>
        </w:rPr>
        <w:tab/>
        <w:t xml:space="preserve">Plattner, N.; Noé, F. Protein Conformational Plasticity and Complex Ligand-Binding Kinetics Explored by Atomistic Simulations and Markov Models. </w:t>
      </w:r>
      <w:r w:rsidRPr="008A2546">
        <w:rPr>
          <w:i/>
          <w:iCs/>
          <w:lang w:bidi="hi-IN"/>
        </w:rPr>
        <w:t>Nat Commun</w:t>
      </w:r>
      <w:r w:rsidRPr="008A2546">
        <w:rPr>
          <w:lang w:bidi="hi-IN"/>
        </w:rPr>
        <w:t xml:space="preserve"> </w:t>
      </w:r>
      <w:r w:rsidRPr="008A2546">
        <w:rPr>
          <w:b/>
          <w:bCs/>
          <w:lang w:bidi="hi-IN"/>
        </w:rPr>
        <w:t>2015</w:t>
      </w:r>
      <w:r w:rsidRPr="008A2546">
        <w:rPr>
          <w:lang w:bidi="hi-IN"/>
        </w:rPr>
        <w:t xml:space="preserve">, </w:t>
      </w:r>
      <w:r w:rsidRPr="008A2546">
        <w:rPr>
          <w:i/>
          <w:iCs/>
          <w:lang w:bidi="hi-IN"/>
        </w:rPr>
        <w:t>6</w:t>
      </w:r>
      <w:r w:rsidRPr="008A2546">
        <w:rPr>
          <w:lang w:bidi="hi-IN"/>
        </w:rPr>
        <w:t xml:space="preserve"> (1), 7653. https://doi.org/10.1038/ncomms8653</w:t>
      </w:r>
    </w:p>
    <w:p w14:paraId="620D2BD2" w14:textId="77777777" w:rsidR="008A2546" w:rsidRPr="008A2546" w:rsidRDefault="008A2546" w:rsidP="008A2546">
      <w:pPr>
        <w:pStyle w:val="Bibliography"/>
        <w:rPr>
          <w:lang w:bidi="hi-IN"/>
        </w:rPr>
      </w:pPr>
      <w:r w:rsidRPr="008A2546">
        <w:rPr>
          <w:lang w:bidi="hi-IN"/>
        </w:rPr>
        <w:t>(81)</w:t>
      </w:r>
      <w:r w:rsidRPr="008A2546">
        <w:rPr>
          <w:lang w:bidi="hi-IN"/>
        </w:rPr>
        <w:tab/>
        <w:t xml:space="preserve">Tiwary, P.; Limongelli, V.; Salvalaglio, M.; Parrinello, M. Kinetics of Protein–Ligand Unbinding: Predicting Pathways, Rates, and Rate-Limiting Steps. </w:t>
      </w:r>
      <w:r w:rsidRPr="008A2546">
        <w:rPr>
          <w:i/>
          <w:iCs/>
          <w:lang w:bidi="hi-IN"/>
        </w:rPr>
        <w:t>Proceedings of the National Academy of Sciences</w:t>
      </w:r>
      <w:r w:rsidRPr="008A2546">
        <w:rPr>
          <w:lang w:bidi="hi-IN"/>
        </w:rPr>
        <w:t xml:space="preserve"> </w:t>
      </w:r>
      <w:r w:rsidRPr="008A2546">
        <w:rPr>
          <w:b/>
          <w:bCs/>
          <w:lang w:bidi="hi-IN"/>
        </w:rPr>
        <w:t>2015</w:t>
      </w:r>
      <w:r w:rsidRPr="008A2546">
        <w:rPr>
          <w:lang w:bidi="hi-IN"/>
        </w:rPr>
        <w:t xml:space="preserve">, </w:t>
      </w:r>
      <w:r w:rsidRPr="008A2546">
        <w:rPr>
          <w:i/>
          <w:iCs/>
          <w:lang w:bidi="hi-IN"/>
        </w:rPr>
        <w:t>112</w:t>
      </w:r>
      <w:r w:rsidRPr="008A2546">
        <w:rPr>
          <w:lang w:bidi="hi-IN"/>
        </w:rPr>
        <w:t xml:space="preserve"> (5), E386–E391. https://doi.org/10.1073/pnas.1424461112</w:t>
      </w:r>
    </w:p>
    <w:p w14:paraId="2E5707C2" w14:textId="77777777" w:rsidR="008A2546" w:rsidRPr="008A2546" w:rsidRDefault="008A2546" w:rsidP="008A2546">
      <w:pPr>
        <w:pStyle w:val="Bibliography"/>
        <w:rPr>
          <w:lang w:bidi="hi-IN"/>
        </w:rPr>
      </w:pPr>
      <w:r w:rsidRPr="008A2546">
        <w:rPr>
          <w:lang w:bidi="hi-IN"/>
        </w:rPr>
        <w:t>(82)</w:t>
      </w:r>
      <w:r w:rsidRPr="008A2546">
        <w:rPr>
          <w:lang w:bidi="hi-IN"/>
        </w:rPr>
        <w:tab/>
        <w:t xml:space="preserve">Jagger, B. R.; Ojha, A. A.; Amaro, R. E. Predicting Ligand Binding Kinetics Using a Markovian Milestoning with Voronoi Tessellations Multiscale Approach. </w:t>
      </w:r>
      <w:r w:rsidRPr="008A2546">
        <w:rPr>
          <w:i/>
          <w:iCs/>
          <w:lang w:bidi="hi-IN"/>
        </w:rPr>
        <w:t>J. Chem. Theory Comput.</w:t>
      </w:r>
      <w:r w:rsidRPr="008A2546">
        <w:rPr>
          <w:lang w:bidi="hi-IN"/>
        </w:rPr>
        <w:t xml:space="preserve"> </w:t>
      </w:r>
      <w:r w:rsidRPr="008A2546">
        <w:rPr>
          <w:b/>
          <w:bCs/>
          <w:lang w:bidi="hi-IN"/>
        </w:rPr>
        <w:t>2020</w:t>
      </w:r>
      <w:r w:rsidRPr="008A2546">
        <w:rPr>
          <w:lang w:bidi="hi-IN"/>
        </w:rPr>
        <w:t xml:space="preserve">, </w:t>
      </w:r>
      <w:r w:rsidRPr="008A2546">
        <w:rPr>
          <w:i/>
          <w:iCs/>
          <w:lang w:bidi="hi-IN"/>
        </w:rPr>
        <w:t>16</w:t>
      </w:r>
      <w:r w:rsidRPr="008A2546">
        <w:rPr>
          <w:lang w:bidi="hi-IN"/>
        </w:rPr>
        <w:t xml:space="preserve"> (8), 5348–5357. https://doi.org/10.1021/acs.jctc.0c00495</w:t>
      </w:r>
    </w:p>
    <w:p w14:paraId="5BD1699A" w14:textId="77777777" w:rsidR="008A2546" w:rsidRPr="008A2546" w:rsidRDefault="008A2546" w:rsidP="008A2546">
      <w:pPr>
        <w:pStyle w:val="Bibliography"/>
        <w:rPr>
          <w:lang w:bidi="hi-IN"/>
        </w:rPr>
      </w:pPr>
      <w:r w:rsidRPr="008A2546">
        <w:rPr>
          <w:lang w:bidi="hi-IN"/>
        </w:rPr>
        <w:t>(83)</w:t>
      </w:r>
      <w:r w:rsidRPr="008A2546">
        <w:rPr>
          <w:lang w:bidi="hi-IN"/>
        </w:rPr>
        <w:tab/>
        <w:t>Corso, G.; Stärk, H.; Jing, B.; Barzilay, R.; Jaakkola, T. DiffDock: Diffusion Steps, Twists, and Turns for Molecular Docking. arXiv February 11, 2023. https://doi.org/10.48550/arXiv.2210.01776</w:t>
      </w:r>
    </w:p>
    <w:p w14:paraId="0BCD27C5" w14:textId="77777777" w:rsidR="008A2546" w:rsidRPr="008A2546" w:rsidRDefault="008A2546" w:rsidP="008A2546">
      <w:pPr>
        <w:pStyle w:val="Bibliography"/>
        <w:rPr>
          <w:lang w:bidi="hi-IN"/>
        </w:rPr>
      </w:pPr>
      <w:r w:rsidRPr="008A2546">
        <w:rPr>
          <w:lang w:bidi="hi-IN"/>
        </w:rPr>
        <w:t>(84)</w:t>
      </w:r>
      <w:r w:rsidRPr="008A2546">
        <w:rPr>
          <w:lang w:bidi="hi-IN"/>
        </w:rPr>
        <w:tab/>
        <w:t>Wohlwend, J.; Corso, G.; Passaro, S.; Getz, N.; Reveiz, M.; Leidal, K.; Swiderski, W.; Atkinson, L.; Portnoi, T.; Chinn, I.; Silterra, J.; Jaakkola, T.; Barzilay, R. Boltz-1 Democratizing Biomolecular Interaction Modeling. bioRxiv May 6, 2025, p 2024.11.19.624167. https://doi.org/10.1101/2024.11.19.624167</w:t>
      </w:r>
    </w:p>
    <w:p w14:paraId="587B567B" w14:textId="77777777" w:rsidR="008A2546" w:rsidRPr="008A2546" w:rsidRDefault="008A2546" w:rsidP="008A2546">
      <w:pPr>
        <w:pStyle w:val="Bibliography"/>
        <w:rPr>
          <w:lang w:bidi="hi-IN"/>
        </w:rPr>
      </w:pPr>
      <w:r w:rsidRPr="008A2546">
        <w:rPr>
          <w:lang w:bidi="hi-IN"/>
        </w:rPr>
        <w:t>(85)</w:t>
      </w:r>
      <w:r w:rsidRPr="008A2546">
        <w:rPr>
          <w:lang w:bidi="hi-IN"/>
        </w:rPr>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560D7124" w14:textId="0EB18314" w:rsidR="00574C6E" w:rsidRPr="00E536AD" w:rsidRDefault="00574C6E" w:rsidP="008A2546">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66CE4"/>
    <w:rsid w:val="003705E0"/>
    <w:rsid w:val="00373312"/>
    <w:rsid w:val="00376843"/>
    <w:rsid w:val="003874B7"/>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70A2"/>
    <w:rsid w:val="0048662B"/>
    <w:rsid w:val="004917E3"/>
    <w:rsid w:val="00492042"/>
    <w:rsid w:val="004947E0"/>
    <w:rsid w:val="004A1DC1"/>
    <w:rsid w:val="004A7E09"/>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813297"/>
    <w:rsid w:val="00814616"/>
    <w:rsid w:val="00826D51"/>
    <w:rsid w:val="00831C83"/>
    <w:rsid w:val="008437F2"/>
    <w:rsid w:val="00850660"/>
    <w:rsid w:val="00851C44"/>
    <w:rsid w:val="00853313"/>
    <w:rsid w:val="00861E61"/>
    <w:rsid w:val="00864E5F"/>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7B14"/>
    <w:rsid w:val="00CD7535"/>
    <w:rsid w:val="00CE58C7"/>
    <w:rsid w:val="00CF5C61"/>
    <w:rsid w:val="00CF6138"/>
    <w:rsid w:val="00D02691"/>
    <w:rsid w:val="00D05342"/>
    <w:rsid w:val="00D06532"/>
    <w:rsid w:val="00D10CD4"/>
    <w:rsid w:val="00D11E55"/>
    <w:rsid w:val="00D2294F"/>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1E828"/>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csb.org/structure/4NCG" TargetMode="External"/><Relationship Id="rId13" Type="http://schemas.openxmlformats.org/officeDocument/2006/relationships/image" Target="media/image4.emf"/><Relationship Id="rId3" Type="http://schemas.openxmlformats.org/officeDocument/2006/relationships/styles" Target="styles.xml"/><Relationship Id="rId7" Type="http://schemas.openxmlformats.org/officeDocument/2006/relationships/image" Target="media/image1.emf"/><Relationship Id="rId12" Type="http://schemas.openxmlformats.org/officeDocument/2006/relationships/hyperlink" Target="https://hivdb.stanford.ed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rsatija@stanford.edu" TargetMode="External"/><Relationship Id="rId11" Type="http://schemas.openxmlformats.org/officeDocument/2006/relationships/image" Target="media/image3.sv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pubchem.ncbi.nlm.nih.gov/compound/Doravirine" TargetMode="External"/><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39</Pages>
  <Words>57565</Words>
  <Characters>328122</Characters>
  <Application>Microsoft Office Word</Application>
  <DocSecurity>0</DocSecurity>
  <Lines>2734</Lines>
  <Paragraphs>769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302</cp:revision>
  <dcterms:created xsi:type="dcterms:W3CDTF">2026-08-29T02:32:00Z</dcterms:created>
  <dcterms:modified xsi:type="dcterms:W3CDTF">2026-09-03T00:54:00Z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id="xBKxukYt"/&gt;&lt;style id="http://www.zotero.org/styles/american-chemical-society" hasBibliography="1" bibliographyStyleHasBeenSet="1"/&gt;&lt;prefs&gt;&lt;pref name="fieldType" value="Field"/&gt;&lt;/prefs&gt;&lt;/data&gt;</vt:lpwstr>
  </property>
</Properties>
</file>