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35BF5" w14:textId="5619AD52" w:rsidR="00936881" w:rsidRDefault="00936881">
      <w:pPr>
        <w:rPr>
          <w:rFonts w:ascii="Times New Roman" w:hAnsi="Times New Roman" w:cs="Times New Roman"/>
          <w:b/>
          <w:bCs/>
          <w:sz w:val="28"/>
          <w:szCs w:val="28"/>
        </w:rPr>
      </w:pPr>
      <w:r>
        <w:rPr>
          <w:rFonts w:ascii="Times New Roman" w:hAnsi="Times New Roman" w:cs="Times New Roman"/>
          <w:b/>
          <w:bCs/>
          <w:sz w:val="28"/>
          <w:szCs w:val="28"/>
        </w:rPr>
        <w:t>Doravirine Resistance Mechanisms in HIV-1 Reverse Transcriptase Revealed by Molecular Dynamics Simulations</w:t>
      </w:r>
    </w:p>
    <w:p w14:paraId="50F2D74E" w14:textId="77777777" w:rsidR="00936881" w:rsidRDefault="00936881">
      <w:pPr>
        <w:rPr>
          <w:rFonts w:ascii="Times New Roman" w:hAnsi="Times New Roman" w:cs="Times New Roman"/>
          <w:b/>
          <w:bCs/>
          <w:sz w:val="28"/>
          <w:szCs w:val="28"/>
        </w:rPr>
      </w:pPr>
    </w:p>
    <w:p w14:paraId="59918D7D" w14:textId="0E6FCC53" w:rsidR="00936881" w:rsidRDefault="00936881">
      <w:pPr>
        <w:rPr>
          <w:rFonts w:ascii="Times New Roman" w:hAnsi="Times New Roman" w:cs="Times New Roman"/>
          <w:b/>
          <w:bCs/>
          <w:sz w:val="28"/>
          <w:szCs w:val="28"/>
        </w:rPr>
      </w:pPr>
      <w:r>
        <w:rPr>
          <w:rFonts w:ascii="Times New Roman" w:hAnsi="Times New Roman" w:cs="Times New Roman"/>
          <w:b/>
          <w:bCs/>
          <w:sz w:val="28"/>
          <w:szCs w:val="28"/>
        </w:rPr>
        <w:t>Abstract</w:t>
      </w:r>
    </w:p>
    <w:p w14:paraId="3FFBCAC2" w14:textId="06C2956C" w:rsidR="00936881" w:rsidRDefault="00936881">
      <w:pPr>
        <w:rPr>
          <w:rFonts w:ascii="Times New Roman" w:hAnsi="Times New Roman" w:cs="Times New Roman"/>
          <w:szCs w:val="24"/>
        </w:rPr>
      </w:pPr>
      <w:r w:rsidRPr="00936881">
        <w:rPr>
          <w:rFonts w:ascii="Times New Roman" w:hAnsi="Times New Roman" w:cs="Times New Roman"/>
          <w:szCs w:val="24"/>
        </w:rPr>
        <w:t>Doravirine (DOR) is a next-generation Non-Nucleotide Reverse Transcriptase Inhibitor (NNRTI) with durable clinical activity and a unique resistance profile, but publicly available phenotypic susceptibility data for DOR-associated resistance mutations remains limited. Here, we performed all-atom explicit-solvent molecular dynamics (MD) simulations of wild-type (WT) HIV-1 reverse transcriptase (RT) and 18 mutant genotypes as a structure-based approach to fill this gap.</w:t>
      </w:r>
      <w:r>
        <w:rPr>
          <w:rFonts w:ascii="Times New Roman" w:hAnsi="Times New Roman" w:cs="Times New Roman"/>
          <w:szCs w:val="24"/>
        </w:rPr>
        <w:t xml:space="preserve"> </w:t>
      </w:r>
      <w:r w:rsidRPr="00936881">
        <w:rPr>
          <w:rFonts w:ascii="Times New Roman" w:hAnsi="Times New Roman" w:cs="Times New Roman"/>
          <w:szCs w:val="24"/>
        </w:rPr>
        <w:t>We observed that the electrostatic component of the relative RT-DOR binding energy</w:t>
      </w:r>
      <w:r w:rsidR="00B11FD5">
        <w:rPr>
          <w:rFonts w:ascii="Times New Roman" w:hAnsi="Times New Roman" w:cs="Times New Roman"/>
          <w:szCs w:val="24"/>
        </w:rPr>
        <w:t xml:space="preserve"> score</w:t>
      </w:r>
      <w:r w:rsidRPr="00936881">
        <w:rPr>
          <w:rFonts w:ascii="Times New Roman" w:hAnsi="Times New Roman" w:cs="Times New Roman"/>
          <w:szCs w:val="24"/>
        </w:rPr>
        <w:t xml:space="preserve">, computed from </w:t>
      </w:r>
      <w:r w:rsidR="009D5DAB">
        <w:rPr>
          <w:rFonts w:ascii="Times New Roman" w:hAnsi="Times New Roman" w:cs="Times New Roman"/>
          <w:szCs w:val="24"/>
        </w:rPr>
        <w:t>these</w:t>
      </w:r>
      <w:r w:rsidRPr="00936881">
        <w:rPr>
          <w:rFonts w:ascii="Times New Roman" w:hAnsi="Times New Roman" w:cs="Times New Roman"/>
          <w:szCs w:val="24"/>
        </w:rPr>
        <w:t xml:space="preserve"> simulations, demonstrates weak but statistically significant correlation with the available phenotypic DOR susceptibility changes </w:t>
      </w:r>
      <w:r w:rsidRPr="00936881">
        <w:rPr>
          <w:rFonts w:ascii="Times New Roman" w:hAnsi="Times New Roman" w:cs="Times New Roman"/>
          <w:i/>
          <w:iCs/>
          <w:szCs w:val="24"/>
        </w:rPr>
        <w:t>in vitro</w:t>
      </w:r>
      <w:r w:rsidRPr="00936881">
        <w:rPr>
          <w:rFonts w:ascii="Times New Roman" w:hAnsi="Times New Roman" w:cs="Times New Roman"/>
          <w:szCs w:val="24"/>
        </w:rPr>
        <w:t>. Furthermore, local trajectory-level analyses identified mutation-specific structural effects</w:t>
      </w:r>
      <w:r w:rsidR="00C427E7">
        <w:rPr>
          <w:rFonts w:ascii="Times New Roman" w:hAnsi="Times New Roman" w:cs="Times New Roman"/>
          <w:szCs w:val="24"/>
        </w:rPr>
        <w:t>. For example,</w:t>
      </w:r>
      <w:r w:rsidRPr="00936881">
        <w:rPr>
          <w:rFonts w:ascii="Times New Roman" w:hAnsi="Times New Roman" w:cs="Times New Roman"/>
          <w:szCs w:val="24"/>
        </w:rPr>
        <w:t xml:space="preserve"> V106A-containing genotypes shift DOR toward the </w:t>
      </w:r>
      <w:r w:rsidR="00C76E0F">
        <w:rPr>
          <w:rFonts w:ascii="Times New Roman" w:hAnsi="Times New Roman" w:cs="Times New Roman"/>
          <w:szCs w:val="24"/>
        </w:rPr>
        <w:t>103-108 loop</w:t>
      </w:r>
      <w:r w:rsidRPr="00936881">
        <w:rPr>
          <w:rFonts w:ascii="Times New Roman" w:hAnsi="Times New Roman" w:cs="Times New Roman"/>
          <w:szCs w:val="24"/>
        </w:rPr>
        <w:t xml:space="preserve">, leading to compensatory interactions with Lys104 and Ser105; V106I+F227C samples distinct DOR poses from V106A+F227L despite similar phenotypic resistance; and G190E perturbs the </w:t>
      </w:r>
      <w:r w:rsidR="00C76E0F">
        <w:rPr>
          <w:rFonts w:ascii="Times New Roman" w:hAnsi="Times New Roman" w:cs="Times New Roman"/>
          <w:szCs w:val="24"/>
        </w:rPr>
        <w:t>pocket entrance</w:t>
      </w:r>
      <w:r w:rsidRPr="00936881">
        <w:rPr>
          <w:rFonts w:ascii="Times New Roman" w:hAnsi="Times New Roman" w:cs="Times New Roman"/>
          <w:szCs w:val="24"/>
        </w:rPr>
        <w:t xml:space="preserve">, </w:t>
      </w:r>
      <w:r w:rsidR="00EE65AE">
        <w:rPr>
          <w:rFonts w:ascii="Times New Roman" w:hAnsi="Times New Roman" w:cs="Times New Roman"/>
          <w:szCs w:val="24"/>
        </w:rPr>
        <w:t>disrupting</w:t>
      </w:r>
      <w:r w:rsidRPr="00936881">
        <w:rPr>
          <w:rFonts w:ascii="Times New Roman" w:hAnsi="Times New Roman" w:cs="Times New Roman"/>
          <w:szCs w:val="24"/>
        </w:rPr>
        <w:t xml:space="preserve"> </w:t>
      </w:r>
      <w:r w:rsidR="00EE65AE">
        <w:rPr>
          <w:rFonts w:ascii="Times New Roman" w:hAnsi="Times New Roman" w:cs="Times New Roman"/>
          <w:szCs w:val="24"/>
        </w:rPr>
        <w:t xml:space="preserve">DOR </w:t>
      </w:r>
      <w:r w:rsidRPr="00936881">
        <w:rPr>
          <w:rFonts w:ascii="Times New Roman" w:hAnsi="Times New Roman" w:cs="Times New Roman"/>
          <w:szCs w:val="24"/>
        </w:rPr>
        <w:t xml:space="preserve">contact with Val179. A custom logistic regression model trained on MD-derived structural features is able to segregate low- and high-resistance genotypes, producing probabilities that correlate well with </w:t>
      </w:r>
      <w:r w:rsidR="00230A01">
        <w:rPr>
          <w:rFonts w:ascii="Times New Roman" w:hAnsi="Times New Roman" w:cs="Times New Roman"/>
          <w:szCs w:val="24"/>
        </w:rPr>
        <w:t xml:space="preserve">the </w:t>
      </w:r>
      <w:r w:rsidRPr="00936881">
        <w:rPr>
          <w:rFonts w:ascii="Times New Roman" w:hAnsi="Times New Roman" w:cs="Times New Roman"/>
          <w:szCs w:val="24"/>
        </w:rPr>
        <w:t xml:space="preserve">available </w:t>
      </w:r>
      <w:r w:rsidRPr="00230A01">
        <w:rPr>
          <w:rFonts w:ascii="Times New Roman" w:hAnsi="Times New Roman" w:cs="Times New Roman"/>
          <w:i/>
          <w:iCs/>
          <w:szCs w:val="24"/>
        </w:rPr>
        <w:t>in vitro</w:t>
      </w:r>
      <w:r w:rsidRPr="00936881">
        <w:rPr>
          <w:rFonts w:ascii="Times New Roman" w:hAnsi="Times New Roman" w:cs="Times New Roman"/>
          <w:szCs w:val="24"/>
        </w:rPr>
        <w:t xml:space="preserve"> DOR susceptibility data. Together, these results support a structurally grounded framework for interpreting DOR resistance, </w:t>
      </w:r>
      <w:r w:rsidR="00230A01" w:rsidRPr="00230A01">
        <w:rPr>
          <w:rFonts w:ascii="Times New Roman" w:hAnsi="Times New Roman" w:cs="Times New Roman"/>
          <w:szCs w:val="24"/>
        </w:rPr>
        <w:t>estimating the risk of DOR use in people living with HIV who carry pre-existing NNRTI mutations, and informing the design of future NNRTIs.</w:t>
      </w:r>
    </w:p>
    <w:p w14:paraId="26E8043D" w14:textId="77777777" w:rsidR="00230A01" w:rsidRDefault="00230A01">
      <w:pPr>
        <w:rPr>
          <w:rFonts w:ascii="Times New Roman" w:hAnsi="Times New Roman" w:cs="Times New Roman"/>
          <w:szCs w:val="24"/>
        </w:rPr>
      </w:pPr>
    </w:p>
    <w:p w14:paraId="03DB355B" w14:textId="047CBC43" w:rsidR="00230A01" w:rsidRDefault="000366F8">
      <w:pPr>
        <w:rPr>
          <w:rFonts w:ascii="Times New Roman" w:hAnsi="Times New Roman" w:cs="Times New Roman"/>
          <w:b/>
          <w:bCs/>
          <w:sz w:val="28"/>
          <w:szCs w:val="28"/>
        </w:rPr>
      </w:pPr>
      <w:r>
        <w:rPr>
          <w:rFonts w:ascii="Times New Roman" w:hAnsi="Times New Roman" w:cs="Times New Roman"/>
          <w:b/>
          <w:bCs/>
          <w:sz w:val="28"/>
          <w:szCs w:val="28"/>
        </w:rPr>
        <w:t>Introduction</w:t>
      </w:r>
    </w:p>
    <w:p w14:paraId="306F88AC" w14:textId="3BF333A0" w:rsidR="000366F8" w:rsidRPr="002B5128" w:rsidRDefault="002B5128">
      <w:pPr>
        <w:rPr>
          <w:rFonts w:ascii="Times New Roman" w:hAnsi="Times New Roman" w:cs="Times New Roman"/>
          <w:i/>
          <w:iCs/>
          <w:sz w:val="28"/>
          <w:szCs w:val="28"/>
        </w:rPr>
      </w:pPr>
      <w:r w:rsidRPr="002B5128">
        <w:rPr>
          <w:rFonts w:ascii="Times New Roman" w:hAnsi="Times New Roman" w:cs="Times New Roman"/>
          <w:i/>
          <w:iCs/>
          <w:sz w:val="28"/>
          <w:szCs w:val="28"/>
        </w:rPr>
        <w:t>Work in Progress</w:t>
      </w:r>
    </w:p>
    <w:p w14:paraId="4992AB1A" w14:textId="77777777" w:rsidR="002B5128" w:rsidRDefault="002B5128">
      <w:pPr>
        <w:rPr>
          <w:rFonts w:ascii="Times New Roman" w:hAnsi="Times New Roman" w:cs="Times New Roman"/>
          <w:b/>
          <w:bCs/>
          <w:sz w:val="28"/>
          <w:szCs w:val="28"/>
        </w:rPr>
      </w:pPr>
    </w:p>
    <w:p w14:paraId="08B90266" w14:textId="01923F86" w:rsidR="000366F8" w:rsidRDefault="000366F8">
      <w:pPr>
        <w:rPr>
          <w:rFonts w:ascii="Times New Roman" w:hAnsi="Times New Roman" w:cs="Times New Roman"/>
          <w:b/>
          <w:bCs/>
          <w:sz w:val="28"/>
          <w:szCs w:val="28"/>
        </w:rPr>
      </w:pPr>
      <w:r>
        <w:rPr>
          <w:rFonts w:ascii="Times New Roman" w:hAnsi="Times New Roman" w:cs="Times New Roman"/>
          <w:b/>
          <w:bCs/>
          <w:sz w:val="28"/>
          <w:szCs w:val="28"/>
        </w:rPr>
        <w:t>Results</w:t>
      </w:r>
    </w:p>
    <w:p w14:paraId="08682620" w14:textId="77777777" w:rsidR="000366F8" w:rsidRDefault="000366F8">
      <w:pPr>
        <w:rPr>
          <w:rFonts w:ascii="Times New Roman" w:hAnsi="Times New Roman" w:cs="Times New Roman"/>
          <w:szCs w:val="24"/>
        </w:rPr>
      </w:pPr>
    </w:p>
    <w:p w14:paraId="0B0FAE87" w14:textId="60780523" w:rsidR="00C965EE" w:rsidRPr="00D55273" w:rsidRDefault="00C965EE">
      <w:pPr>
        <w:rPr>
          <w:rFonts w:ascii="Times New Roman" w:hAnsi="Times New Roman" w:cs="Times New Roman"/>
          <w:b/>
          <w:bCs/>
          <w:szCs w:val="24"/>
          <w:u w:val="single"/>
        </w:rPr>
      </w:pPr>
      <w:r w:rsidRPr="00D55273">
        <w:rPr>
          <w:rFonts w:ascii="Times New Roman" w:hAnsi="Times New Roman" w:cs="Times New Roman"/>
          <w:b/>
          <w:bCs/>
          <w:szCs w:val="24"/>
          <w:u w:val="single"/>
        </w:rPr>
        <w:t>DOR Phenotypic susceptibility landscape</w:t>
      </w:r>
    </w:p>
    <w:p w14:paraId="78584704" w14:textId="546D1539" w:rsidR="00C965EE" w:rsidRDefault="00C965EE" w:rsidP="00C965EE">
      <w:pPr>
        <w:rPr>
          <w:rFonts w:ascii="Times New Roman" w:hAnsi="Times New Roman" w:cs="Times New Roman"/>
          <w:szCs w:val="24"/>
        </w:rPr>
      </w:pPr>
      <w:r w:rsidRPr="00C965EE">
        <w:rPr>
          <w:rFonts w:ascii="Times New Roman" w:hAnsi="Times New Roman" w:cs="Times New Roman"/>
          <w:szCs w:val="24"/>
        </w:rPr>
        <w:t xml:space="preserve">We assembled a panel of 18 DOR-associated genotypes for simulation together with WT RT. These genotypes were selected to cover three distinct categories: (i) </w:t>
      </w:r>
      <w:r w:rsidR="00FD5AE8" w:rsidRPr="00FD5AE8">
        <w:rPr>
          <w:rFonts w:ascii="Times New Roman" w:hAnsi="Times New Roman" w:cs="Times New Roman"/>
          <w:i/>
          <w:iCs/>
          <w:szCs w:val="24"/>
        </w:rPr>
        <w:t>Negative controls</w:t>
      </w:r>
      <w:r w:rsidR="00FD5AE8">
        <w:rPr>
          <w:rFonts w:ascii="Times New Roman" w:hAnsi="Times New Roman" w:cs="Times New Roman"/>
          <w:szCs w:val="24"/>
        </w:rPr>
        <w:t xml:space="preserve">: </w:t>
      </w:r>
      <w:r w:rsidRPr="00C965EE">
        <w:rPr>
          <w:rFonts w:ascii="Times New Roman" w:hAnsi="Times New Roman" w:cs="Times New Roman"/>
          <w:szCs w:val="24"/>
        </w:rPr>
        <w:t xml:space="preserve">well-established low-impact control mutations, (ii) </w:t>
      </w:r>
      <w:r w:rsidR="00FD5AE8" w:rsidRPr="00FD5AE8">
        <w:rPr>
          <w:rFonts w:ascii="Times New Roman" w:hAnsi="Times New Roman" w:cs="Times New Roman"/>
          <w:i/>
          <w:iCs/>
          <w:szCs w:val="24"/>
        </w:rPr>
        <w:t>Positive controls</w:t>
      </w:r>
      <w:r w:rsidR="00FD5AE8">
        <w:rPr>
          <w:rFonts w:ascii="Times New Roman" w:hAnsi="Times New Roman" w:cs="Times New Roman"/>
          <w:szCs w:val="24"/>
        </w:rPr>
        <w:t xml:space="preserve">: </w:t>
      </w:r>
      <w:r w:rsidRPr="00C965EE">
        <w:rPr>
          <w:rFonts w:ascii="Times New Roman" w:hAnsi="Times New Roman" w:cs="Times New Roman"/>
          <w:szCs w:val="24"/>
        </w:rPr>
        <w:t xml:space="preserve">canonical DOR-associated resistance genotypes, and (iii) </w:t>
      </w:r>
      <w:r w:rsidR="00FD5AE8">
        <w:rPr>
          <w:rFonts w:ascii="Times New Roman" w:hAnsi="Times New Roman" w:cs="Times New Roman"/>
          <w:i/>
          <w:iCs/>
          <w:szCs w:val="24"/>
        </w:rPr>
        <w:t xml:space="preserve">Limited </w:t>
      </w:r>
      <w:r w:rsidR="00FD5AE8" w:rsidRPr="00FD5AE8">
        <w:rPr>
          <w:rFonts w:ascii="Times New Roman" w:hAnsi="Times New Roman" w:cs="Times New Roman"/>
          <w:i/>
          <w:iCs/>
          <w:szCs w:val="24"/>
        </w:rPr>
        <w:t>data</w:t>
      </w:r>
      <w:r w:rsidR="00FD5AE8">
        <w:rPr>
          <w:rFonts w:ascii="Times New Roman" w:hAnsi="Times New Roman" w:cs="Times New Roman"/>
          <w:szCs w:val="24"/>
        </w:rPr>
        <w:t xml:space="preserve">: </w:t>
      </w:r>
      <w:r w:rsidRPr="00FD5AE8">
        <w:rPr>
          <w:rFonts w:ascii="Times New Roman" w:hAnsi="Times New Roman" w:cs="Times New Roman"/>
          <w:szCs w:val="24"/>
        </w:rPr>
        <w:t>genotypes</w:t>
      </w:r>
      <w:r w:rsidRPr="00C965EE">
        <w:rPr>
          <w:rFonts w:ascii="Times New Roman" w:hAnsi="Times New Roman" w:cs="Times New Roman"/>
          <w:szCs w:val="24"/>
        </w:rPr>
        <w:t xml:space="preserve"> with limited, sparse, or mechanistically ambiguous DOR susceptibility data. Figure 1 summarizes the median fold-change in DOR susceptibility used to define the panel, and Supplementary Table 1 </w:t>
      </w:r>
      <w:r w:rsidR="006F609B" w:rsidRPr="006F609B">
        <w:rPr>
          <w:rFonts w:ascii="Times New Roman" w:hAnsi="Times New Roman" w:cs="Times New Roman"/>
          <w:szCs w:val="24"/>
          <w:highlight w:val="yellow"/>
        </w:rPr>
        <w:t>(@Rohit to add)</w:t>
      </w:r>
      <w:r w:rsidR="006F609B">
        <w:rPr>
          <w:rFonts w:ascii="Times New Roman" w:hAnsi="Times New Roman" w:cs="Times New Roman"/>
          <w:szCs w:val="24"/>
        </w:rPr>
        <w:t xml:space="preserve"> </w:t>
      </w:r>
      <w:r w:rsidRPr="00C965EE">
        <w:rPr>
          <w:rFonts w:ascii="Times New Roman" w:hAnsi="Times New Roman" w:cs="Times New Roman"/>
          <w:szCs w:val="24"/>
        </w:rPr>
        <w:t>traces each genotype-level value to its original published source and assay context.</w:t>
      </w:r>
    </w:p>
    <w:p w14:paraId="1F4C434A" w14:textId="77777777" w:rsidR="00C965EE" w:rsidRPr="00C965EE" w:rsidRDefault="00C965EE" w:rsidP="00C965EE">
      <w:pPr>
        <w:rPr>
          <w:rFonts w:ascii="Times New Roman" w:hAnsi="Times New Roman" w:cs="Times New Roman"/>
          <w:szCs w:val="24"/>
        </w:rPr>
      </w:pPr>
    </w:p>
    <w:p w14:paraId="6DA94D33" w14:textId="10B671AD" w:rsidR="00C965EE" w:rsidRPr="00C965EE" w:rsidRDefault="00C965EE" w:rsidP="00C965EE">
      <w:pPr>
        <w:rPr>
          <w:rFonts w:ascii="Times New Roman" w:hAnsi="Times New Roman" w:cs="Times New Roman"/>
          <w:szCs w:val="24"/>
        </w:rPr>
      </w:pPr>
      <w:r w:rsidRPr="00C965EE">
        <w:rPr>
          <w:rFonts w:ascii="Times New Roman" w:hAnsi="Times New Roman" w:cs="Times New Roman"/>
          <w:szCs w:val="24"/>
        </w:rPr>
        <w:t xml:space="preserve">We chose K103N, Y181C, and G190A as </w:t>
      </w:r>
      <w:r w:rsidR="0015518B">
        <w:rPr>
          <w:rFonts w:ascii="Times New Roman" w:hAnsi="Times New Roman" w:cs="Times New Roman"/>
          <w:szCs w:val="24"/>
        </w:rPr>
        <w:t>negative</w:t>
      </w:r>
      <w:r w:rsidRPr="00C965EE">
        <w:rPr>
          <w:rFonts w:ascii="Times New Roman" w:hAnsi="Times New Roman" w:cs="Times New Roman"/>
          <w:szCs w:val="24"/>
        </w:rPr>
        <w:t xml:space="preserve"> controls because multiple studies indicate that DOR generally retains activity against these classical NNRTI mutations</w:t>
      </w:r>
      <w:r w:rsidR="00671B81">
        <w:rPr>
          <w:rFonts w:ascii="Times New Roman" w:hAnsi="Times New Roman" w:cs="Times New Roman"/>
          <w:szCs w:val="24"/>
        </w:rPr>
        <w:t xml:space="preserve">. </w:t>
      </w:r>
      <w:r w:rsidRPr="00C965EE">
        <w:rPr>
          <w:rFonts w:ascii="Times New Roman" w:hAnsi="Times New Roman" w:cs="Times New Roman"/>
          <w:szCs w:val="24"/>
        </w:rPr>
        <w:t xml:space="preserve">We chose V106A, Y188L, Y318F, A98G+F227C, V106A+F227L, V106A+L234I, V106A+P225H, and V106I+F227C as canonical DOR-associated high-resistance </w:t>
      </w:r>
      <w:r w:rsidR="0015518B">
        <w:rPr>
          <w:rFonts w:ascii="Times New Roman" w:hAnsi="Times New Roman" w:cs="Times New Roman"/>
          <w:szCs w:val="24"/>
        </w:rPr>
        <w:t xml:space="preserve">positive </w:t>
      </w:r>
      <w:r w:rsidRPr="00C965EE">
        <w:rPr>
          <w:rFonts w:ascii="Times New Roman" w:hAnsi="Times New Roman" w:cs="Times New Roman"/>
          <w:szCs w:val="24"/>
        </w:rPr>
        <w:t xml:space="preserve">controls because they recur across </w:t>
      </w:r>
      <w:r w:rsidRPr="0015518B">
        <w:rPr>
          <w:rFonts w:ascii="Times New Roman" w:hAnsi="Times New Roman" w:cs="Times New Roman"/>
          <w:i/>
          <w:iCs/>
          <w:szCs w:val="24"/>
        </w:rPr>
        <w:t>in vitro</w:t>
      </w:r>
      <w:r w:rsidRPr="00C965EE">
        <w:rPr>
          <w:rFonts w:ascii="Times New Roman" w:hAnsi="Times New Roman" w:cs="Times New Roman"/>
          <w:szCs w:val="24"/>
        </w:rPr>
        <w:t xml:space="preserve"> selection studies, clinical development datasets, and phenotypic susceptibility analyses</w:t>
      </w:r>
      <w:r w:rsidR="00671B81">
        <w:rPr>
          <w:rFonts w:ascii="Times New Roman" w:hAnsi="Times New Roman" w:cs="Times New Roman"/>
          <w:szCs w:val="24"/>
        </w:rPr>
        <w:t xml:space="preserve">. </w:t>
      </w:r>
      <w:r w:rsidRPr="00C965EE">
        <w:rPr>
          <w:rFonts w:ascii="Times New Roman" w:hAnsi="Times New Roman" w:cs="Times New Roman"/>
          <w:szCs w:val="24"/>
        </w:rPr>
        <w:t xml:space="preserve">Finally, we included K103N+L100I, K103N+P225H, K103N+M230L, V106I, V106M, G190E, and G190S as a limited-data set comprising genotypes with sparse primary susceptibility </w:t>
      </w:r>
      <w:r w:rsidRPr="00C965EE">
        <w:rPr>
          <w:rFonts w:ascii="Times New Roman" w:hAnsi="Times New Roman" w:cs="Times New Roman"/>
          <w:szCs w:val="24"/>
        </w:rPr>
        <w:lastRenderedPageBreak/>
        <w:t>measurements, subtype-dependent uncertainty, or incomplete mechanistic resolution in the published literature</w:t>
      </w:r>
      <w:r w:rsidR="00671B81">
        <w:rPr>
          <w:rFonts w:ascii="Times New Roman" w:hAnsi="Times New Roman" w:cs="Times New Roman"/>
          <w:szCs w:val="24"/>
        </w:rPr>
        <w:t>.</w:t>
      </w:r>
    </w:p>
    <w:p w14:paraId="3637FE16" w14:textId="77777777" w:rsidR="0015518B" w:rsidRDefault="0015518B" w:rsidP="00C965EE">
      <w:pPr>
        <w:rPr>
          <w:rFonts w:ascii="Times New Roman" w:hAnsi="Times New Roman" w:cs="Times New Roman"/>
          <w:szCs w:val="24"/>
        </w:rPr>
      </w:pPr>
    </w:p>
    <w:p w14:paraId="39173162" w14:textId="50171DDF" w:rsidR="00C965EE" w:rsidRDefault="0015518B" w:rsidP="00C965EE">
      <w:pPr>
        <w:rPr>
          <w:rFonts w:ascii="Times New Roman" w:hAnsi="Times New Roman" w:cs="Times New Roman"/>
          <w:szCs w:val="24"/>
        </w:rPr>
      </w:pPr>
      <w:r>
        <w:rPr>
          <w:rFonts w:ascii="Times New Roman" w:hAnsi="Times New Roman" w:cs="Times New Roman"/>
          <w:szCs w:val="24"/>
        </w:rPr>
        <w:t>Note that</w:t>
      </w:r>
      <w:r w:rsidR="00C965EE" w:rsidRPr="00C965EE">
        <w:rPr>
          <w:rFonts w:ascii="Times New Roman" w:hAnsi="Times New Roman" w:cs="Times New Roman"/>
          <w:szCs w:val="24"/>
        </w:rPr>
        <w:t xml:space="preserve"> not all fold-change values derive from the same assay platform or experimental design. Some come from large-scale Monogram </w:t>
      </w:r>
      <w:proofErr w:type="spellStart"/>
      <w:r w:rsidR="00C965EE" w:rsidRPr="00C965EE">
        <w:rPr>
          <w:rFonts w:ascii="Times New Roman" w:hAnsi="Times New Roman" w:cs="Times New Roman"/>
          <w:szCs w:val="24"/>
        </w:rPr>
        <w:t>PhenoSense</w:t>
      </w:r>
      <w:proofErr w:type="spellEnd"/>
      <w:r w:rsidR="00C965EE" w:rsidRPr="00C965EE">
        <w:rPr>
          <w:rFonts w:ascii="Times New Roman" w:hAnsi="Times New Roman" w:cs="Times New Roman"/>
          <w:szCs w:val="24"/>
        </w:rPr>
        <w:t xml:space="preserve"> datasets, some from Merck reporter-gene or site-directed mutant studies, and some from clinical-development isolates or more limited targeted phenotyping studies. </w:t>
      </w:r>
      <w:r>
        <w:rPr>
          <w:rFonts w:ascii="Times New Roman" w:hAnsi="Times New Roman" w:cs="Times New Roman"/>
          <w:szCs w:val="24"/>
        </w:rPr>
        <w:t>Because</w:t>
      </w:r>
      <w:r w:rsidR="00C965EE" w:rsidRPr="00C965EE">
        <w:rPr>
          <w:rFonts w:ascii="Times New Roman" w:hAnsi="Times New Roman" w:cs="Times New Roman"/>
          <w:szCs w:val="24"/>
        </w:rPr>
        <w:t xml:space="preserve"> the DOR phenotype literature remains small and heterogeneous, the panel </w:t>
      </w:r>
      <w:r w:rsidR="006F24CF">
        <w:rPr>
          <w:rFonts w:ascii="Times New Roman" w:hAnsi="Times New Roman" w:cs="Times New Roman"/>
          <w:szCs w:val="24"/>
        </w:rPr>
        <w:t xml:space="preserve">assembled here </w:t>
      </w:r>
      <w:r w:rsidR="00C965EE" w:rsidRPr="00C965EE">
        <w:rPr>
          <w:rFonts w:ascii="Times New Roman" w:hAnsi="Times New Roman" w:cs="Times New Roman"/>
          <w:szCs w:val="24"/>
        </w:rPr>
        <w:t xml:space="preserve">should </w:t>
      </w:r>
      <w:r>
        <w:rPr>
          <w:rFonts w:ascii="Times New Roman" w:hAnsi="Times New Roman" w:cs="Times New Roman"/>
          <w:szCs w:val="24"/>
        </w:rPr>
        <w:t xml:space="preserve">not </w:t>
      </w:r>
      <w:r w:rsidR="001F0A69">
        <w:rPr>
          <w:rFonts w:ascii="Times New Roman" w:hAnsi="Times New Roman" w:cs="Times New Roman"/>
          <w:szCs w:val="24"/>
        </w:rPr>
        <w:t>yet</w:t>
      </w:r>
      <w:r>
        <w:rPr>
          <w:rFonts w:ascii="Times New Roman" w:hAnsi="Times New Roman" w:cs="Times New Roman"/>
          <w:szCs w:val="24"/>
        </w:rPr>
        <w:t xml:space="preserve"> be viewed as a standardized</w:t>
      </w:r>
      <w:r w:rsidR="00C965EE" w:rsidRPr="00C965EE">
        <w:rPr>
          <w:rFonts w:ascii="Times New Roman" w:hAnsi="Times New Roman" w:cs="Times New Roman"/>
          <w:szCs w:val="24"/>
        </w:rPr>
        <w:t xml:space="preserve"> benchmark dataset.</w:t>
      </w:r>
    </w:p>
    <w:p w14:paraId="5ED72A6E" w14:textId="77777777" w:rsidR="00AF30BF" w:rsidRDefault="00AF30BF" w:rsidP="00C965EE">
      <w:pPr>
        <w:rPr>
          <w:rFonts w:ascii="Times New Roman" w:hAnsi="Times New Roman" w:cs="Times New Roman"/>
          <w:szCs w:val="24"/>
        </w:rPr>
      </w:pPr>
    </w:p>
    <w:p w14:paraId="2476DCD0" w14:textId="4D8A5C7C" w:rsidR="00AF30BF" w:rsidRPr="00747450" w:rsidRDefault="001F0A69" w:rsidP="00AF30BF">
      <w:pPr>
        <w:rPr>
          <w:rFonts w:ascii="Arial" w:hAnsi="Arial" w:cs="Arial"/>
          <w:b/>
          <w:bCs/>
          <w:szCs w:val="24"/>
        </w:rPr>
      </w:pPr>
      <w:r>
        <w:rPr>
          <w:rFonts w:ascii="Arial" w:hAnsi="Arial" w:cs="Arial"/>
          <w:b/>
          <w:bCs/>
          <w:noProof/>
          <w:szCs w:val="24"/>
        </w:rPr>
        <w:drawing>
          <wp:inline distT="0" distB="0" distL="0" distR="0" wp14:anchorId="500AE5C0" wp14:editId="6579128E">
            <wp:extent cx="5943600" cy="2485390"/>
            <wp:effectExtent l="0" t="0" r="0" b="3810"/>
            <wp:docPr id="774608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08314" name="Picture 774608314"/>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485390"/>
                    </a:xfrm>
                    <a:prstGeom prst="rect">
                      <a:avLst/>
                    </a:prstGeom>
                  </pic:spPr>
                </pic:pic>
              </a:graphicData>
            </a:graphic>
          </wp:inline>
        </w:drawing>
      </w:r>
    </w:p>
    <w:p w14:paraId="7F01CBA2" w14:textId="77777777" w:rsidR="00AF30BF" w:rsidRPr="00AF30BF" w:rsidRDefault="00AF30BF" w:rsidP="00AF30BF">
      <w:pPr>
        <w:rPr>
          <w:rFonts w:ascii="Times New Roman" w:hAnsi="Times New Roman" w:cs="Times New Roman"/>
          <w:sz w:val="20"/>
          <w:szCs w:val="20"/>
        </w:rPr>
      </w:pPr>
      <w:r w:rsidRPr="00AF30BF">
        <w:rPr>
          <w:rFonts w:ascii="Times New Roman" w:hAnsi="Times New Roman" w:cs="Times New Roman"/>
          <w:b/>
          <w:bCs/>
          <w:sz w:val="20"/>
          <w:szCs w:val="20"/>
        </w:rPr>
        <w:t>Figure 1: Fold-change in DOR susceptibility associated with selected genotypes.</w:t>
      </w:r>
      <w:r w:rsidRPr="00AF30BF">
        <w:rPr>
          <w:rFonts w:ascii="Times New Roman" w:hAnsi="Times New Roman" w:cs="Times New Roman"/>
          <w:sz w:val="20"/>
          <w:szCs w:val="20"/>
        </w:rPr>
        <w:t xml:space="preserve"> Values represent median fold reductions in susceptibility relative to wild-type control viruses. Asterisk (*) denotes susceptibility results generated using non-</w:t>
      </w:r>
      <w:proofErr w:type="spellStart"/>
      <w:r w:rsidRPr="00AF30BF">
        <w:rPr>
          <w:rFonts w:ascii="Times New Roman" w:hAnsi="Times New Roman" w:cs="Times New Roman"/>
          <w:sz w:val="20"/>
          <w:szCs w:val="20"/>
        </w:rPr>
        <w:t>PhenoSense</w:t>
      </w:r>
      <w:proofErr w:type="spellEnd"/>
      <w:r w:rsidRPr="00AF30BF">
        <w:rPr>
          <w:rFonts w:ascii="Times New Roman" w:hAnsi="Times New Roman" w:cs="Times New Roman"/>
          <w:sz w:val="20"/>
          <w:szCs w:val="20"/>
        </w:rPr>
        <w:t xml:space="preserve"> assays.</w:t>
      </w:r>
    </w:p>
    <w:p w14:paraId="79FE1BA1" w14:textId="77777777" w:rsidR="00AF30BF" w:rsidRDefault="00AF30BF" w:rsidP="00C965EE">
      <w:pPr>
        <w:rPr>
          <w:rFonts w:ascii="Times New Roman" w:hAnsi="Times New Roman" w:cs="Times New Roman"/>
          <w:szCs w:val="24"/>
        </w:rPr>
      </w:pPr>
    </w:p>
    <w:p w14:paraId="50A91F5B" w14:textId="0C276201" w:rsidR="00D55273" w:rsidRPr="00D55273" w:rsidRDefault="00D55273" w:rsidP="00D55273">
      <w:pPr>
        <w:rPr>
          <w:rFonts w:ascii="Times New Roman" w:hAnsi="Times New Roman" w:cs="Times New Roman"/>
          <w:b/>
          <w:bCs/>
          <w:szCs w:val="24"/>
          <w:u w:val="single"/>
        </w:rPr>
      </w:pPr>
      <w:r w:rsidRPr="00D55273">
        <w:rPr>
          <w:rFonts w:ascii="Times New Roman" w:hAnsi="Times New Roman" w:cs="Times New Roman"/>
          <w:b/>
          <w:bCs/>
          <w:szCs w:val="24"/>
          <w:u w:val="single"/>
        </w:rPr>
        <w:t>Global RT-DOR energetic analysis captures a limited part of the DOR phenotypic susceptibility landscape</w:t>
      </w:r>
    </w:p>
    <w:p w14:paraId="6EB9F4D4" w14:textId="4DD006EA" w:rsidR="001F0A69" w:rsidRDefault="002B5128" w:rsidP="00C965EE">
      <w:pPr>
        <w:rPr>
          <w:rFonts w:ascii="Times New Roman" w:hAnsi="Times New Roman" w:cs="Times New Roman"/>
          <w:szCs w:val="24"/>
        </w:rPr>
      </w:pPr>
      <w:r>
        <w:rPr>
          <w:rFonts w:ascii="Times New Roman" w:hAnsi="Times New Roman" w:cs="Times New Roman"/>
          <w:szCs w:val="24"/>
        </w:rPr>
        <w:t>We first tested</w:t>
      </w:r>
      <w:r w:rsidR="00085D4C" w:rsidRPr="00085D4C">
        <w:rPr>
          <w:rFonts w:ascii="Times New Roman" w:hAnsi="Times New Roman" w:cs="Times New Roman"/>
          <w:szCs w:val="24"/>
        </w:rPr>
        <w:t xml:space="preserve"> whether short MD simulations could recover the phenotypic DOR susceptibility landscape through global energetic readouts</w:t>
      </w:r>
      <w:r>
        <w:rPr>
          <w:rFonts w:ascii="Times New Roman" w:hAnsi="Times New Roman" w:cs="Times New Roman"/>
          <w:szCs w:val="24"/>
        </w:rPr>
        <w:t>.</w:t>
      </w:r>
      <w:r w:rsidR="00085D4C" w:rsidRPr="00085D4C">
        <w:rPr>
          <w:rFonts w:ascii="Times New Roman" w:hAnsi="Times New Roman" w:cs="Times New Roman"/>
          <w:szCs w:val="24"/>
        </w:rPr>
        <w:t xml:space="preserve"> </w:t>
      </w:r>
      <w:r>
        <w:rPr>
          <w:rFonts w:ascii="Times New Roman" w:hAnsi="Times New Roman" w:cs="Times New Roman"/>
          <w:szCs w:val="24"/>
        </w:rPr>
        <w:t>F</w:t>
      </w:r>
      <w:r w:rsidR="00085D4C" w:rsidRPr="00085D4C">
        <w:rPr>
          <w:rFonts w:ascii="Times New Roman" w:hAnsi="Times New Roman" w:cs="Times New Roman"/>
          <w:szCs w:val="24"/>
        </w:rPr>
        <w:t xml:space="preserve">or each system, we </w:t>
      </w:r>
      <w:r>
        <w:rPr>
          <w:rFonts w:ascii="Times New Roman" w:hAnsi="Times New Roman" w:cs="Times New Roman"/>
          <w:szCs w:val="24"/>
        </w:rPr>
        <w:t>performed</w:t>
      </w:r>
      <w:r w:rsidR="00085D4C" w:rsidRPr="00085D4C">
        <w:rPr>
          <w:rFonts w:ascii="Times New Roman" w:hAnsi="Times New Roman" w:cs="Times New Roman"/>
          <w:szCs w:val="24"/>
        </w:rPr>
        <w:t xml:space="preserve"> three 100 ns explicit-solvent production simulations and computed MM/GBSA energetic components from uniformly sampled bound-state snapshots after discarding the first 25% of each trajectory. For each mutant genotype, we then calculated WT-referenced changes in total energy and in four energetic components: van der Waals, electrostatics, generalized Born polar solvation, and nonpolar surface area.</w:t>
      </w:r>
    </w:p>
    <w:p w14:paraId="48ACAAF9" w14:textId="77777777" w:rsidR="00085D4C" w:rsidRDefault="00085D4C" w:rsidP="00C965EE">
      <w:pPr>
        <w:rPr>
          <w:rFonts w:ascii="Times New Roman" w:hAnsi="Times New Roman" w:cs="Times New Roman"/>
          <w:szCs w:val="24"/>
        </w:rPr>
      </w:pPr>
    </w:p>
    <w:p w14:paraId="5080D02C" w14:textId="4EF386EC" w:rsidR="00085D4C" w:rsidRDefault="00085D4C" w:rsidP="00C965EE">
      <w:pPr>
        <w:rPr>
          <w:rFonts w:ascii="Times New Roman" w:hAnsi="Times New Roman" w:cs="Times New Roman"/>
          <w:szCs w:val="24"/>
        </w:rPr>
      </w:pPr>
      <w:r>
        <w:rPr>
          <w:rFonts w:ascii="Times New Roman" w:hAnsi="Times New Roman" w:cs="Times New Roman"/>
          <w:szCs w:val="24"/>
        </w:rPr>
        <w:t xml:space="preserve">Before analyzing the results, it is important to understand how to interpret them. </w:t>
      </w:r>
      <w:r w:rsidR="002B5128">
        <w:rPr>
          <w:rFonts w:ascii="Times New Roman" w:hAnsi="Times New Roman" w:cs="Times New Roman"/>
          <w:szCs w:val="24"/>
        </w:rPr>
        <w:t xml:space="preserve">First, the computed </w:t>
      </w:r>
      <w:r w:rsidR="002B5128" w:rsidRPr="00085D4C">
        <w:rPr>
          <w:rFonts w:ascii="Times New Roman" w:hAnsi="Times New Roman" w:cs="Times New Roman"/>
          <w:szCs w:val="24"/>
        </w:rPr>
        <w:t xml:space="preserve">MM/GBSA </w:t>
      </w:r>
      <w:r w:rsidR="002B5128">
        <w:rPr>
          <w:rFonts w:ascii="Times New Roman" w:hAnsi="Times New Roman" w:cs="Times New Roman"/>
          <w:szCs w:val="24"/>
        </w:rPr>
        <w:t xml:space="preserve">energy </w:t>
      </w:r>
      <w:r w:rsidRPr="00085D4C">
        <w:rPr>
          <w:rFonts w:ascii="Times New Roman" w:hAnsi="Times New Roman" w:cs="Times New Roman"/>
          <w:szCs w:val="24"/>
        </w:rPr>
        <w:t xml:space="preserve">values </w:t>
      </w:r>
      <w:r w:rsidR="002B5128">
        <w:rPr>
          <w:rFonts w:ascii="Times New Roman" w:hAnsi="Times New Roman" w:cs="Times New Roman"/>
          <w:szCs w:val="24"/>
        </w:rPr>
        <w:t xml:space="preserve">fundamentally </w:t>
      </w:r>
      <w:r w:rsidRPr="00085D4C">
        <w:rPr>
          <w:rFonts w:ascii="Times New Roman" w:hAnsi="Times New Roman" w:cs="Times New Roman"/>
          <w:szCs w:val="24"/>
        </w:rPr>
        <w:t>do not represent equilibrium binding free energies because the simulations do not sample the full bound and unbound state populations needed for a true free</w:t>
      </w:r>
      <w:r>
        <w:rPr>
          <w:rFonts w:ascii="Times New Roman" w:hAnsi="Times New Roman" w:cs="Times New Roman"/>
          <w:szCs w:val="24"/>
        </w:rPr>
        <w:t xml:space="preserve"> </w:t>
      </w:r>
      <w:r w:rsidRPr="00085D4C">
        <w:rPr>
          <w:rFonts w:ascii="Times New Roman" w:hAnsi="Times New Roman" w:cs="Times New Roman"/>
          <w:szCs w:val="24"/>
        </w:rPr>
        <w:t xml:space="preserve">energy estimate. </w:t>
      </w:r>
      <w:r w:rsidR="002B5128">
        <w:rPr>
          <w:rFonts w:ascii="Times New Roman" w:hAnsi="Times New Roman" w:cs="Times New Roman"/>
          <w:szCs w:val="24"/>
        </w:rPr>
        <w:t>Second</w:t>
      </w:r>
      <w:r w:rsidRPr="00085D4C">
        <w:rPr>
          <w:rFonts w:ascii="Times New Roman" w:hAnsi="Times New Roman" w:cs="Times New Roman"/>
          <w:szCs w:val="24"/>
        </w:rPr>
        <w:t xml:space="preserve">, </w:t>
      </w:r>
      <w:r w:rsidR="002B5128">
        <w:rPr>
          <w:rFonts w:ascii="Times New Roman" w:hAnsi="Times New Roman" w:cs="Times New Roman"/>
          <w:szCs w:val="24"/>
        </w:rPr>
        <w:t xml:space="preserve">though the simulations are performed in explicit solvent, </w:t>
      </w:r>
      <w:r w:rsidRPr="00085D4C">
        <w:rPr>
          <w:rFonts w:ascii="Times New Roman" w:hAnsi="Times New Roman" w:cs="Times New Roman"/>
          <w:szCs w:val="24"/>
        </w:rPr>
        <w:t xml:space="preserve">the </w:t>
      </w:r>
      <w:r w:rsidR="002B5128">
        <w:rPr>
          <w:rFonts w:ascii="Times New Roman" w:hAnsi="Times New Roman" w:cs="Times New Roman"/>
          <w:szCs w:val="24"/>
        </w:rPr>
        <w:t xml:space="preserve">MM/GBSA </w:t>
      </w:r>
      <w:r w:rsidRPr="00085D4C">
        <w:rPr>
          <w:rFonts w:ascii="Times New Roman" w:hAnsi="Times New Roman" w:cs="Times New Roman"/>
          <w:szCs w:val="24"/>
        </w:rPr>
        <w:t xml:space="preserve">calculations omit explicit solvent contributions </w:t>
      </w:r>
      <w:r w:rsidR="002B5128">
        <w:rPr>
          <w:rFonts w:ascii="Times New Roman" w:hAnsi="Times New Roman" w:cs="Times New Roman"/>
          <w:szCs w:val="24"/>
        </w:rPr>
        <w:t>that could have contributed to errors in the entropic components. Third,</w:t>
      </w:r>
      <w:r w:rsidRPr="00085D4C">
        <w:rPr>
          <w:rFonts w:ascii="Times New Roman" w:hAnsi="Times New Roman" w:cs="Times New Roman"/>
          <w:szCs w:val="24"/>
        </w:rPr>
        <w:t xml:space="preserve"> </w:t>
      </w:r>
      <w:r w:rsidR="002B5128">
        <w:rPr>
          <w:rFonts w:ascii="Times New Roman" w:hAnsi="Times New Roman" w:cs="Times New Roman"/>
          <w:szCs w:val="24"/>
        </w:rPr>
        <w:t>the simulations reveal dynamics</w:t>
      </w:r>
      <w:r w:rsidRPr="00085D4C">
        <w:rPr>
          <w:rFonts w:ascii="Times New Roman" w:hAnsi="Times New Roman" w:cs="Times New Roman"/>
          <w:szCs w:val="24"/>
        </w:rPr>
        <w:t xml:space="preserve"> on a timescale that is much shorter than the conformational rearrangements and kinetic processes governing RT-</w:t>
      </w:r>
      <w:r w:rsidR="002B5128">
        <w:rPr>
          <w:rFonts w:ascii="Times New Roman" w:hAnsi="Times New Roman" w:cs="Times New Roman"/>
          <w:szCs w:val="24"/>
        </w:rPr>
        <w:t>DOR</w:t>
      </w:r>
      <w:r w:rsidRPr="00085D4C">
        <w:rPr>
          <w:rFonts w:ascii="Times New Roman" w:hAnsi="Times New Roman" w:cs="Times New Roman"/>
          <w:szCs w:val="24"/>
        </w:rPr>
        <w:t xml:space="preserve"> binding in experiment. We therefore </w:t>
      </w:r>
      <w:r>
        <w:rPr>
          <w:rFonts w:ascii="Times New Roman" w:hAnsi="Times New Roman" w:cs="Times New Roman"/>
          <w:szCs w:val="24"/>
        </w:rPr>
        <w:t>recommend viewing</w:t>
      </w:r>
      <w:r w:rsidRPr="00085D4C">
        <w:rPr>
          <w:rFonts w:ascii="Times New Roman" w:hAnsi="Times New Roman" w:cs="Times New Roman"/>
          <w:szCs w:val="24"/>
        </w:rPr>
        <w:t xml:space="preserve"> the energetic </w:t>
      </w:r>
      <w:r w:rsidRPr="00085D4C">
        <w:rPr>
          <w:rFonts w:ascii="Times New Roman" w:hAnsi="Times New Roman" w:cs="Times New Roman"/>
          <w:szCs w:val="24"/>
        </w:rPr>
        <w:lastRenderedPageBreak/>
        <w:t xml:space="preserve">analysis as a </w:t>
      </w:r>
      <w:r w:rsidR="002B5128">
        <w:rPr>
          <w:rFonts w:ascii="Times New Roman" w:hAnsi="Times New Roman" w:cs="Times New Roman"/>
          <w:szCs w:val="24"/>
        </w:rPr>
        <w:t>directional</w:t>
      </w:r>
      <w:r w:rsidRPr="00085D4C">
        <w:rPr>
          <w:rFonts w:ascii="Times New Roman" w:hAnsi="Times New Roman" w:cs="Times New Roman"/>
          <w:szCs w:val="24"/>
        </w:rPr>
        <w:t xml:space="preserve"> </w:t>
      </w:r>
      <w:r>
        <w:rPr>
          <w:rFonts w:ascii="Times New Roman" w:hAnsi="Times New Roman" w:cs="Times New Roman"/>
          <w:szCs w:val="24"/>
        </w:rPr>
        <w:t>binding energy score</w:t>
      </w:r>
      <w:r w:rsidRPr="00085D4C">
        <w:rPr>
          <w:rFonts w:ascii="Times New Roman" w:hAnsi="Times New Roman" w:cs="Times New Roman"/>
          <w:szCs w:val="24"/>
        </w:rPr>
        <w:t xml:space="preserve"> rather than as a </w:t>
      </w:r>
      <w:r>
        <w:rPr>
          <w:rFonts w:ascii="Times New Roman" w:hAnsi="Times New Roman" w:cs="Times New Roman"/>
          <w:szCs w:val="24"/>
        </w:rPr>
        <w:t>precise</w:t>
      </w:r>
      <w:r w:rsidRPr="00085D4C">
        <w:rPr>
          <w:rFonts w:ascii="Times New Roman" w:hAnsi="Times New Roman" w:cs="Times New Roman"/>
          <w:szCs w:val="24"/>
        </w:rPr>
        <w:t xml:space="preserve"> </w:t>
      </w:r>
      <w:r>
        <w:rPr>
          <w:rFonts w:ascii="Times New Roman" w:hAnsi="Times New Roman" w:cs="Times New Roman"/>
          <w:szCs w:val="24"/>
        </w:rPr>
        <w:t>estimate</w:t>
      </w:r>
      <w:r w:rsidRPr="00085D4C">
        <w:rPr>
          <w:rFonts w:ascii="Times New Roman" w:hAnsi="Times New Roman" w:cs="Times New Roman"/>
          <w:szCs w:val="24"/>
        </w:rPr>
        <w:t xml:space="preserve"> for </w:t>
      </w:r>
      <w:r>
        <w:rPr>
          <w:rFonts w:ascii="Times New Roman" w:hAnsi="Times New Roman" w:cs="Times New Roman"/>
          <w:szCs w:val="24"/>
        </w:rPr>
        <w:t>RT-DOR binding affinity</w:t>
      </w:r>
      <w:r w:rsidRPr="00085D4C">
        <w:rPr>
          <w:rFonts w:ascii="Times New Roman" w:hAnsi="Times New Roman" w:cs="Times New Roman"/>
          <w:szCs w:val="24"/>
        </w:rPr>
        <w:t>.</w:t>
      </w:r>
    </w:p>
    <w:p w14:paraId="0F71078B" w14:textId="77777777" w:rsidR="00085D4C" w:rsidRDefault="00085D4C" w:rsidP="00C965EE">
      <w:pPr>
        <w:rPr>
          <w:rFonts w:ascii="Times New Roman" w:hAnsi="Times New Roman" w:cs="Times New Roman"/>
          <w:szCs w:val="24"/>
        </w:rPr>
      </w:pPr>
    </w:p>
    <w:p w14:paraId="521B44E5" w14:textId="65E5AD28" w:rsidR="009E48E6" w:rsidRDefault="009E48E6" w:rsidP="009E48E6">
      <w:pPr>
        <w:rPr>
          <w:rFonts w:ascii="Times New Roman" w:hAnsi="Times New Roman" w:cs="Times New Roman"/>
          <w:szCs w:val="24"/>
        </w:rPr>
      </w:pPr>
      <w:r w:rsidRPr="009E48E6">
        <w:rPr>
          <w:rFonts w:ascii="Times New Roman" w:hAnsi="Times New Roman" w:cs="Times New Roman"/>
          <w:szCs w:val="24"/>
        </w:rPr>
        <w:t>Within th</w:t>
      </w:r>
      <w:r>
        <w:rPr>
          <w:rFonts w:ascii="Times New Roman" w:hAnsi="Times New Roman" w:cs="Times New Roman"/>
          <w:szCs w:val="24"/>
        </w:rPr>
        <w:t>is</w:t>
      </w:r>
      <w:r w:rsidRPr="009E48E6">
        <w:rPr>
          <w:rFonts w:ascii="Times New Roman" w:hAnsi="Times New Roman" w:cs="Times New Roman"/>
          <w:szCs w:val="24"/>
        </w:rPr>
        <w:t xml:space="preserve"> framework, total WT-referenced energetic shifts did not correlate with the available phenotypic fold-change data</w:t>
      </w:r>
      <w:r>
        <w:rPr>
          <w:rFonts w:ascii="Times New Roman" w:hAnsi="Times New Roman" w:cs="Times New Roman"/>
          <w:szCs w:val="24"/>
        </w:rPr>
        <w:t xml:space="preserve"> (Supplementary Table 2)</w:t>
      </w:r>
      <w:r w:rsidR="006F609B" w:rsidRPr="006F609B">
        <w:rPr>
          <w:rFonts w:ascii="Times New Roman" w:hAnsi="Times New Roman" w:cs="Times New Roman"/>
          <w:szCs w:val="24"/>
          <w:highlight w:val="yellow"/>
        </w:rPr>
        <w:t xml:space="preserve"> </w:t>
      </w:r>
      <w:r w:rsidR="006F609B" w:rsidRPr="006F609B">
        <w:rPr>
          <w:rFonts w:ascii="Times New Roman" w:hAnsi="Times New Roman" w:cs="Times New Roman"/>
          <w:szCs w:val="24"/>
          <w:highlight w:val="yellow"/>
        </w:rPr>
        <w:t>(@Rohit to add)</w:t>
      </w:r>
      <w:r w:rsidRPr="009E48E6">
        <w:rPr>
          <w:rFonts w:ascii="Times New Roman" w:hAnsi="Times New Roman" w:cs="Times New Roman"/>
          <w:szCs w:val="24"/>
        </w:rPr>
        <w:t>. Most energetic components behaved similarly. The main exception was the electrostatic component, which showed a weak but statistically significant association with fold-change</w:t>
      </w:r>
      <w:r>
        <w:rPr>
          <w:rFonts w:ascii="Times New Roman" w:hAnsi="Times New Roman" w:cs="Times New Roman"/>
          <w:szCs w:val="24"/>
        </w:rPr>
        <w:t xml:space="preserve"> (Figure 2)</w:t>
      </w:r>
      <w:r w:rsidRPr="009E48E6">
        <w:rPr>
          <w:rFonts w:ascii="Times New Roman" w:hAnsi="Times New Roman" w:cs="Times New Roman"/>
          <w:szCs w:val="24"/>
        </w:rPr>
        <w:t xml:space="preserve">. This result suggested that a simple global destabilization model is insufficient to explain the </w:t>
      </w:r>
      <w:r>
        <w:rPr>
          <w:rFonts w:ascii="Times New Roman" w:hAnsi="Times New Roman" w:cs="Times New Roman"/>
          <w:szCs w:val="24"/>
        </w:rPr>
        <w:t xml:space="preserve">DOR </w:t>
      </w:r>
      <w:r w:rsidRPr="009E48E6">
        <w:rPr>
          <w:rFonts w:ascii="Times New Roman" w:hAnsi="Times New Roman" w:cs="Times New Roman"/>
          <w:szCs w:val="24"/>
        </w:rPr>
        <w:t xml:space="preserve">phenotype </w:t>
      </w:r>
      <w:r w:rsidR="00D47BB9">
        <w:rPr>
          <w:rFonts w:ascii="Times New Roman" w:hAnsi="Times New Roman" w:cs="Times New Roman"/>
          <w:szCs w:val="24"/>
        </w:rPr>
        <w:t xml:space="preserve">susceptibility </w:t>
      </w:r>
      <w:r w:rsidRPr="009E48E6">
        <w:rPr>
          <w:rFonts w:ascii="Times New Roman" w:hAnsi="Times New Roman" w:cs="Times New Roman"/>
          <w:szCs w:val="24"/>
        </w:rPr>
        <w:t>landscape on the timescale sampled here</w:t>
      </w:r>
      <w:r>
        <w:rPr>
          <w:rFonts w:ascii="Times New Roman" w:hAnsi="Times New Roman" w:cs="Times New Roman"/>
          <w:szCs w:val="24"/>
        </w:rPr>
        <w:t>, yet</w:t>
      </w:r>
      <w:r w:rsidRPr="009E48E6">
        <w:rPr>
          <w:rFonts w:ascii="Times New Roman" w:hAnsi="Times New Roman" w:cs="Times New Roman"/>
          <w:szCs w:val="24"/>
        </w:rPr>
        <w:t xml:space="preserve"> mutation-dependent changes in local electrostatic organization might contribute to DOR resistance.</w:t>
      </w:r>
    </w:p>
    <w:p w14:paraId="74497FB7" w14:textId="77777777" w:rsidR="00FE1644" w:rsidRDefault="00FE1644" w:rsidP="009E48E6">
      <w:pPr>
        <w:rPr>
          <w:rFonts w:ascii="Times New Roman" w:hAnsi="Times New Roman" w:cs="Times New Roman"/>
          <w:szCs w:val="24"/>
        </w:rPr>
      </w:pPr>
    </w:p>
    <w:p w14:paraId="47875EA7" w14:textId="3FAA34C7" w:rsidR="00FE1644" w:rsidRDefault="00B11FD5" w:rsidP="009E48E6">
      <w:pPr>
        <w:rPr>
          <w:rFonts w:ascii="Times New Roman" w:hAnsi="Times New Roman" w:cs="Times New Roman"/>
          <w:szCs w:val="24"/>
        </w:rPr>
      </w:pPr>
      <w:r>
        <w:rPr>
          <w:rFonts w:ascii="Times New Roman" w:hAnsi="Times New Roman" w:cs="Times New Roman"/>
          <w:noProof/>
          <w:szCs w:val="24"/>
        </w:rPr>
        <w:drawing>
          <wp:inline distT="0" distB="0" distL="0" distR="0" wp14:anchorId="7FB79406" wp14:editId="1856AB37">
            <wp:extent cx="5943600" cy="3536315"/>
            <wp:effectExtent l="0" t="0" r="0" b="0"/>
            <wp:docPr id="187581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10026" name="Picture 187581002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536315"/>
                    </a:xfrm>
                    <a:prstGeom prst="rect">
                      <a:avLst/>
                    </a:prstGeom>
                  </pic:spPr>
                </pic:pic>
              </a:graphicData>
            </a:graphic>
          </wp:inline>
        </w:drawing>
      </w:r>
    </w:p>
    <w:p w14:paraId="52F6D937" w14:textId="34C36159" w:rsidR="00FE1644" w:rsidRPr="005478F3" w:rsidRDefault="00FE1644" w:rsidP="009E48E6">
      <w:pPr>
        <w:rPr>
          <w:rFonts w:ascii="Times New Roman" w:hAnsi="Times New Roman" w:cs="Times New Roman"/>
          <w:sz w:val="20"/>
          <w:szCs w:val="20"/>
        </w:rPr>
      </w:pPr>
      <w:r w:rsidRPr="005478F3">
        <w:rPr>
          <w:rFonts w:ascii="Times New Roman" w:hAnsi="Times New Roman" w:cs="Times New Roman"/>
          <w:b/>
          <w:bCs/>
          <w:sz w:val="20"/>
          <w:szCs w:val="20"/>
        </w:rPr>
        <w:t>Figure 2: Changes in electrostatic component of the RT-DOR binding energy vs WT weakly correlates with phenotypic DOR susceptibility data</w:t>
      </w:r>
      <w:r w:rsidRPr="005478F3">
        <w:rPr>
          <w:rFonts w:ascii="Times New Roman" w:hAnsi="Times New Roman" w:cs="Times New Roman"/>
          <w:sz w:val="20"/>
          <w:szCs w:val="20"/>
        </w:rPr>
        <w:t xml:space="preserve">. Data show the average electrostatic energy values over 100 frames sampled uniformly from 100ns all-atom MD simulations of each system, after discarding the first 25% of production runs to allow equilibration. Error bars represent the standard error of the mean over </w:t>
      </w:r>
      <w:r w:rsidRPr="005478F3">
        <w:rPr>
          <w:rFonts w:ascii="Times New Roman" w:hAnsi="Times New Roman" w:cs="Times New Roman"/>
          <w:i/>
          <w:iCs/>
          <w:sz w:val="20"/>
          <w:szCs w:val="20"/>
        </w:rPr>
        <w:t>N</w:t>
      </w:r>
      <w:r w:rsidRPr="005478F3">
        <w:rPr>
          <w:rFonts w:ascii="Times New Roman" w:hAnsi="Times New Roman" w:cs="Times New Roman"/>
          <w:sz w:val="20"/>
          <w:szCs w:val="20"/>
        </w:rPr>
        <w:t xml:space="preserve"> = 3 replicates.</w:t>
      </w:r>
      <w:r w:rsidR="00E278A5" w:rsidRPr="005478F3">
        <w:rPr>
          <w:rFonts w:ascii="Times New Roman" w:hAnsi="Times New Roman" w:cs="Times New Roman"/>
          <w:sz w:val="20"/>
          <w:szCs w:val="20"/>
        </w:rPr>
        <w:t xml:space="preserve"> Dashed trend line shows an ordinary least-squares linear regression between electrostatic MM/GBSA change and resistance fold-change on a log scale. R</w:t>
      </w:r>
      <w:r w:rsidR="005478F3">
        <w:rPr>
          <w:rFonts w:ascii="Times New Roman" w:hAnsi="Times New Roman" w:cs="Times New Roman"/>
          <w:sz w:val="20"/>
          <w:szCs w:val="20"/>
          <w:vertAlign w:val="superscript"/>
        </w:rPr>
        <w:t>2</w:t>
      </w:r>
      <w:r w:rsidR="00E278A5" w:rsidRPr="005478F3">
        <w:rPr>
          <w:rFonts w:ascii="Times New Roman" w:hAnsi="Times New Roman" w:cs="Times New Roman"/>
          <w:sz w:val="20"/>
          <w:szCs w:val="20"/>
        </w:rPr>
        <w:t xml:space="preserve"> is the coefficient of determination for this fit and the p-value tests whether the regression slope differs from zero using the standard two-tailed t-test.</w:t>
      </w:r>
    </w:p>
    <w:p w14:paraId="43BCC399" w14:textId="77777777" w:rsidR="00B11FD5" w:rsidRDefault="00B11FD5" w:rsidP="009E48E6">
      <w:pPr>
        <w:rPr>
          <w:rFonts w:ascii="Times New Roman" w:hAnsi="Times New Roman" w:cs="Times New Roman"/>
          <w:sz w:val="21"/>
        </w:rPr>
      </w:pPr>
    </w:p>
    <w:p w14:paraId="4EC9C74B" w14:textId="7EF468F4" w:rsidR="00B11FD5" w:rsidRDefault="002B5128" w:rsidP="009E48E6">
      <w:pPr>
        <w:rPr>
          <w:rFonts w:ascii="Times New Roman" w:hAnsi="Times New Roman" w:cs="Times New Roman"/>
          <w:b/>
          <w:bCs/>
          <w:szCs w:val="24"/>
          <w:u w:val="single"/>
        </w:rPr>
      </w:pPr>
      <w:r>
        <w:rPr>
          <w:rFonts w:ascii="Times New Roman" w:hAnsi="Times New Roman" w:cs="Times New Roman"/>
          <w:b/>
          <w:bCs/>
          <w:szCs w:val="24"/>
          <w:u w:val="single"/>
        </w:rPr>
        <w:t>Local trajectory-level</w:t>
      </w:r>
      <w:r w:rsidR="00335759" w:rsidRPr="00335759">
        <w:rPr>
          <w:rFonts w:ascii="Times New Roman" w:hAnsi="Times New Roman" w:cs="Times New Roman"/>
          <w:b/>
          <w:bCs/>
          <w:szCs w:val="24"/>
          <w:u w:val="single"/>
        </w:rPr>
        <w:t xml:space="preserve"> analysis </w:t>
      </w:r>
      <w:r>
        <w:rPr>
          <w:rFonts w:ascii="Times New Roman" w:hAnsi="Times New Roman" w:cs="Times New Roman"/>
          <w:b/>
          <w:bCs/>
          <w:szCs w:val="24"/>
          <w:u w:val="single"/>
        </w:rPr>
        <w:t xml:space="preserve">reveals WT RT-DOR contact occupancy profile </w:t>
      </w:r>
    </w:p>
    <w:p w14:paraId="43FDA9F3" w14:textId="54342830" w:rsidR="002B5128" w:rsidRPr="002B5128" w:rsidRDefault="002B5128" w:rsidP="009E48E6">
      <w:pPr>
        <w:rPr>
          <w:rFonts w:ascii="Times New Roman" w:hAnsi="Times New Roman" w:cs="Times New Roman"/>
          <w:szCs w:val="24"/>
        </w:rPr>
      </w:pPr>
      <w:r>
        <w:rPr>
          <w:rFonts w:ascii="Times New Roman" w:hAnsi="Times New Roman" w:cs="Times New Roman"/>
          <w:szCs w:val="24"/>
        </w:rPr>
        <w:t>We next</w:t>
      </w:r>
      <w:r w:rsidRPr="009E48E6">
        <w:rPr>
          <w:rFonts w:ascii="Times New Roman" w:hAnsi="Times New Roman" w:cs="Times New Roman"/>
          <w:szCs w:val="24"/>
        </w:rPr>
        <w:t xml:space="preserve"> asked whether </w:t>
      </w:r>
      <w:r>
        <w:rPr>
          <w:rFonts w:ascii="Times New Roman" w:hAnsi="Times New Roman" w:cs="Times New Roman"/>
          <w:szCs w:val="24"/>
        </w:rPr>
        <w:t xml:space="preserve">DOR </w:t>
      </w:r>
      <w:r w:rsidRPr="009E48E6">
        <w:rPr>
          <w:rFonts w:ascii="Times New Roman" w:hAnsi="Times New Roman" w:cs="Times New Roman"/>
          <w:szCs w:val="24"/>
        </w:rPr>
        <w:t xml:space="preserve">resistance might instead be encoded in mutation-specific redistribution of local </w:t>
      </w:r>
      <w:r>
        <w:rPr>
          <w:rFonts w:ascii="Times New Roman" w:hAnsi="Times New Roman" w:cs="Times New Roman"/>
          <w:szCs w:val="24"/>
        </w:rPr>
        <w:t xml:space="preserve">binding </w:t>
      </w:r>
      <w:r w:rsidRPr="009E48E6">
        <w:rPr>
          <w:rFonts w:ascii="Times New Roman" w:hAnsi="Times New Roman" w:cs="Times New Roman"/>
          <w:szCs w:val="24"/>
        </w:rPr>
        <w:t>pocket interactions. This was plausible for two reasons. First, the NNIBP is small enough that short MD simulations c</w:t>
      </w:r>
      <w:r>
        <w:rPr>
          <w:rFonts w:ascii="Times New Roman" w:hAnsi="Times New Roman" w:cs="Times New Roman"/>
          <w:szCs w:val="24"/>
        </w:rPr>
        <w:t>ould</w:t>
      </w:r>
      <w:r w:rsidRPr="009E48E6">
        <w:rPr>
          <w:rFonts w:ascii="Times New Roman" w:hAnsi="Times New Roman" w:cs="Times New Roman"/>
          <w:szCs w:val="24"/>
        </w:rPr>
        <w:t xml:space="preserve"> still resolve local contact rearrangements even when they do not recover full binding thermodynamics. Second, prior structural studies of NNRTI resistance indicate that altered pocket geometry, shifted anchoring interactions, and increased pose heterogeneity can all reduce susceptibility without producing a simple global affinity signal. We therefore shifted our focus to systematic local analyses of DOR-</w:t>
      </w:r>
      <w:r>
        <w:rPr>
          <w:rFonts w:ascii="Times New Roman" w:hAnsi="Times New Roman" w:cs="Times New Roman"/>
          <w:szCs w:val="24"/>
        </w:rPr>
        <w:t>RT</w:t>
      </w:r>
      <w:r w:rsidRPr="009E48E6">
        <w:rPr>
          <w:rFonts w:ascii="Times New Roman" w:hAnsi="Times New Roman" w:cs="Times New Roman"/>
          <w:szCs w:val="24"/>
        </w:rPr>
        <w:t xml:space="preserve"> contacts</w:t>
      </w:r>
      <w:r>
        <w:rPr>
          <w:rFonts w:ascii="Times New Roman" w:hAnsi="Times New Roman" w:cs="Times New Roman"/>
          <w:szCs w:val="24"/>
        </w:rPr>
        <w:t xml:space="preserve"> within the NNIBP</w:t>
      </w:r>
      <w:r w:rsidRPr="009E48E6">
        <w:rPr>
          <w:rFonts w:ascii="Times New Roman" w:hAnsi="Times New Roman" w:cs="Times New Roman"/>
          <w:szCs w:val="24"/>
        </w:rPr>
        <w:t>.</w:t>
      </w:r>
    </w:p>
    <w:p w14:paraId="1F2CEE65" w14:textId="52F88744" w:rsidR="00155503" w:rsidRDefault="00BC4626" w:rsidP="001D0F7D">
      <w:pPr>
        <w:rPr>
          <w:rFonts w:ascii="Times New Roman" w:hAnsi="Times New Roman" w:cs="Times New Roman"/>
          <w:szCs w:val="24"/>
        </w:rPr>
      </w:pPr>
      <w:r>
        <w:rPr>
          <w:rFonts w:ascii="Times New Roman" w:hAnsi="Times New Roman" w:cs="Times New Roman"/>
          <w:noProof/>
          <w:szCs w:val="24"/>
        </w:rPr>
        <w:lastRenderedPageBreak/>
        <w:drawing>
          <wp:inline distT="0" distB="0" distL="0" distR="0" wp14:anchorId="386F1350" wp14:editId="19A85F7F">
            <wp:extent cx="2968730" cy="2334410"/>
            <wp:effectExtent l="0" t="0" r="0" b="0"/>
            <wp:docPr id="13410289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28908" name="Picture 1341028908"/>
                    <pic:cNvPicPr/>
                  </pic:nvPicPr>
                  <pic:blipFill rotWithShape="1">
                    <a:blip r:embed="rId6" cstate="print">
                      <a:extLst>
                        <a:ext uri="{28A0092B-C50C-407E-A947-70E740481C1C}">
                          <a14:useLocalDpi xmlns:a14="http://schemas.microsoft.com/office/drawing/2010/main" val="0"/>
                        </a:ext>
                      </a:extLst>
                    </a:blip>
                    <a:srcRect l="14480" t="5797" r="18184"/>
                    <a:stretch>
                      <a:fillRect/>
                    </a:stretch>
                  </pic:blipFill>
                  <pic:spPr bwMode="auto">
                    <a:xfrm>
                      <a:off x="0" y="0"/>
                      <a:ext cx="2978620" cy="2342186"/>
                    </a:xfrm>
                    <a:prstGeom prst="rect">
                      <a:avLst/>
                    </a:prstGeom>
                    <a:ln>
                      <a:noFill/>
                    </a:ln>
                    <a:extLst>
                      <a:ext uri="{53640926-AAD7-44D8-BBD7-CCE9431645EC}">
                        <a14:shadowObscured xmlns:a14="http://schemas.microsoft.com/office/drawing/2010/main"/>
                      </a:ext>
                    </a:extLst>
                  </pic:spPr>
                </pic:pic>
              </a:graphicData>
            </a:graphic>
          </wp:inline>
        </w:drawing>
      </w:r>
      <w:r w:rsidR="005478F3">
        <w:rPr>
          <w:rFonts w:ascii="Times New Roman" w:hAnsi="Times New Roman" w:cs="Times New Roman"/>
          <w:noProof/>
          <w:szCs w:val="24"/>
        </w:rPr>
        <w:drawing>
          <wp:inline distT="0" distB="0" distL="0" distR="0" wp14:anchorId="236A2355" wp14:editId="28B830A7">
            <wp:extent cx="2759242" cy="2306013"/>
            <wp:effectExtent l="0" t="0" r="0" b="5715"/>
            <wp:docPr id="17081114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11438" name="Picture 1708111438"/>
                    <pic:cNvPicPr/>
                  </pic:nvPicPr>
                  <pic:blipFill rotWithShape="1">
                    <a:blip r:embed="rId7" cstate="print">
                      <a:extLst>
                        <a:ext uri="{28A0092B-C50C-407E-A947-70E740481C1C}">
                          <a14:useLocalDpi xmlns:a14="http://schemas.microsoft.com/office/drawing/2010/main" val="0"/>
                        </a:ext>
                      </a:extLst>
                    </a:blip>
                    <a:srcRect l="10268" t="3121" r="12452"/>
                    <a:stretch>
                      <a:fillRect/>
                    </a:stretch>
                  </pic:blipFill>
                  <pic:spPr bwMode="auto">
                    <a:xfrm>
                      <a:off x="0" y="0"/>
                      <a:ext cx="2783109" cy="2325960"/>
                    </a:xfrm>
                    <a:prstGeom prst="rect">
                      <a:avLst/>
                    </a:prstGeom>
                    <a:ln>
                      <a:noFill/>
                    </a:ln>
                    <a:extLst>
                      <a:ext uri="{53640926-AAD7-44D8-BBD7-CCE9431645EC}">
                        <a14:shadowObscured xmlns:a14="http://schemas.microsoft.com/office/drawing/2010/main"/>
                      </a:ext>
                    </a:extLst>
                  </pic:spPr>
                </pic:pic>
              </a:graphicData>
            </a:graphic>
          </wp:inline>
        </w:drawing>
      </w:r>
    </w:p>
    <w:p w14:paraId="4DCB80F9" w14:textId="5E4FB435" w:rsidR="00155503" w:rsidRPr="005478F3" w:rsidRDefault="00BC4626" w:rsidP="001D0F7D">
      <w:pPr>
        <w:rPr>
          <w:rFonts w:ascii="Times New Roman" w:hAnsi="Times New Roman" w:cs="Times New Roman"/>
          <w:sz w:val="20"/>
          <w:szCs w:val="20"/>
        </w:rPr>
      </w:pPr>
      <w:r w:rsidRPr="005478F3">
        <w:rPr>
          <w:rFonts w:ascii="Times New Roman" w:hAnsi="Times New Roman" w:cs="Times New Roman"/>
          <w:b/>
          <w:bCs/>
          <w:sz w:val="20"/>
          <w:szCs w:val="20"/>
        </w:rPr>
        <w:t xml:space="preserve">Figure </w:t>
      </w:r>
      <w:r w:rsidRPr="005478F3">
        <w:rPr>
          <w:rFonts w:ascii="Times New Roman" w:hAnsi="Times New Roman" w:cs="Times New Roman"/>
          <w:b/>
          <w:bCs/>
          <w:sz w:val="20"/>
          <w:szCs w:val="20"/>
        </w:rPr>
        <w:t>3</w:t>
      </w:r>
      <w:r w:rsidRPr="005478F3">
        <w:rPr>
          <w:rFonts w:ascii="Times New Roman" w:hAnsi="Times New Roman" w:cs="Times New Roman"/>
          <w:b/>
          <w:bCs/>
          <w:sz w:val="20"/>
          <w:szCs w:val="20"/>
        </w:rPr>
        <w:t xml:space="preserve">: </w:t>
      </w:r>
      <w:r w:rsidRPr="005478F3">
        <w:rPr>
          <w:rFonts w:ascii="Times New Roman" w:hAnsi="Times New Roman" w:cs="Times New Roman"/>
          <w:b/>
          <w:bCs/>
          <w:sz w:val="20"/>
          <w:szCs w:val="20"/>
        </w:rPr>
        <w:t>Crystal structure of DOR bound to WT RT</w:t>
      </w:r>
      <w:r w:rsidR="005478F3" w:rsidRPr="005478F3">
        <w:rPr>
          <w:rFonts w:ascii="Times New Roman" w:hAnsi="Times New Roman" w:cs="Times New Roman"/>
          <w:b/>
          <w:bCs/>
          <w:sz w:val="20"/>
          <w:szCs w:val="20"/>
        </w:rPr>
        <w:t xml:space="preserve"> </w:t>
      </w:r>
      <w:r w:rsidR="005478F3" w:rsidRPr="005478F3">
        <w:rPr>
          <w:rFonts w:ascii="Times New Roman" w:hAnsi="Times New Roman" w:cs="Times New Roman"/>
          <w:b/>
          <w:bCs/>
          <w:sz w:val="20"/>
          <w:szCs w:val="20"/>
        </w:rPr>
        <w:t>(PDB ID: 4NCG</w:t>
      </w:r>
      <w:r w:rsidR="005478F3" w:rsidRPr="005478F3">
        <w:rPr>
          <w:rFonts w:ascii="Times New Roman" w:hAnsi="Times New Roman" w:cs="Times New Roman"/>
          <w:b/>
          <w:bCs/>
          <w:sz w:val="20"/>
          <w:szCs w:val="20"/>
        </w:rPr>
        <w:t>)</w:t>
      </w:r>
      <w:r w:rsidRPr="005478F3">
        <w:rPr>
          <w:rFonts w:ascii="Times New Roman" w:hAnsi="Times New Roman" w:cs="Times New Roman"/>
          <w:b/>
          <w:bCs/>
          <w:sz w:val="20"/>
          <w:szCs w:val="20"/>
        </w:rPr>
        <w:t>.</w:t>
      </w:r>
      <w:r w:rsidRPr="005478F3">
        <w:rPr>
          <w:rFonts w:ascii="Times New Roman" w:hAnsi="Times New Roman" w:cs="Times New Roman"/>
          <w:sz w:val="20"/>
          <w:szCs w:val="20"/>
        </w:rPr>
        <w:t xml:space="preserve"> </w:t>
      </w:r>
      <w:r w:rsidRPr="005478F3">
        <w:rPr>
          <w:rFonts w:ascii="Times New Roman" w:hAnsi="Times New Roman" w:cs="Times New Roman"/>
          <w:i/>
          <w:iCs/>
          <w:sz w:val="20"/>
          <w:szCs w:val="20"/>
        </w:rPr>
        <w:t>Left</w:t>
      </w:r>
      <w:r w:rsidR="005478F3" w:rsidRPr="005478F3">
        <w:rPr>
          <w:rFonts w:ascii="Times New Roman" w:hAnsi="Times New Roman" w:cs="Times New Roman"/>
          <w:i/>
          <w:iCs/>
          <w:sz w:val="20"/>
          <w:szCs w:val="20"/>
        </w:rPr>
        <w:t xml:space="preserve"> panel:</w:t>
      </w:r>
      <w:r w:rsidRPr="005478F3">
        <w:rPr>
          <w:rFonts w:ascii="Times New Roman" w:hAnsi="Times New Roman" w:cs="Times New Roman"/>
          <w:i/>
          <w:iCs/>
          <w:sz w:val="20"/>
          <w:szCs w:val="20"/>
        </w:rPr>
        <w:t xml:space="preserve"> </w:t>
      </w:r>
      <w:r w:rsidR="005478F3" w:rsidRPr="005478F3">
        <w:rPr>
          <w:rFonts w:ascii="Times New Roman" w:hAnsi="Times New Roman" w:cs="Times New Roman"/>
          <w:sz w:val="20"/>
          <w:szCs w:val="20"/>
        </w:rPr>
        <w:t xml:space="preserve">Minimum heavy atom distances </w:t>
      </w:r>
      <w:r w:rsidR="002B5128">
        <w:rPr>
          <w:rFonts w:ascii="Times New Roman" w:hAnsi="Times New Roman" w:cs="Times New Roman"/>
          <w:sz w:val="20"/>
          <w:szCs w:val="20"/>
        </w:rPr>
        <w:t>between</w:t>
      </w:r>
      <w:r w:rsidR="005478F3" w:rsidRPr="005478F3">
        <w:rPr>
          <w:rFonts w:ascii="Times New Roman" w:hAnsi="Times New Roman" w:cs="Times New Roman"/>
          <w:sz w:val="20"/>
          <w:szCs w:val="20"/>
        </w:rPr>
        <w:t xml:space="preserve"> DOR (yellow) </w:t>
      </w:r>
      <w:r w:rsidR="002B5128">
        <w:rPr>
          <w:rFonts w:ascii="Times New Roman" w:hAnsi="Times New Roman" w:cs="Times New Roman"/>
          <w:sz w:val="20"/>
          <w:szCs w:val="20"/>
        </w:rPr>
        <w:t>and</w:t>
      </w:r>
      <w:r w:rsidR="005478F3" w:rsidRPr="005478F3">
        <w:rPr>
          <w:rFonts w:ascii="Times New Roman" w:hAnsi="Times New Roman" w:cs="Times New Roman"/>
          <w:sz w:val="20"/>
          <w:szCs w:val="20"/>
        </w:rPr>
        <w:t xml:space="preserve"> eight key NNIBP residues (pink). </w:t>
      </w:r>
      <w:r w:rsidR="005478F3" w:rsidRPr="00AE6586">
        <w:rPr>
          <w:rFonts w:ascii="Times New Roman" w:hAnsi="Times New Roman" w:cs="Times New Roman"/>
          <w:i/>
          <w:iCs/>
          <w:sz w:val="20"/>
          <w:szCs w:val="20"/>
        </w:rPr>
        <w:t>Right panel</w:t>
      </w:r>
      <w:r w:rsidR="005478F3" w:rsidRPr="005478F3">
        <w:rPr>
          <w:rFonts w:ascii="Times New Roman" w:hAnsi="Times New Roman" w:cs="Times New Roman"/>
          <w:sz w:val="20"/>
          <w:szCs w:val="20"/>
        </w:rPr>
        <w:t xml:space="preserve">: </w:t>
      </w:r>
      <w:r w:rsidR="00AE6586">
        <w:rPr>
          <w:rFonts w:ascii="Times New Roman" w:hAnsi="Times New Roman" w:cs="Times New Roman"/>
          <w:sz w:val="20"/>
          <w:szCs w:val="20"/>
        </w:rPr>
        <w:t xml:space="preserve">Visualization of DOR within the NNIBP, segmented into seven regions: </w:t>
      </w:r>
      <w:r w:rsidR="00AE6586" w:rsidRPr="00AE6586">
        <w:rPr>
          <w:rFonts w:ascii="Times New Roman" w:hAnsi="Times New Roman" w:cs="Times New Roman"/>
          <w:sz w:val="20"/>
          <w:szCs w:val="20"/>
        </w:rPr>
        <w:t>β</w:t>
      </w:r>
      <w:r w:rsidR="00AE6586">
        <w:rPr>
          <w:rFonts w:ascii="Times New Roman" w:hAnsi="Times New Roman" w:cs="Times New Roman"/>
          <w:sz w:val="20"/>
          <w:szCs w:val="20"/>
        </w:rPr>
        <w:t xml:space="preserve">6 strand (blue), Pocket entrance (orange), 103-108 loop (yellow), Hydrophobic tunnel (green), </w:t>
      </w:r>
      <w:r w:rsidR="00AE6586" w:rsidRPr="00AE6586">
        <w:rPr>
          <w:rFonts w:ascii="Times New Roman" w:hAnsi="Times New Roman" w:cs="Times New Roman"/>
          <w:sz w:val="20"/>
          <w:szCs w:val="20"/>
        </w:rPr>
        <w:t>β</w:t>
      </w:r>
      <w:r w:rsidR="00AE6586">
        <w:rPr>
          <w:rFonts w:ascii="Times New Roman" w:hAnsi="Times New Roman" w:cs="Times New Roman"/>
          <w:sz w:val="20"/>
          <w:szCs w:val="20"/>
        </w:rPr>
        <w:t>9-</w:t>
      </w:r>
      <w:r w:rsidR="00AE6586" w:rsidRPr="00AE6586">
        <w:rPr>
          <w:rFonts w:ascii="Times New Roman" w:hAnsi="Times New Roman" w:cs="Times New Roman"/>
          <w:sz w:val="20"/>
          <w:szCs w:val="20"/>
        </w:rPr>
        <w:t>β</w:t>
      </w:r>
      <w:r w:rsidR="00AE6586">
        <w:rPr>
          <w:rFonts w:ascii="Times New Roman" w:hAnsi="Times New Roman" w:cs="Times New Roman"/>
          <w:sz w:val="20"/>
          <w:szCs w:val="20"/>
        </w:rPr>
        <w:t xml:space="preserve">10 hairpin (red), </w:t>
      </w:r>
      <w:r w:rsidR="00AE6586" w:rsidRPr="00AE6586">
        <w:rPr>
          <w:rFonts w:ascii="Times New Roman" w:hAnsi="Times New Roman" w:cs="Times New Roman"/>
          <w:sz w:val="20"/>
          <w:szCs w:val="20"/>
        </w:rPr>
        <w:t>β</w:t>
      </w:r>
      <w:r w:rsidR="00AE6586">
        <w:rPr>
          <w:rFonts w:ascii="Times New Roman" w:hAnsi="Times New Roman" w:cs="Times New Roman"/>
          <w:sz w:val="20"/>
          <w:szCs w:val="20"/>
        </w:rPr>
        <w:t>12</w:t>
      </w:r>
      <w:r w:rsidR="00AE6586">
        <w:rPr>
          <w:rFonts w:ascii="Times New Roman" w:hAnsi="Times New Roman" w:cs="Times New Roman"/>
          <w:sz w:val="20"/>
          <w:szCs w:val="20"/>
        </w:rPr>
        <w:t>-</w:t>
      </w:r>
      <w:r w:rsidR="00AE6586" w:rsidRPr="00AE6586">
        <w:rPr>
          <w:rFonts w:ascii="Times New Roman" w:hAnsi="Times New Roman" w:cs="Times New Roman"/>
          <w:sz w:val="20"/>
          <w:szCs w:val="20"/>
        </w:rPr>
        <w:t>β</w:t>
      </w:r>
      <w:r w:rsidR="00AE6586">
        <w:rPr>
          <w:rFonts w:ascii="Times New Roman" w:hAnsi="Times New Roman" w:cs="Times New Roman"/>
          <w:sz w:val="20"/>
          <w:szCs w:val="20"/>
        </w:rPr>
        <w:t>13</w:t>
      </w:r>
      <w:r w:rsidR="00AE6586">
        <w:rPr>
          <w:rFonts w:ascii="Times New Roman" w:hAnsi="Times New Roman" w:cs="Times New Roman"/>
          <w:sz w:val="20"/>
          <w:szCs w:val="20"/>
        </w:rPr>
        <w:t xml:space="preserve"> </w:t>
      </w:r>
      <w:r w:rsidR="00AE6586">
        <w:rPr>
          <w:rFonts w:ascii="Times New Roman" w:hAnsi="Times New Roman" w:cs="Times New Roman"/>
          <w:sz w:val="20"/>
          <w:szCs w:val="20"/>
        </w:rPr>
        <w:t xml:space="preserve">primer grip (purple), Distal pocket wall (teal). </w:t>
      </w:r>
    </w:p>
    <w:p w14:paraId="734B2183" w14:textId="77777777" w:rsidR="00BC4626" w:rsidRDefault="00BC4626" w:rsidP="001D0F7D">
      <w:pPr>
        <w:rPr>
          <w:rFonts w:ascii="Times New Roman" w:hAnsi="Times New Roman" w:cs="Times New Roman"/>
          <w:szCs w:val="24"/>
        </w:rPr>
      </w:pPr>
    </w:p>
    <w:p w14:paraId="6DD9C6A7" w14:textId="2919BCE6" w:rsidR="000F1E0E" w:rsidRDefault="001D0F7D" w:rsidP="001D0F7D">
      <w:pPr>
        <w:rPr>
          <w:rFonts w:ascii="Times New Roman" w:hAnsi="Times New Roman" w:cs="Times New Roman"/>
          <w:szCs w:val="24"/>
        </w:rPr>
      </w:pPr>
      <w:r w:rsidRPr="001D0F7D">
        <w:rPr>
          <w:rFonts w:ascii="Times New Roman" w:hAnsi="Times New Roman" w:cs="Times New Roman"/>
          <w:szCs w:val="24"/>
        </w:rPr>
        <w:t xml:space="preserve">To </w:t>
      </w:r>
      <w:r>
        <w:rPr>
          <w:rFonts w:ascii="Times New Roman" w:hAnsi="Times New Roman" w:cs="Times New Roman"/>
          <w:szCs w:val="24"/>
        </w:rPr>
        <w:t>discover</w:t>
      </w:r>
      <w:r w:rsidRPr="001D0F7D">
        <w:rPr>
          <w:rFonts w:ascii="Times New Roman" w:hAnsi="Times New Roman" w:cs="Times New Roman"/>
          <w:szCs w:val="24"/>
        </w:rPr>
        <w:t xml:space="preserve"> local structural signatures of DOR resistance, we </w:t>
      </w:r>
      <w:r w:rsidR="002B5128">
        <w:rPr>
          <w:rFonts w:ascii="Times New Roman" w:hAnsi="Times New Roman" w:cs="Times New Roman"/>
          <w:szCs w:val="24"/>
        </w:rPr>
        <w:t xml:space="preserve">first </w:t>
      </w:r>
      <w:r w:rsidRPr="001D0F7D">
        <w:rPr>
          <w:rFonts w:ascii="Times New Roman" w:hAnsi="Times New Roman" w:cs="Times New Roman"/>
          <w:szCs w:val="24"/>
        </w:rPr>
        <w:t xml:space="preserve">quantified residue-level DOR contacts across </w:t>
      </w:r>
      <w:r w:rsidR="002B5128">
        <w:rPr>
          <w:rFonts w:ascii="Times New Roman" w:hAnsi="Times New Roman" w:cs="Times New Roman"/>
          <w:szCs w:val="24"/>
        </w:rPr>
        <w:t>WT RT-DOR simulations</w:t>
      </w:r>
      <w:r w:rsidRPr="001D0F7D">
        <w:rPr>
          <w:rFonts w:ascii="Times New Roman" w:hAnsi="Times New Roman" w:cs="Times New Roman"/>
          <w:szCs w:val="24"/>
        </w:rPr>
        <w:t xml:space="preserve">. A residue was classified as being in contact with DOR in a given frame if the minimum heavy-atom distance between that residue and DOR was less than 4.0 </w:t>
      </w:r>
      <w:r w:rsidR="00F2303F" w:rsidRPr="00F2303F">
        <w:rPr>
          <w:rFonts w:ascii="Times New Roman" w:hAnsi="Times New Roman" w:cs="Times New Roman"/>
          <w:szCs w:val="24"/>
        </w:rPr>
        <w:t>Å</w:t>
      </w:r>
      <w:r w:rsidR="00BE6784">
        <w:rPr>
          <w:rFonts w:ascii="Times New Roman" w:hAnsi="Times New Roman" w:cs="Times New Roman"/>
          <w:szCs w:val="24"/>
        </w:rPr>
        <w:t xml:space="preserve"> (Figure 3)</w:t>
      </w:r>
      <w:r w:rsidRPr="001D0F7D">
        <w:rPr>
          <w:rFonts w:ascii="Times New Roman" w:hAnsi="Times New Roman" w:cs="Times New Roman"/>
          <w:szCs w:val="24"/>
        </w:rPr>
        <w:t xml:space="preserve">. </w:t>
      </w:r>
    </w:p>
    <w:p w14:paraId="7A953AF6" w14:textId="345B9CD8" w:rsidR="002B5128" w:rsidRPr="005478F3" w:rsidRDefault="002B5128" w:rsidP="002B5128">
      <w:pPr>
        <w:rPr>
          <w:rFonts w:ascii="Times New Roman" w:hAnsi="Times New Roman" w:cs="Times New Roman"/>
          <w:sz w:val="20"/>
          <w:szCs w:val="20"/>
        </w:rPr>
      </w:pPr>
      <w:r>
        <w:rPr>
          <w:rFonts w:ascii="Times New Roman" w:hAnsi="Times New Roman" w:cs="Times New Roman"/>
          <w:noProof/>
          <w:szCs w:val="24"/>
        </w:rPr>
        <w:drawing>
          <wp:inline distT="0" distB="0" distL="0" distR="0" wp14:anchorId="3CCB4A97" wp14:editId="66C2341E">
            <wp:extent cx="5943600" cy="3837305"/>
            <wp:effectExtent l="0" t="0" r="0" b="0"/>
            <wp:docPr id="17304519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51984" name="Picture 17304519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837305"/>
                    </a:xfrm>
                    <a:prstGeom prst="rect">
                      <a:avLst/>
                    </a:prstGeom>
                  </pic:spPr>
                </pic:pic>
              </a:graphicData>
            </a:graphic>
          </wp:inline>
        </w:drawing>
      </w:r>
      <w:r w:rsidRPr="002B5128">
        <w:rPr>
          <w:rFonts w:ascii="Times New Roman" w:hAnsi="Times New Roman" w:cs="Times New Roman"/>
          <w:b/>
          <w:bCs/>
          <w:sz w:val="20"/>
          <w:szCs w:val="20"/>
        </w:rPr>
        <w:t xml:space="preserve"> </w:t>
      </w:r>
      <w:r w:rsidRPr="005478F3">
        <w:rPr>
          <w:rFonts w:ascii="Times New Roman" w:hAnsi="Times New Roman" w:cs="Times New Roman"/>
          <w:b/>
          <w:bCs/>
          <w:sz w:val="20"/>
          <w:szCs w:val="20"/>
        </w:rPr>
        <w:t xml:space="preserve">Figure </w:t>
      </w:r>
      <w:r>
        <w:rPr>
          <w:rFonts w:ascii="Times New Roman" w:hAnsi="Times New Roman" w:cs="Times New Roman"/>
          <w:b/>
          <w:bCs/>
          <w:sz w:val="20"/>
          <w:szCs w:val="20"/>
        </w:rPr>
        <w:t>4</w:t>
      </w:r>
      <w:r w:rsidRPr="005478F3">
        <w:rPr>
          <w:rFonts w:ascii="Times New Roman" w:hAnsi="Times New Roman" w:cs="Times New Roman"/>
          <w:b/>
          <w:bCs/>
          <w:sz w:val="20"/>
          <w:szCs w:val="20"/>
        </w:rPr>
        <w:t xml:space="preserve">: </w:t>
      </w:r>
      <w:r>
        <w:rPr>
          <w:rFonts w:ascii="Times New Roman" w:hAnsi="Times New Roman" w:cs="Times New Roman"/>
          <w:b/>
          <w:bCs/>
          <w:sz w:val="20"/>
          <w:szCs w:val="20"/>
        </w:rPr>
        <w:t>Local trajectory-level contact analysis between DOR and NNIBP residues in WT RT-DOR simulations</w:t>
      </w:r>
      <w:r w:rsidRPr="005478F3">
        <w:rPr>
          <w:rFonts w:ascii="Times New Roman" w:hAnsi="Times New Roman" w:cs="Times New Roman"/>
          <w:b/>
          <w:bCs/>
          <w:sz w:val="20"/>
          <w:szCs w:val="20"/>
        </w:rPr>
        <w:t>.</w:t>
      </w:r>
      <w:r w:rsidRPr="005478F3">
        <w:rPr>
          <w:rFonts w:ascii="Times New Roman" w:hAnsi="Times New Roman" w:cs="Times New Roman"/>
          <w:sz w:val="20"/>
          <w:szCs w:val="20"/>
        </w:rPr>
        <w:t xml:space="preserve"> </w:t>
      </w:r>
      <w:r>
        <w:rPr>
          <w:rFonts w:ascii="Times New Roman" w:hAnsi="Times New Roman" w:cs="Times New Roman"/>
          <w:i/>
          <w:iCs/>
          <w:sz w:val="20"/>
          <w:szCs w:val="20"/>
        </w:rPr>
        <w:t>Top</w:t>
      </w:r>
      <w:r w:rsidRPr="005478F3">
        <w:rPr>
          <w:rFonts w:ascii="Times New Roman" w:hAnsi="Times New Roman" w:cs="Times New Roman"/>
          <w:i/>
          <w:iCs/>
          <w:sz w:val="20"/>
          <w:szCs w:val="20"/>
        </w:rPr>
        <w:t xml:space="preserve"> panel: </w:t>
      </w:r>
      <w:r>
        <w:rPr>
          <w:rFonts w:ascii="Times New Roman" w:hAnsi="Times New Roman" w:cs="Times New Roman"/>
          <w:sz w:val="20"/>
          <w:szCs w:val="20"/>
        </w:rPr>
        <w:t>Trajectories of minimum heavy atom distances between DOR and two exemplary NNIBP residues, Pro95 and Tyr318, observed in 100ns MD simulations of the WT DOR-RT complex performed in triplicates.</w:t>
      </w:r>
      <w:r w:rsidRPr="002B5128">
        <w:t xml:space="preserve"> </w:t>
      </w:r>
      <w:r w:rsidRPr="002B5128">
        <w:rPr>
          <w:rFonts w:ascii="Times New Roman" w:hAnsi="Times New Roman" w:cs="Times New Roman"/>
          <w:sz w:val="20"/>
          <w:szCs w:val="20"/>
        </w:rPr>
        <w:t xml:space="preserve">Solid lines indicate the mean trajectory and lighter color bands show the standard error of the mean </w:t>
      </w:r>
      <w:r w:rsidRPr="002B5128">
        <w:rPr>
          <w:rFonts w:ascii="Times New Roman" w:hAnsi="Times New Roman" w:cs="Times New Roman"/>
          <w:sz w:val="20"/>
          <w:szCs w:val="20"/>
        </w:rPr>
        <w:lastRenderedPageBreak/>
        <w:t xml:space="preserve">across </w:t>
      </w:r>
      <w:r w:rsidRPr="002B5128">
        <w:rPr>
          <w:rFonts w:ascii="Times New Roman" w:hAnsi="Times New Roman" w:cs="Times New Roman"/>
          <w:i/>
          <w:iCs/>
          <w:sz w:val="20"/>
          <w:szCs w:val="20"/>
        </w:rPr>
        <w:t>N</w:t>
      </w:r>
      <w:r w:rsidRPr="002B5128">
        <w:rPr>
          <w:rFonts w:ascii="Times New Roman" w:hAnsi="Times New Roman" w:cs="Times New Roman"/>
          <w:sz w:val="20"/>
          <w:szCs w:val="20"/>
        </w:rPr>
        <w:t xml:space="preserve"> = 3 replicates in this as well as other trajectory visualizations in this </w:t>
      </w:r>
      <w:r>
        <w:rPr>
          <w:rFonts w:ascii="Times New Roman" w:hAnsi="Times New Roman" w:cs="Times New Roman"/>
          <w:sz w:val="20"/>
          <w:szCs w:val="20"/>
        </w:rPr>
        <w:t>study</w:t>
      </w:r>
      <w:r w:rsidRPr="002B5128">
        <w:rPr>
          <w:rFonts w:ascii="Times New Roman" w:hAnsi="Times New Roman" w:cs="Times New Roman"/>
          <w:sz w:val="20"/>
          <w:szCs w:val="20"/>
        </w:rPr>
        <w:t xml:space="preserve">. The dotted line represents the 4.0 Å cutoff used to define each contact. </w:t>
      </w:r>
      <w:r>
        <w:rPr>
          <w:rFonts w:ascii="Times New Roman" w:hAnsi="Times New Roman" w:cs="Times New Roman"/>
          <w:i/>
          <w:iCs/>
          <w:sz w:val="20"/>
          <w:szCs w:val="20"/>
        </w:rPr>
        <w:t xml:space="preserve">Bottom panel: </w:t>
      </w:r>
      <w:r>
        <w:rPr>
          <w:rFonts w:ascii="Times New Roman" w:hAnsi="Times New Roman" w:cs="Times New Roman"/>
          <w:sz w:val="20"/>
          <w:szCs w:val="20"/>
        </w:rPr>
        <w:t xml:space="preserve">Mean occupancy computed for all RT residues that came in contact with DOR at any point during the simulations, segregated by NNIBP regions (cf. Figure 3).  </w:t>
      </w:r>
      <w:r>
        <w:rPr>
          <w:rFonts w:ascii="Times New Roman" w:hAnsi="Times New Roman" w:cs="Times New Roman"/>
          <w:sz w:val="20"/>
          <w:szCs w:val="20"/>
        </w:rPr>
        <w:t xml:space="preserve"> </w:t>
      </w:r>
    </w:p>
    <w:p w14:paraId="109870B3" w14:textId="4A03F4AA" w:rsidR="002B5128" w:rsidRDefault="002B5128" w:rsidP="001D0F7D">
      <w:pPr>
        <w:rPr>
          <w:rFonts w:ascii="Times New Roman" w:hAnsi="Times New Roman" w:cs="Times New Roman"/>
          <w:szCs w:val="24"/>
        </w:rPr>
      </w:pPr>
    </w:p>
    <w:p w14:paraId="44DD048D" w14:textId="5FAAF2E9" w:rsidR="002B5128" w:rsidRDefault="002B5128" w:rsidP="002B5128">
      <w:pPr>
        <w:rPr>
          <w:rFonts w:ascii="Times New Roman" w:hAnsi="Times New Roman" w:cs="Times New Roman"/>
          <w:szCs w:val="24"/>
        </w:rPr>
      </w:pPr>
      <w:r>
        <w:rPr>
          <w:rFonts w:ascii="Times New Roman" w:hAnsi="Times New Roman" w:cs="Times New Roman"/>
          <w:szCs w:val="24"/>
        </w:rPr>
        <w:t>Mean c</w:t>
      </w:r>
      <w:r w:rsidRPr="001D0F7D">
        <w:rPr>
          <w:rFonts w:ascii="Times New Roman" w:hAnsi="Times New Roman" w:cs="Times New Roman"/>
          <w:szCs w:val="24"/>
        </w:rPr>
        <w:t>ontact occupancy</w:t>
      </w:r>
      <w:r>
        <w:rPr>
          <w:rFonts w:ascii="Times New Roman" w:hAnsi="Times New Roman" w:cs="Times New Roman"/>
          <w:szCs w:val="24"/>
        </w:rPr>
        <w:t>, or concisely Mean occupancy,</w:t>
      </w:r>
      <w:r w:rsidRPr="001D0F7D">
        <w:rPr>
          <w:rFonts w:ascii="Times New Roman" w:hAnsi="Times New Roman" w:cs="Times New Roman"/>
          <w:szCs w:val="24"/>
        </w:rPr>
        <w:t xml:space="preserve"> was then defined as the fraction of analyzed frames </w:t>
      </w:r>
      <w:r>
        <w:rPr>
          <w:rFonts w:ascii="Times New Roman" w:hAnsi="Times New Roman" w:cs="Times New Roman"/>
          <w:szCs w:val="24"/>
        </w:rPr>
        <w:t xml:space="preserve">in the simulation </w:t>
      </w:r>
      <w:r w:rsidRPr="001D0F7D">
        <w:rPr>
          <w:rFonts w:ascii="Times New Roman" w:hAnsi="Times New Roman" w:cs="Times New Roman"/>
          <w:szCs w:val="24"/>
        </w:rPr>
        <w:t>in which the contact criterion was satisfied.</w:t>
      </w:r>
      <w:r>
        <w:rPr>
          <w:rFonts w:ascii="Times New Roman" w:hAnsi="Times New Roman" w:cs="Times New Roman"/>
          <w:szCs w:val="24"/>
        </w:rPr>
        <w:t xml:space="preserve"> </w:t>
      </w:r>
      <w:r w:rsidRPr="001D0F7D">
        <w:rPr>
          <w:rFonts w:ascii="Times New Roman" w:hAnsi="Times New Roman" w:cs="Times New Roman"/>
          <w:szCs w:val="24"/>
        </w:rPr>
        <w:t xml:space="preserve">We computed this quantity for all residues that contacted DOR at any point in any </w:t>
      </w:r>
      <w:r>
        <w:rPr>
          <w:rFonts w:ascii="Times New Roman" w:hAnsi="Times New Roman" w:cs="Times New Roman"/>
          <w:szCs w:val="24"/>
        </w:rPr>
        <w:t xml:space="preserve">WT RT-DOR </w:t>
      </w:r>
      <w:r>
        <w:rPr>
          <w:rFonts w:ascii="Times New Roman" w:hAnsi="Times New Roman" w:cs="Times New Roman"/>
          <w:szCs w:val="24"/>
        </w:rPr>
        <w:t xml:space="preserve">simulation </w:t>
      </w:r>
      <w:r w:rsidRPr="001D0F7D">
        <w:rPr>
          <w:rFonts w:ascii="Times New Roman" w:hAnsi="Times New Roman" w:cs="Times New Roman"/>
          <w:szCs w:val="24"/>
        </w:rPr>
        <w:t>trajectory</w:t>
      </w:r>
      <w:r>
        <w:rPr>
          <w:rFonts w:ascii="Times New Roman" w:hAnsi="Times New Roman" w:cs="Times New Roman"/>
          <w:szCs w:val="24"/>
        </w:rPr>
        <w:t xml:space="preserve"> and found several observations in the </w:t>
      </w:r>
      <w:r w:rsidR="00A537ED">
        <w:rPr>
          <w:rFonts w:ascii="Times New Roman" w:hAnsi="Times New Roman" w:cs="Times New Roman"/>
          <w:szCs w:val="24"/>
        </w:rPr>
        <w:t>resulting</w:t>
      </w:r>
      <w:r>
        <w:rPr>
          <w:rFonts w:ascii="Times New Roman" w:hAnsi="Times New Roman" w:cs="Times New Roman"/>
          <w:szCs w:val="24"/>
        </w:rPr>
        <w:t xml:space="preserve"> mean occupancy profile (Figure 4). </w:t>
      </w:r>
    </w:p>
    <w:p w14:paraId="3D30B2F3" w14:textId="77777777" w:rsidR="002B5128" w:rsidRDefault="002B5128" w:rsidP="002B5128">
      <w:pPr>
        <w:rPr>
          <w:rFonts w:ascii="Times New Roman" w:hAnsi="Times New Roman" w:cs="Times New Roman"/>
          <w:szCs w:val="24"/>
        </w:rPr>
      </w:pPr>
    </w:p>
    <w:p w14:paraId="4D9DB6DD" w14:textId="58919FFA" w:rsidR="002B5128" w:rsidRDefault="002B5128" w:rsidP="002B5128">
      <w:pPr>
        <w:rPr>
          <w:rFonts w:ascii="Times New Roman" w:hAnsi="Times New Roman" w:cs="Times New Roman"/>
          <w:szCs w:val="24"/>
        </w:rPr>
      </w:pPr>
      <w:r>
        <w:rPr>
          <w:rFonts w:ascii="Times New Roman" w:hAnsi="Times New Roman" w:cs="Times New Roman"/>
          <w:szCs w:val="24"/>
        </w:rPr>
        <w:t xml:space="preserve">First, out of 27 residues that were at any point in contact with DOR, 18 of them had mean occupancy &gt; 0.5, i.e. they were in contact with DOR for more than half the duration of the simulations. Second, some NNIBP regions, namely the pocket entrance (5 residues), </w:t>
      </w:r>
      <w:r>
        <w:rPr>
          <w:rFonts w:ascii="Times New Roman" w:hAnsi="Times New Roman" w:cs="Times New Roman"/>
          <w:szCs w:val="24"/>
        </w:rPr>
        <w:t>the hydrophobic tunnel</w:t>
      </w:r>
      <w:r>
        <w:rPr>
          <w:rFonts w:ascii="Times New Roman" w:hAnsi="Times New Roman" w:cs="Times New Roman"/>
          <w:szCs w:val="24"/>
        </w:rPr>
        <w:t xml:space="preserve">, (4 residues) and the distal pocket wall (1 residue), demonstrate consistently high mean occupancy (average mean occupancy &gt; 0.9). Third, nearby residues can exhibit remarkably different mean occupancies (e.g. positions 100-109 and 179-181).      </w:t>
      </w:r>
    </w:p>
    <w:p w14:paraId="2FA8969A" w14:textId="77777777" w:rsidR="000F1E0E" w:rsidRDefault="000F1E0E" w:rsidP="001D0F7D">
      <w:pPr>
        <w:rPr>
          <w:rFonts w:ascii="Times New Roman" w:hAnsi="Times New Roman" w:cs="Times New Roman"/>
          <w:szCs w:val="24"/>
        </w:rPr>
      </w:pPr>
    </w:p>
    <w:p w14:paraId="4452ABA2" w14:textId="31EA77BA" w:rsidR="002B5128" w:rsidRPr="002B5128" w:rsidRDefault="00A537ED" w:rsidP="001D0F7D">
      <w:pPr>
        <w:rPr>
          <w:rFonts w:ascii="Times New Roman" w:hAnsi="Times New Roman" w:cs="Times New Roman"/>
          <w:b/>
          <w:bCs/>
          <w:szCs w:val="24"/>
          <w:u w:val="single"/>
        </w:rPr>
      </w:pPr>
      <w:r>
        <w:rPr>
          <w:rFonts w:ascii="Times New Roman" w:hAnsi="Times New Roman" w:cs="Times New Roman"/>
          <w:b/>
          <w:bCs/>
          <w:szCs w:val="24"/>
          <w:u w:val="single"/>
        </w:rPr>
        <w:t>C</w:t>
      </w:r>
      <w:r w:rsidR="002B5128">
        <w:rPr>
          <w:rFonts w:ascii="Times New Roman" w:hAnsi="Times New Roman" w:cs="Times New Roman"/>
          <w:b/>
          <w:bCs/>
          <w:szCs w:val="24"/>
          <w:u w:val="single"/>
        </w:rPr>
        <w:t>ontact occupancy profile</w:t>
      </w:r>
      <w:r w:rsidR="002B5128">
        <w:rPr>
          <w:rFonts w:ascii="Times New Roman" w:hAnsi="Times New Roman" w:cs="Times New Roman"/>
          <w:b/>
          <w:bCs/>
          <w:szCs w:val="24"/>
          <w:u w:val="single"/>
        </w:rPr>
        <w:t>s encode mutation-sensitive structural signals of DOR resistance</w:t>
      </w:r>
      <w:r w:rsidR="002B5128">
        <w:rPr>
          <w:rFonts w:ascii="Times New Roman" w:hAnsi="Times New Roman" w:cs="Times New Roman"/>
          <w:b/>
          <w:bCs/>
          <w:szCs w:val="24"/>
          <w:u w:val="single"/>
        </w:rPr>
        <w:t xml:space="preserve"> </w:t>
      </w:r>
    </w:p>
    <w:p w14:paraId="795B6D04" w14:textId="746BCDC7" w:rsidR="001D0F7D" w:rsidRPr="001D0F7D" w:rsidRDefault="001D0F7D" w:rsidP="001D0F7D">
      <w:pPr>
        <w:rPr>
          <w:rFonts w:ascii="Times New Roman" w:hAnsi="Times New Roman" w:cs="Times New Roman"/>
          <w:szCs w:val="24"/>
        </w:rPr>
      </w:pPr>
      <w:r w:rsidRPr="001D0F7D">
        <w:rPr>
          <w:rFonts w:ascii="Times New Roman" w:hAnsi="Times New Roman" w:cs="Times New Roman"/>
          <w:szCs w:val="24"/>
        </w:rPr>
        <w:t xml:space="preserve">We then summarized the </w:t>
      </w:r>
      <w:r w:rsidR="002B5128">
        <w:rPr>
          <w:rFonts w:ascii="Times New Roman" w:hAnsi="Times New Roman" w:cs="Times New Roman"/>
          <w:szCs w:val="24"/>
        </w:rPr>
        <w:t>mean</w:t>
      </w:r>
      <w:r w:rsidR="00C9045E">
        <w:rPr>
          <w:rFonts w:ascii="Times New Roman" w:hAnsi="Times New Roman" w:cs="Times New Roman"/>
          <w:szCs w:val="24"/>
        </w:rPr>
        <w:t xml:space="preserve"> </w:t>
      </w:r>
      <w:r w:rsidRPr="001D0F7D">
        <w:rPr>
          <w:rFonts w:ascii="Times New Roman" w:hAnsi="Times New Roman" w:cs="Times New Roman"/>
          <w:szCs w:val="24"/>
        </w:rPr>
        <w:t xml:space="preserve">occupancy landscape across </w:t>
      </w:r>
      <w:r w:rsidR="00C9045E">
        <w:rPr>
          <w:rFonts w:ascii="Times New Roman" w:hAnsi="Times New Roman" w:cs="Times New Roman"/>
          <w:szCs w:val="24"/>
        </w:rPr>
        <w:t xml:space="preserve">all trajectories in </w:t>
      </w:r>
      <w:r w:rsidRPr="001D0F7D">
        <w:rPr>
          <w:rFonts w:ascii="Times New Roman" w:hAnsi="Times New Roman" w:cs="Times New Roman"/>
          <w:szCs w:val="24"/>
        </w:rPr>
        <w:t xml:space="preserve">the </w:t>
      </w:r>
      <w:r w:rsidR="00C9045E">
        <w:rPr>
          <w:rFonts w:ascii="Times New Roman" w:hAnsi="Times New Roman" w:cs="Times New Roman"/>
          <w:szCs w:val="24"/>
        </w:rPr>
        <w:t xml:space="preserve">genotype </w:t>
      </w:r>
      <w:r w:rsidRPr="001D0F7D">
        <w:rPr>
          <w:rFonts w:ascii="Times New Roman" w:hAnsi="Times New Roman" w:cs="Times New Roman"/>
          <w:szCs w:val="24"/>
        </w:rPr>
        <w:t>panel and used it to identify residues whose DOR-contact behavior changed preferentially in specific mutation backgrounds</w:t>
      </w:r>
      <w:r w:rsidR="000E328A">
        <w:rPr>
          <w:rFonts w:ascii="Times New Roman" w:hAnsi="Times New Roman" w:cs="Times New Roman"/>
          <w:szCs w:val="24"/>
        </w:rPr>
        <w:t xml:space="preserve"> (Figure </w:t>
      </w:r>
      <w:r w:rsidR="00AE6586">
        <w:rPr>
          <w:rFonts w:ascii="Times New Roman" w:hAnsi="Times New Roman" w:cs="Times New Roman"/>
          <w:szCs w:val="24"/>
        </w:rPr>
        <w:t>5</w:t>
      </w:r>
      <w:r w:rsidR="000E328A">
        <w:rPr>
          <w:rFonts w:ascii="Times New Roman" w:hAnsi="Times New Roman" w:cs="Times New Roman"/>
          <w:szCs w:val="24"/>
        </w:rPr>
        <w:t>)</w:t>
      </w:r>
      <w:r w:rsidRPr="001D0F7D">
        <w:rPr>
          <w:rFonts w:ascii="Times New Roman" w:hAnsi="Times New Roman" w:cs="Times New Roman"/>
          <w:szCs w:val="24"/>
        </w:rPr>
        <w:t>.</w:t>
      </w:r>
    </w:p>
    <w:p w14:paraId="11E037EE" w14:textId="139B966A" w:rsidR="00BE6784" w:rsidRPr="003919B1" w:rsidRDefault="003919B1" w:rsidP="001D0F7D">
      <w:pPr>
        <w:rPr>
          <w:rFonts w:ascii="Times New Roman" w:hAnsi="Times New Roman" w:cs="Times New Roman"/>
          <w:sz w:val="20"/>
          <w:szCs w:val="20"/>
        </w:rPr>
      </w:pPr>
      <w:r>
        <w:rPr>
          <w:rFonts w:ascii="Times New Roman" w:hAnsi="Times New Roman" w:cs="Times New Roman"/>
          <w:noProof/>
          <w:szCs w:val="24"/>
        </w:rPr>
        <w:drawing>
          <wp:inline distT="0" distB="0" distL="0" distR="0" wp14:anchorId="4D12B32C" wp14:editId="182EF82A">
            <wp:extent cx="5943600" cy="2673350"/>
            <wp:effectExtent l="0" t="0" r="0" b="6350"/>
            <wp:docPr id="5271031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103169" name="Picture 5271031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673350"/>
                    </a:xfrm>
                    <a:prstGeom prst="rect">
                      <a:avLst/>
                    </a:prstGeom>
                  </pic:spPr>
                </pic:pic>
              </a:graphicData>
            </a:graphic>
          </wp:inline>
        </w:drawing>
      </w:r>
      <w:r w:rsidRPr="003919B1">
        <w:rPr>
          <w:rFonts w:ascii="Times New Roman" w:hAnsi="Times New Roman" w:cs="Times New Roman"/>
          <w:b/>
          <w:bCs/>
          <w:sz w:val="20"/>
          <w:szCs w:val="20"/>
        </w:rPr>
        <w:t xml:space="preserve"> </w:t>
      </w:r>
      <w:r w:rsidRPr="005478F3">
        <w:rPr>
          <w:rFonts w:ascii="Times New Roman" w:hAnsi="Times New Roman" w:cs="Times New Roman"/>
          <w:b/>
          <w:bCs/>
          <w:sz w:val="20"/>
          <w:szCs w:val="20"/>
        </w:rPr>
        <w:t xml:space="preserve">Figure </w:t>
      </w:r>
      <w:r>
        <w:rPr>
          <w:rFonts w:ascii="Times New Roman" w:hAnsi="Times New Roman" w:cs="Times New Roman"/>
          <w:b/>
          <w:bCs/>
          <w:sz w:val="20"/>
          <w:szCs w:val="20"/>
        </w:rPr>
        <w:t>5</w:t>
      </w:r>
      <w:r w:rsidRPr="005478F3">
        <w:rPr>
          <w:rFonts w:ascii="Times New Roman" w:hAnsi="Times New Roman" w:cs="Times New Roman"/>
          <w:b/>
          <w:bCs/>
          <w:sz w:val="20"/>
          <w:szCs w:val="20"/>
        </w:rPr>
        <w:t xml:space="preserve">: </w:t>
      </w:r>
      <w:r>
        <w:rPr>
          <w:rFonts w:ascii="Times New Roman" w:hAnsi="Times New Roman" w:cs="Times New Roman"/>
          <w:b/>
          <w:bCs/>
          <w:sz w:val="20"/>
          <w:szCs w:val="20"/>
        </w:rPr>
        <w:t>Mutation-associated changes in mean occupancy</w:t>
      </w:r>
      <w:r w:rsidRPr="005478F3">
        <w:rPr>
          <w:rFonts w:ascii="Times New Roman" w:hAnsi="Times New Roman" w:cs="Times New Roman"/>
          <w:b/>
          <w:bCs/>
          <w:sz w:val="20"/>
          <w:szCs w:val="20"/>
        </w:rPr>
        <w:t>.</w:t>
      </w:r>
      <w:r w:rsidRPr="005478F3">
        <w:rPr>
          <w:rFonts w:ascii="Times New Roman" w:hAnsi="Times New Roman" w:cs="Times New Roman"/>
          <w:sz w:val="20"/>
          <w:szCs w:val="20"/>
        </w:rPr>
        <w:t xml:space="preserve"> </w:t>
      </w:r>
      <w:r>
        <w:rPr>
          <w:rFonts w:ascii="Times New Roman" w:hAnsi="Times New Roman" w:cs="Times New Roman"/>
          <w:sz w:val="20"/>
          <w:szCs w:val="20"/>
        </w:rPr>
        <w:t>X-axis lists all the 27 residues that were ever in contact with DOR in WT RT-DOR simulations. Y-axis lists the 18 DOR-associated genotypes including negative controls, positive controls, and the limited data set. Values inside each cell in the heatmap represent the change in mean occupancy vs WT for each residue as observed in MD simulations for each genotype.</w:t>
      </w:r>
    </w:p>
    <w:p w14:paraId="66092814" w14:textId="77777777" w:rsidR="003919B1" w:rsidRDefault="003919B1" w:rsidP="001D0F7D">
      <w:pPr>
        <w:rPr>
          <w:rFonts w:ascii="Times New Roman" w:hAnsi="Times New Roman" w:cs="Times New Roman"/>
          <w:szCs w:val="24"/>
        </w:rPr>
      </w:pPr>
    </w:p>
    <w:p w14:paraId="43722B3D" w14:textId="51DFA788" w:rsidR="001D0F7D" w:rsidRPr="001D0F7D" w:rsidRDefault="001D0F7D" w:rsidP="001D0F7D">
      <w:pPr>
        <w:rPr>
          <w:rFonts w:ascii="Times New Roman" w:hAnsi="Times New Roman" w:cs="Times New Roman"/>
          <w:szCs w:val="24"/>
        </w:rPr>
      </w:pPr>
      <w:r w:rsidRPr="001D0F7D">
        <w:rPr>
          <w:rFonts w:ascii="Times New Roman" w:hAnsi="Times New Roman" w:cs="Times New Roman"/>
          <w:szCs w:val="24"/>
        </w:rPr>
        <w:t xml:space="preserve">This systematic screen yielded two broad insights. First, </w:t>
      </w:r>
      <w:r w:rsidR="003919B1">
        <w:rPr>
          <w:rFonts w:ascii="Times New Roman" w:hAnsi="Times New Roman" w:cs="Times New Roman"/>
          <w:szCs w:val="24"/>
        </w:rPr>
        <w:t xml:space="preserve">amino acid positions at which </w:t>
      </w:r>
      <w:r w:rsidRPr="001D0F7D">
        <w:rPr>
          <w:rFonts w:ascii="Times New Roman" w:hAnsi="Times New Roman" w:cs="Times New Roman"/>
          <w:szCs w:val="24"/>
        </w:rPr>
        <w:t xml:space="preserve">the </w:t>
      </w:r>
      <w:r w:rsidR="003919B1">
        <w:rPr>
          <w:rFonts w:ascii="Times New Roman" w:hAnsi="Times New Roman" w:cs="Times New Roman"/>
          <w:szCs w:val="24"/>
        </w:rPr>
        <w:t xml:space="preserve">mutation occurs are rarely displaced more than 10% </w:t>
      </w:r>
      <w:r w:rsidR="00A575B2">
        <w:rPr>
          <w:rFonts w:ascii="Times New Roman" w:hAnsi="Times New Roman" w:cs="Times New Roman"/>
          <w:szCs w:val="24"/>
        </w:rPr>
        <w:t xml:space="preserve">in terms of contact occupancy </w:t>
      </w:r>
      <w:r w:rsidR="003919B1">
        <w:rPr>
          <w:rFonts w:ascii="Times New Roman" w:hAnsi="Times New Roman" w:cs="Times New Roman"/>
          <w:szCs w:val="24"/>
        </w:rPr>
        <w:t xml:space="preserve">vs WT, except for V106I+F227C that leads to ∆occupancy = -0.28 vs WT for Phe227 and for K103N+P225H that leads to ∆occupancy = -0.12 vs WT for Pro225. </w:t>
      </w:r>
      <w:r w:rsidR="00737ECD">
        <w:rPr>
          <w:rFonts w:ascii="Times New Roman" w:hAnsi="Times New Roman" w:cs="Times New Roman"/>
          <w:szCs w:val="24"/>
        </w:rPr>
        <w:t>Conversely</w:t>
      </w:r>
      <w:r w:rsidR="003919B1">
        <w:rPr>
          <w:rFonts w:ascii="Times New Roman" w:hAnsi="Times New Roman" w:cs="Times New Roman"/>
          <w:szCs w:val="24"/>
        </w:rPr>
        <w:t>, most dramatic mutation-associated occupancy changes occur in unmutated residues, e.g. G190E leads to ∆occupancy = -0.85 vs WT at Val179 and V106A+L234I is associated with ∆occupancy = +0.87 vs WT for Ser105.</w:t>
      </w:r>
    </w:p>
    <w:p w14:paraId="43AFA6F0" w14:textId="77777777" w:rsidR="00BE6784" w:rsidRDefault="00BE6784" w:rsidP="001D0F7D">
      <w:pPr>
        <w:rPr>
          <w:rFonts w:ascii="Times New Roman" w:hAnsi="Times New Roman" w:cs="Times New Roman"/>
          <w:szCs w:val="24"/>
        </w:rPr>
      </w:pPr>
    </w:p>
    <w:p w14:paraId="26E4788E" w14:textId="7BD7BCA3" w:rsidR="00737ECD" w:rsidRDefault="00737ECD" w:rsidP="001D0F7D">
      <w:pPr>
        <w:rPr>
          <w:rFonts w:ascii="Times New Roman" w:hAnsi="Times New Roman" w:cs="Times New Roman"/>
          <w:szCs w:val="24"/>
        </w:rPr>
      </w:pPr>
      <w:r>
        <w:rPr>
          <w:rFonts w:ascii="Times New Roman" w:hAnsi="Times New Roman" w:cs="Times New Roman"/>
          <w:szCs w:val="24"/>
        </w:rPr>
        <w:t xml:space="preserve">Second, comparing patterns of mutation-associated occupancy changes in </w:t>
      </w:r>
      <w:r w:rsidR="00BE0212">
        <w:rPr>
          <w:rFonts w:ascii="Times New Roman" w:hAnsi="Times New Roman" w:cs="Times New Roman"/>
          <w:szCs w:val="24"/>
        </w:rPr>
        <w:t>positive</w:t>
      </w:r>
      <w:r>
        <w:rPr>
          <w:rFonts w:ascii="Times New Roman" w:hAnsi="Times New Roman" w:cs="Times New Roman"/>
          <w:szCs w:val="24"/>
        </w:rPr>
        <w:t xml:space="preserve"> vs </w:t>
      </w:r>
      <w:r w:rsidR="00BE0212">
        <w:rPr>
          <w:rFonts w:ascii="Times New Roman" w:hAnsi="Times New Roman" w:cs="Times New Roman"/>
          <w:szCs w:val="24"/>
        </w:rPr>
        <w:t>negative</w:t>
      </w:r>
      <w:r>
        <w:rPr>
          <w:rFonts w:ascii="Times New Roman" w:hAnsi="Times New Roman" w:cs="Times New Roman"/>
          <w:szCs w:val="24"/>
        </w:rPr>
        <w:t xml:space="preserve"> control mutations provides rationale for interpreting the phenotypic </w:t>
      </w:r>
      <w:r w:rsidR="009B6E3A">
        <w:rPr>
          <w:rFonts w:ascii="Times New Roman" w:hAnsi="Times New Roman" w:cs="Times New Roman"/>
          <w:szCs w:val="24"/>
        </w:rPr>
        <w:t xml:space="preserve">susceptibility </w:t>
      </w:r>
      <w:r>
        <w:rPr>
          <w:rFonts w:ascii="Times New Roman" w:hAnsi="Times New Roman" w:cs="Times New Roman"/>
          <w:szCs w:val="24"/>
        </w:rPr>
        <w:t xml:space="preserve">landscape in terms of specific reporter coordinates. For example, Y188L (a canonical DOR DRM) is associated with </w:t>
      </w:r>
      <w:r>
        <w:rPr>
          <w:rFonts w:ascii="Times New Roman" w:hAnsi="Times New Roman" w:cs="Times New Roman"/>
          <w:szCs w:val="24"/>
        </w:rPr>
        <w:t xml:space="preserve">∆occupancy = </w:t>
      </w:r>
      <w:r>
        <w:rPr>
          <w:rFonts w:ascii="Times New Roman" w:hAnsi="Times New Roman" w:cs="Times New Roman"/>
          <w:szCs w:val="24"/>
        </w:rPr>
        <w:t>+</w:t>
      </w:r>
      <w:r>
        <w:rPr>
          <w:rFonts w:ascii="Times New Roman" w:hAnsi="Times New Roman" w:cs="Times New Roman"/>
          <w:szCs w:val="24"/>
        </w:rPr>
        <w:t>0.</w:t>
      </w:r>
      <w:r>
        <w:rPr>
          <w:rFonts w:ascii="Times New Roman" w:hAnsi="Times New Roman" w:cs="Times New Roman"/>
          <w:szCs w:val="24"/>
        </w:rPr>
        <w:t>23</w:t>
      </w:r>
      <w:r>
        <w:rPr>
          <w:rFonts w:ascii="Times New Roman" w:hAnsi="Times New Roman" w:cs="Times New Roman"/>
          <w:szCs w:val="24"/>
        </w:rPr>
        <w:t xml:space="preserve"> vs WT </w:t>
      </w:r>
      <w:r>
        <w:rPr>
          <w:rFonts w:ascii="Times New Roman" w:hAnsi="Times New Roman" w:cs="Times New Roman"/>
          <w:szCs w:val="24"/>
        </w:rPr>
        <w:t xml:space="preserve">for Lys102 and ∆occupancy = -0.16 vs WT for Pro225, while Y181C (a negative control mutation) is only associated with </w:t>
      </w:r>
      <w:r>
        <w:rPr>
          <w:rFonts w:ascii="Times New Roman" w:hAnsi="Times New Roman" w:cs="Times New Roman"/>
          <w:szCs w:val="24"/>
        </w:rPr>
        <w:t xml:space="preserve">∆occupancy = </w:t>
      </w:r>
      <w:r w:rsidRPr="00737ECD">
        <w:rPr>
          <w:rFonts w:ascii="Cambria Math" w:hAnsi="Cambria Math" w:cs="Cambria Math"/>
          <w:szCs w:val="24"/>
        </w:rPr>
        <w:t>∓</w:t>
      </w:r>
      <w:r w:rsidRPr="00737ECD">
        <w:rPr>
          <w:rFonts w:ascii="Times New Roman" w:hAnsi="Times New Roman" w:cs="Times New Roman"/>
          <w:szCs w:val="24"/>
        </w:rPr>
        <w:t>0.01</w:t>
      </w:r>
      <w:r>
        <w:rPr>
          <w:rFonts w:ascii="Times New Roman" w:hAnsi="Times New Roman" w:cs="Times New Roman"/>
          <w:szCs w:val="24"/>
        </w:rPr>
        <w:t xml:space="preserve"> vs WT for Lys102 and Pro225 respectively. Thus, </w:t>
      </w:r>
      <w:r w:rsidR="009B6E3A">
        <w:rPr>
          <w:rFonts w:ascii="Times New Roman" w:hAnsi="Times New Roman" w:cs="Times New Roman"/>
          <w:szCs w:val="24"/>
        </w:rPr>
        <w:t xml:space="preserve">DOR distance to </w:t>
      </w:r>
      <w:r>
        <w:rPr>
          <w:rFonts w:ascii="Times New Roman" w:hAnsi="Times New Roman" w:cs="Times New Roman"/>
          <w:szCs w:val="24"/>
        </w:rPr>
        <w:t>Lys102 and Pro225 may be useful reporters of resistance associated structural shifts in the DOR-RT complex.</w:t>
      </w:r>
    </w:p>
    <w:p w14:paraId="71920FD7" w14:textId="77777777" w:rsidR="00CB3AC6" w:rsidRDefault="00CB3AC6" w:rsidP="001D0F7D">
      <w:pPr>
        <w:rPr>
          <w:rFonts w:ascii="Times New Roman" w:hAnsi="Times New Roman" w:cs="Times New Roman"/>
          <w:szCs w:val="24"/>
        </w:rPr>
      </w:pPr>
    </w:p>
    <w:p w14:paraId="382C97F2" w14:textId="268418EC" w:rsidR="00CB3AC6" w:rsidRDefault="00CB3AC6" w:rsidP="00CB3AC6">
      <w:pPr>
        <w:rPr>
          <w:rFonts w:ascii="Times New Roman" w:hAnsi="Times New Roman" w:cs="Times New Roman"/>
          <w:i/>
          <w:iCs/>
          <w:szCs w:val="24"/>
          <w:u w:val="single"/>
        </w:rPr>
      </w:pPr>
      <w:r>
        <w:rPr>
          <w:rFonts w:ascii="Times New Roman" w:hAnsi="Times New Roman" w:cs="Times New Roman"/>
          <w:i/>
          <w:iCs/>
          <w:szCs w:val="24"/>
          <w:u w:val="single"/>
        </w:rPr>
        <w:t xml:space="preserve">Y188L disrupts </w:t>
      </w:r>
      <w:r w:rsidRPr="00CB3AC6">
        <w:rPr>
          <w:rFonts w:ascii="Times New Roman" w:hAnsi="Times New Roman" w:cs="Times New Roman"/>
          <w:i/>
          <w:iCs/>
          <w:szCs w:val="24"/>
          <w:u w:val="single"/>
        </w:rPr>
        <w:t>the Tyr188 aromatic wall and remodels the pocket near Pro225</w:t>
      </w:r>
    </w:p>
    <w:p w14:paraId="1C72C042" w14:textId="778E15A5" w:rsidR="00E049D2" w:rsidRPr="00772A09" w:rsidRDefault="00E049D2" w:rsidP="00E049D2">
      <w:pPr>
        <w:rPr>
          <w:rFonts w:ascii="Arial" w:hAnsi="Arial" w:cs="Arial"/>
          <w:b/>
          <w:bCs/>
          <w:szCs w:val="24"/>
        </w:rPr>
      </w:pPr>
      <w:r>
        <w:rPr>
          <w:rFonts w:ascii="Times New Roman" w:hAnsi="Times New Roman" w:cs="Times New Roman"/>
          <w:noProof/>
          <w:szCs w:val="24"/>
        </w:rPr>
        <w:drawing>
          <wp:inline distT="0" distB="0" distL="0" distR="0" wp14:anchorId="4CB5EB4A" wp14:editId="0AE7E2D8">
            <wp:extent cx="5943600" cy="2429510"/>
            <wp:effectExtent l="0" t="0" r="0" b="0"/>
            <wp:docPr id="10801968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96808" name="Picture 108019680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429510"/>
                    </a:xfrm>
                    <a:prstGeom prst="rect">
                      <a:avLst/>
                    </a:prstGeom>
                  </pic:spPr>
                </pic:pic>
              </a:graphicData>
            </a:graphic>
          </wp:inline>
        </w:drawing>
      </w:r>
      <w:r w:rsidRPr="00E049D2">
        <w:rPr>
          <w:rFonts w:ascii="Arial" w:hAnsi="Arial" w:cs="Arial"/>
          <w:b/>
          <w:bCs/>
          <w:szCs w:val="24"/>
        </w:rPr>
        <w:t xml:space="preserve"> </w:t>
      </w:r>
      <w:r w:rsidRPr="00E049D2">
        <w:rPr>
          <w:rFonts w:ascii="Times New Roman" w:hAnsi="Times New Roman" w:cs="Times New Roman"/>
          <w:b/>
          <w:bCs/>
          <w:szCs w:val="24"/>
        </w:rPr>
        <w:t>WT</w:t>
      </w:r>
      <w:r w:rsidRPr="00E049D2">
        <w:rPr>
          <w:rFonts w:ascii="Times New Roman" w:hAnsi="Times New Roman" w:cs="Times New Roman"/>
          <w:b/>
          <w:bCs/>
          <w:szCs w:val="24"/>
        </w:rPr>
        <w:tab/>
      </w:r>
      <w:r w:rsidRPr="00E049D2">
        <w:rPr>
          <w:rFonts w:ascii="Times New Roman" w:hAnsi="Times New Roman" w:cs="Times New Roman"/>
          <w:b/>
          <w:bCs/>
          <w:szCs w:val="24"/>
        </w:rPr>
        <w:tab/>
      </w:r>
      <w:r w:rsidRPr="00E049D2">
        <w:rPr>
          <w:rFonts w:ascii="Times New Roman" w:hAnsi="Times New Roman" w:cs="Times New Roman"/>
          <w:b/>
          <w:bCs/>
          <w:szCs w:val="24"/>
        </w:rPr>
        <w:tab/>
      </w:r>
      <w:r w:rsidRPr="00E049D2">
        <w:rPr>
          <w:rFonts w:ascii="Times New Roman" w:hAnsi="Times New Roman" w:cs="Times New Roman"/>
          <w:b/>
          <w:bCs/>
          <w:szCs w:val="24"/>
        </w:rPr>
        <w:tab/>
        <w:t xml:space="preserve">  Y181C</w:t>
      </w:r>
      <w:r w:rsidRPr="00E049D2">
        <w:rPr>
          <w:rFonts w:ascii="Times New Roman" w:hAnsi="Times New Roman" w:cs="Times New Roman"/>
          <w:b/>
          <w:bCs/>
          <w:szCs w:val="24"/>
        </w:rPr>
        <w:tab/>
      </w:r>
      <w:r w:rsidRPr="00E049D2">
        <w:rPr>
          <w:rFonts w:ascii="Times New Roman" w:hAnsi="Times New Roman" w:cs="Times New Roman"/>
          <w:b/>
          <w:bCs/>
          <w:szCs w:val="24"/>
        </w:rPr>
        <w:tab/>
        <w:t xml:space="preserve">    Y188L</w:t>
      </w:r>
      <w:r>
        <w:rPr>
          <w:rFonts w:ascii="Arial" w:hAnsi="Arial" w:cs="Arial"/>
          <w:b/>
          <w:bCs/>
          <w:szCs w:val="24"/>
        </w:rPr>
        <w:tab/>
      </w:r>
    </w:p>
    <w:p w14:paraId="794662D7" w14:textId="77777777" w:rsidR="00E049D2" w:rsidRDefault="00E049D2" w:rsidP="00E049D2">
      <w:pPr>
        <w:rPr>
          <w:rFonts w:ascii="Arial" w:hAnsi="Arial" w:cs="Arial"/>
          <w:szCs w:val="24"/>
        </w:rPr>
      </w:pPr>
      <w:r>
        <w:rPr>
          <w:rFonts w:ascii="Arial" w:hAnsi="Arial" w:cs="Arial"/>
          <w:noProof/>
          <w:szCs w:val="24"/>
        </w:rPr>
        <w:drawing>
          <wp:inline distT="0" distB="0" distL="0" distR="0" wp14:anchorId="79FABA54" wp14:editId="3ADB520F">
            <wp:extent cx="1866585" cy="2282706"/>
            <wp:effectExtent l="0" t="0" r="635" b="3810"/>
            <wp:docPr id="15274237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23727" name="Picture 1527423727"/>
                    <pic:cNvPicPr/>
                  </pic:nvPicPr>
                  <pic:blipFill rotWithShape="1">
                    <a:blip r:embed="rId11" cstate="print">
                      <a:extLst>
                        <a:ext uri="{28A0092B-C50C-407E-A947-70E740481C1C}">
                          <a14:useLocalDpi xmlns:a14="http://schemas.microsoft.com/office/drawing/2010/main" val="0"/>
                        </a:ext>
                      </a:extLst>
                    </a:blip>
                    <a:srcRect l="33763" r="30635"/>
                    <a:stretch>
                      <a:fillRect/>
                    </a:stretch>
                  </pic:blipFill>
                  <pic:spPr bwMode="auto">
                    <a:xfrm>
                      <a:off x="0" y="0"/>
                      <a:ext cx="1877600" cy="2296177"/>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noProof/>
          <w:szCs w:val="24"/>
        </w:rPr>
        <w:drawing>
          <wp:inline distT="0" distB="0" distL="0" distR="0" wp14:anchorId="67F1407C" wp14:editId="257955BF">
            <wp:extent cx="1526519" cy="2284775"/>
            <wp:effectExtent l="0" t="0" r="0" b="1270"/>
            <wp:docPr id="17964321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32147" name="Picture 1796432147"/>
                    <pic:cNvPicPr/>
                  </pic:nvPicPr>
                  <pic:blipFill rotWithShape="1">
                    <a:blip r:embed="rId12" cstate="print">
                      <a:extLst>
                        <a:ext uri="{28A0092B-C50C-407E-A947-70E740481C1C}">
                          <a14:useLocalDpi xmlns:a14="http://schemas.microsoft.com/office/drawing/2010/main" val="0"/>
                        </a:ext>
                      </a:extLst>
                    </a:blip>
                    <a:srcRect l="39498" r="30743"/>
                    <a:stretch>
                      <a:fillRect/>
                    </a:stretch>
                  </pic:blipFill>
                  <pic:spPr bwMode="auto">
                    <a:xfrm>
                      <a:off x="0" y="0"/>
                      <a:ext cx="1534246" cy="2296340"/>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noProof/>
          <w:szCs w:val="24"/>
        </w:rPr>
        <w:drawing>
          <wp:inline distT="0" distB="0" distL="0" distR="0" wp14:anchorId="1E55EA0E" wp14:editId="3FB1DD08">
            <wp:extent cx="2063067" cy="2286829"/>
            <wp:effectExtent l="0" t="0" r="0" b="0"/>
            <wp:docPr id="8187665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766519" name="Picture 818766519"/>
                    <pic:cNvPicPr/>
                  </pic:nvPicPr>
                  <pic:blipFill rotWithShape="1">
                    <a:blip r:embed="rId13" cstate="print">
                      <a:extLst>
                        <a:ext uri="{28A0092B-C50C-407E-A947-70E740481C1C}">
                          <a14:useLocalDpi xmlns:a14="http://schemas.microsoft.com/office/drawing/2010/main" val="0"/>
                        </a:ext>
                      </a:extLst>
                    </a:blip>
                    <a:srcRect l="32146" r="27671"/>
                    <a:stretch>
                      <a:fillRect/>
                    </a:stretch>
                  </pic:blipFill>
                  <pic:spPr bwMode="auto">
                    <a:xfrm>
                      <a:off x="0" y="0"/>
                      <a:ext cx="2069554" cy="2294019"/>
                    </a:xfrm>
                    <a:prstGeom prst="rect">
                      <a:avLst/>
                    </a:prstGeom>
                    <a:ln>
                      <a:noFill/>
                    </a:ln>
                    <a:extLst>
                      <a:ext uri="{53640926-AAD7-44D8-BBD7-CCE9431645EC}">
                        <a14:shadowObscured xmlns:a14="http://schemas.microsoft.com/office/drawing/2010/main"/>
                      </a:ext>
                    </a:extLst>
                  </pic:spPr>
                </pic:pic>
              </a:graphicData>
            </a:graphic>
          </wp:inline>
        </w:drawing>
      </w:r>
    </w:p>
    <w:p w14:paraId="4158F1A8" w14:textId="03CDD61C" w:rsidR="00E049D2" w:rsidRDefault="00E049D2" w:rsidP="00E049D2">
      <w:pPr>
        <w:rPr>
          <w:rFonts w:ascii="Times New Roman" w:hAnsi="Times New Roman" w:cs="Times New Roman"/>
          <w:sz w:val="20"/>
          <w:szCs w:val="20"/>
        </w:rPr>
      </w:pPr>
      <w:r w:rsidRPr="005478F3">
        <w:rPr>
          <w:rFonts w:ascii="Times New Roman" w:hAnsi="Times New Roman" w:cs="Times New Roman"/>
          <w:b/>
          <w:bCs/>
          <w:sz w:val="20"/>
          <w:szCs w:val="20"/>
        </w:rPr>
        <w:t xml:space="preserve">Figure </w:t>
      </w:r>
      <w:r>
        <w:rPr>
          <w:rFonts w:ascii="Times New Roman" w:hAnsi="Times New Roman" w:cs="Times New Roman"/>
          <w:b/>
          <w:bCs/>
          <w:sz w:val="20"/>
          <w:szCs w:val="20"/>
        </w:rPr>
        <w:t>6</w:t>
      </w:r>
      <w:r w:rsidRPr="005478F3">
        <w:rPr>
          <w:rFonts w:ascii="Times New Roman" w:hAnsi="Times New Roman" w:cs="Times New Roman"/>
          <w:b/>
          <w:bCs/>
          <w:sz w:val="20"/>
          <w:szCs w:val="20"/>
        </w:rPr>
        <w:t xml:space="preserve">: </w:t>
      </w:r>
      <w:r w:rsidRPr="00E049D2">
        <w:rPr>
          <w:rFonts w:ascii="Times New Roman" w:hAnsi="Times New Roman" w:cs="Times New Roman"/>
          <w:b/>
          <w:bCs/>
          <w:sz w:val="20"/>
          <w:szCs w:val="20"/>
        </w:rPr>
        <w:t xml:space="preserve">Y188L preferentially alters binding pocket geometry, causing Pro225 to shift away from DOR. </w:t>
      </w:r>
      <w:r w:rsidRPr="00E049D2">
        <w:rPr>
          <w:rFonts w:ascii="Times New Roman" w:hAnsi="Times New Roman" w:cs="Times New Roman"/>
          <w:sz w:val="20"/>
          <w:szCs w:val="20"/>
        </w:rPr>
        <w:t>(Top) Minimum distance between heavy atoms of Pro225 and DOR observed in MD simulations of WT, Y181C, and Y188L. (Bottom) Snapshots of a single frame across WT, Y181C, and Y188L trajectories, showing Pro225 almost twice the distance away from DOR in case of Y188L as compared to WT and Y181C.</w:t>
      </w:r>
    </w:p>
    <w:p w14:paraId="45B8A96E" w14:textId="77777777" w:rsidR="00E049D2" w:rsidRDefault="00E049D2" w:rsidP="00E049D2">
      <w:pPr>
        <w:rPr>
          <w:rFonts w:ascii="Arial" w:hAnsi="Arial" w:cs="Arial"/>
          <w:szCs w:val="24"/>
        </w:rPr>
      </w:pPr>
    </w:p>
    <w:p w14:paraId="7D69C9EF" w14:textId="77777777" w:rsidR="00E049D2" w:rsidRDefault="00E049D2" w:rsidP="00E049D2">
      <w:pPr>
        <w:rPr>
          <w:rFonts w:ascii="Times New Roman" w:hAnsi="Times New Roman" w:cs="Times New Roman"/>
          <w:szCs w:val="24"/>
        </w:rPr>
      </w:pPr>
      <w:r w:rsidRPr="00CB3AC6">
        <w:rPr>
          <w:rFonts w:ascii="Times New Roman" w:hAnsi="Times New Roman" w:cs="Times New Roman"/>
          <w:szCs w:val="24"/>
        </w:rPr>
        <w:t>Y188L is one of the clearest single-mutation DOR resistance genotypes in the literature, whereas Y181C is a classical NNRTI mutation that usually has little effect on DOR susceptibility. We therefore compared WT, Y181C, and Y188L to determine whether the local trajectory features of these two tyrosine-site mutations differ in a way that matches their distinct phenotypes.</w:t>
      </w:r>
    </w:p>
    <w:p w14:paraId="5E74CD42" w14:textId="77777777" w:rsidR="00E049D2" w:rsidRPr="00CB3AC6" w:rsidRDefault="00E049D2" w:rsidP="00E049D2">
      <w:pPr>
        <w:rPr>
          <w:rFonts w:ascii="Times New Roman" w:hAnsi="Times New Roman" w:cs="Times New Roman"/>
          <w:szCs w:val="24"/>
        </w:rPr>
      </w:pPr>
    </w:p>
    <w:p w14:paraId="41F34B59" w14:textId="77777777" w:rsidR="00E049D2" w:rsidRDefault="00E049D2" w:rsidP="00E049D2">
      <w:pPr>
        <w:rPr>
          <w:rFonts w:ascii="Times New Roman" w:hAnsi="Times New Roman" w:cs="Times New Roman"/>
          <w:szCs w:val="24"/>
        </w:rPr>
      </w:pPr>
      <w:r w:rsidRPr="00CB3AC6">
        <w:rPr>
          <w:rFonts w:ascii="Times New Roman" w:hAnsi="Times New Roman" w:cs="Times New Roman"/>
          <w:szCs w:val="24"/>
        </w:rPr>
        <w:t>In the WT DOR-bound structure, the chlorophenol ring of DOR packs against Tyr188 within the aromatic wall of the NNIBP. Loss of this aromatic surface in Y188L was expected to weaken local packing directly, but the residue-level contact screen suggested a second structural effect: a preferential shift in the DOR-Pro225 relationship. Pro225 is not mutated in this genotype; rather, it serves here as a reporter of local pocket remodeling propagated from the Tyr188 side of the pocket.</w:t>
      </w:r>
    </w:p>
    <w:p w14:paraId="0D67E0C1" w14:textId="1C4ABB28" w:rsidR="00CB3AC6" w:rsidRPr="00CB3AC6" w:rsidRDefault="00CB3AC6" w:rsidP="00CB3AC6">
      <w:pPr>
        <w:rPr>
          <w:rFonts w:ascii="Times New Roman" w:hAnsi="Times New Roman" w:cs="Times New Roman"/>
          <w:szCs w:val="24"/>
        </w:rPr>
      </w:pPr>
    </w:p>
    <w:p w14:paraId="621894C4" w14:textId="74F87DCF" w:rsidR="00CB3AC6" w:rsidRDefault="00CB3AC6" w:rsidP="00CB3AC6">
      <w:pPr>
        <w:rPr>
          <w:rFonts w:ascii="Times New Roman" w:hAnsi="Times New Roman" w:cs="Times New Roman"/>
          <w:szCs w:val="24"/>
        </w:rPr>
      </w:pPr>
      <w:r w:rsidRPr="00CB3AC6">
        <w:rPr>
          <w:rFonts w:ascii="Times New Roman" w:hAnsi="Times New Roman" w:cs="Times New Roman"/>
          <w:szCs w:val="24"/>
        </w:rPr>
        <w:t>The Y188L simulations indeed differed from both WT and Y181C in this respect</w:t>
      </w:r>
      <w:r>
        <w:rPr>
          <w:rFonts w:ascii="Times New Roman" w:hAnsi="Times New Roman" w:cs="Times New Roman"/>
          <w:szCs w:val="24"/>
        </w:rPr>
        <w:t xml:space="preserve"> (Figure 6)</w:t>
      </w:r>
      <w:r w:rsidRPr="00CB3AC6">
        <w:rPr>
          <w:rFonts w:ascii="Times New Roman" w:hAnsi="Times New Roman" w:cs="Times New Roman"/>
          <w:szCs w:val="24"/>
        </w:rPr>
        <w:t>. Relative to WT and Y181C, Y188L showed increased Tyr188-DOR separation together with more frequent excursions of Pro225 away from DOR. By contrast, Y181C retained a largely WT-like local geometry. This distinction is consistent with the known DOR binding mode, in which Tyr188 contributes directly to packing while Tyr181 is positioned closer to the rim of the pocket and is less central to the DOR interaction network</w:t>
      </w:r>
      <w:r w:rsidR="00671B81">
        <w:rPr>
          <w:rFonts w:ascii="Times New Roman" w:hAnsi="Times New Roman" w:cs="Times New Roman"/>
          <w:szCs w:val="24"/>
        </w:rPr>
        <w:t>.</w:t>
      </w:r>
    </w:p>
    <w:p w14:paraId="7E498FD5" w14:textId="77777777" w:rsidR="00CB3AC6" w:rsidRPr="00CB3AC6" w:rsidRDefault="00CB3AC6" w:rsidP="00CB3AC6">
      <w:pPr>
        <w:rPr>
          <w:rFonts w:ascii="Times New Roman" w:hAnsi="Times New Roman" w:cs="Times New Roman"/>
          <w:szCs w:val="24"/>
        </w:rPr>
      </w:pPr>
    </w:p>
    <w:p w14:paraId="4B827724" w14:textId="64100D4D" w:rsidR="00CB3AC6" w:rsidRPr="00CB3AC6" w:rsidRDefault="00CB3AC6" w:rsidP="00CB3AC6">
      <w:pPr>
        <w:rPr>
          <w:rFonts w:ascii="Times New Roman" w:hAnsi="Times New Roman" w:cs="Times New Roman"/>
          <w:szCs w:val="24"/>
        </w:rPr>
      </w:pPr>
      <w:r w:rsidRPr="00CB3AC6">
        <w:rPr>
          <w:rFonts w:ascii="Times New Roman" w:hAnsi="Times New Roman" w:cs="Times New Roman"/>
          <w:szCs w:val="24"/>
        </w:rPr>
        <w:t>Taken together, these results support a two-part interpretation of Y188L resistance: direct loss of aromatic packing on the Tyr188 side of the pocket, coupled with local remodeling near Pro225 that may broaden the set of accessible DOR poses and weaken pocket confinement.</w:t>
      </w:r>
    </w:p>
    <w:p w14:paraId="5F5AF814" w14:textId="77777777" w:rsidR="00CB3AC6" w:rsidRPr="00737ECD" w:rsidRDefault="00CB3AC6" w:rsidP="001D0F7D">
      <w:pPr>
        <w:rPr>
          <w:rFonts w:ascii="Cambria Math" w:hAnsi="Cambria Math" w:cs="Times New Roman"/>
          <w:szCs w:val="24"/>
        </w:rPr>
      </w:pPr>
    </w:p>
    <w:p w14:paraId="28FDD53E" w14:textId="34D88707" w:rsidR="00406A32" w:rsidRPr="00406A32" w:rsidRDefault="005C2299" w:rsidP="00406A32">
      <w:pPr>
        <w:rPr>
          <w:rFonts w:ascii="Times New Roman" w:hAnsi="Times New Roman" w:cs="Times New Roman"/>
          <w:b/>
          <w:bCs/>
          <w:szCs w:val="24"/>
        </w:rPr>
      </w:pPr>
      <w:r w:rsidRPr="005C2299">
        <w:rPr>
          <w:rFonts w:ascii="Times New Roman" w:hAnsi="Times New Roman" w:cs="Times New Roman"/>
          <w:i/>
          <w:iCs/>
          <w:szCs w:val="24"/>
          <w:u w:val="single"/>
        </w:rPr>
        <w:t xml:space="preserve">V106A-containing genotypes shift DOR toward the </w:t>
      </w:r>
      <w:r>
        <w:rPr>
          <w:rFonts w:ascii="Times New Roman" w:hAnsi="Times New Roman" w:cs="Times New Roman"/>
          <w:i/>
          <w:iCs/>
          <w:szCs w:val="24"/>
          <w:u w:val="single"/>
        </w:rPr>
        <w:t>103-108 loop</w:t>
      </w:r>
      <w:r w:rsidR="00406A32">
        <w:rPr>
          <w:rFonts w:ascii="Times New Roman" w:hAnsi="Times New Roman" w:cs="Times New Roman"/>
          <w:noProof/>
          <w:szCs w:val="24"/>
        </w:rPr>
        <w:drawing>
          <wp:inline distT="0" distB="0" distL="0" distR="0" wp14:anchorId="6B9637FF" wp14:editId="523D3904">
            <wp:extent cx="5943600" cy="2429510"/>
            <wp:effectExtent l="0" t="0" r="0" b="0"/>
            <wp:docPr id="14751860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86070" name="Picture 147518607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429510"/>
                    </a:xfrm>
                    <a:prstGeom prst="rect">
                      <a:avLst/>
                    </a:prstGeom>
                  </pic:spPr>
                </pic:pic>
              </a:graphicData>
            </a:graphic>
          </wp:inline>
        </w:drawing>
      </w:r>
      <w:r w:rsidR="00406A32" w:rsidRPr="00406A32">
        <w:rPr>
          <w:rFonts w:ascii="Arial" w:hAnsi="Arial" w:cs="Arial"/>
          <w:b/>
          <w:bCs/>
          <w:szCs w:val="24"/>
        </w:rPr>
        <w:t xml:space="preserve"> </w:t>
      </w:r>
      <w:r w:rsidR="00406A32" w:rsidRPr="00406A32">
        <w:rPr>
          <w:rFonts w:ascii="Times New Roman" w:hAnsi="Times New Roman" w:cs="Times New Roman"/>
          <w:b/>
          <w:bCs/>
          <w:szCs w:val="24"/>
        </w:rPr>
        <w:t>WT</w:t>
      </w:r>
      <w:r w:rsidR="00406A32" w:rsidRPr="00406A32">
        <w:rPr>
          <w:rFonts w:ascii="Times New Roman" w:hAnsi="Times New Roman" w:cs="Times New Roman"/>
          <w:b/>
          <w:bCs/>
          <w:szCs w:val="24"/>
        </w:rPr>
        <w:tab/>
      </w:r>
      <w:r w:rsidR="00406A32" w:rsidRPr="00406A32">
        <w:rPr>
          <w:rFonts w:ascii="Times New Roman" w:hAnsi="Times New Roman" w:cs="Times New Roman"/>
          <w:b/>
          <w:bCs/>
          <w:szCs w:val="24"/>
        </w:rPr>
        <w:tab/>
      </w:r>
      <w:r w:rsidR="00406A32" w:rsidRPr="00406A32">
        <w:rPr>
          <w:rFonts w:ascii="Times New Roman" w:hAnsi="Times New Roman" w:cs="Times New Roman"/>
          <w:b/>
          <w:bCs/>
          <w:szCs w:val="24"/>
        </w:rPr>
        <w:tab/>
      </w:r>
      <w:r w:rsidR="00406A32" w:rsidRPr="00406A32">
        <w:rPr>
          <w:rFonts w:ascii="Times New Roman" w:hAnsi="Times New Roman" w:cs="Times New Roman"/>
          <w:b/>
          <w:bCs/>
          <w:szCs w:val="24"/>
        </w:rPr>
        <w:tab/>
        <w:t>V106I</w:t>
      </w:r>
      <w:r w:rsidR="00406A32" w:rsidRPr="00406A32">
        <w:rPr>
          <w:rFonts w:ascii="Times New Roman" w:hAnsi="Times New Roman" w:cs="Times New Roman"/>
          <w:b/>
          <w:bCs/>
          <w:szCs w:val="24"/>
        </w:rPr>
        <w:tab/>
      </w:r>
      <w:r w:rsidR="00406A32" w:rsidRPr="00406A32">
        <w:rPr>
          <w:rFonts w:ascii="Times New Roman" w:hAnsi="Times New Roman" w:cs="Times New Roman"/>
          <w:b/>
          <w:bCs/>
          <w:szCs w:val="24"/>
        </w:rPr>
        <w:tab/>
      </w:r>
      <w:r w:rsidR="00406A32" w:rsidRPr="00406A32">
        <w:rPr>
          <w:rFonts w:ascii="Times New Roman" w:hAnsi="Times New Roman" w:cs="Times New Roman"/>
          <w:b/>
          <w:bCs/>
          <w:szCs w:val="24"/>
        </w:rPr>
        <w:tab/>
      </w:r>
      <w:r w:rsidR="00406A32" w:rsidRPr="00406A32">
        <w:rPr>
          <w:rFonts w:ascii="Times New Roman" w:hAnsi="Times New Roman" w:cs="Times New Roman"/>
          <w:b/>
          <w:bCs/>
          <w:szCs w:val="24"/>
        </w:rPr>
        <w:tab/>
        <w:t>V106A</w:t>
      </w:r>
    </w:p>
    <w:p w14:paraId="2CEA7A5A" w14:textId="77777777" w:rsidR="00406A32" w:rsidRPr="009055AB" w:rsidRDefault="00406A32" w:rsidP="00406A32">
      <w:pPr>
        <w:rPr>
          <w:rFonts w:ascii="Arial" w:hAnsi="Arial" w:cs="Arial"/>
          <w:szCs w:val="24"/>
        </w:rPr>
      </w:pPr>
      <w:r>
        <w:rPr>
          <w:rFonts w:ascii="Arial" w:hAnsi="Arial" w:cs="Arial"/>
          <w:noProof/>
          <w:szCs w:val="24"/>
        </w:rPr>
        <w:drawing>
          <wp:inline distT="0" distB="0" distL="0" distR="0" wp14:anchorId="40D39643" wp14:editId="1C931945">
            <wp:extent cx="1859028" cy="1820283"/>
            <wp:effectExtent l="0" t="0" r="0" b="0"/>
            <wp:docPr id="17950035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03529" name="Picture 1795003529"/>
                    <pic:cNvPicPr/>
                  </pic:nvPicPr>
                  <pic:blipFill rotWithShape="1">
                    <a:blip r:embed="rId15" cstate="print">
                      <a:extLst>
                        <a:ext uri="{28A0092B-C50C-407E-A947-70E740481C1C}">
                          <a14:useLocalDpi xmlns:a14="http://schemas.microsoft.com/office/drawing/2010/main" val="0"/>
                        </a:ext>
                      </a:extLst>
                    </a:blip>
                    <a:srcRect l="32927" r="14308"/>
                    <a:stretch>
                      <a:fillRect/>
                    </a:stretch>
                  </pic:blipFill>
                  <pic:spPr bwMode="auto">
                    <a:xfrm>
                      <a:off x="0" y="0"/>
                      <a:ext cx="1868045" cy="1829112"/>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noProof/>
          <w:szCs w:val="24"/>
        </w:rPr>
        <w:drawing>
          <wp:inline distT="0" distB="0" distL="0" distR="0" wp14:anchorId="5FBC1DA1" wp14:editId="4EC99323">
            <wp:extent cx="1829731" cy="1798572"/>
            <wp:effectExtent l="0" t="0" r="0" b="5080"/>
            <wp:docPr id="13205117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1178" name="Picture 132051178"/>
                    <pic:cNvPicPr/>
                  </pic:nvPicPr>
                  <pic:blipFill rotWithShape="1">
                    <a:blip r:embed="rId16" cstate="print">
                      <a:extLst>
                        <a:ext uri="{28A0092B-C50C-407E-A947-70E740481C1C}">
                          <a14:useLocalDpi xmlns:a14="http://schemas.microsoft.com/office/drawing/2010/main" val="0"/>
                        </a:ext>
                      </a:extLst>
                    </a:blip>
                    <a:srcRect l="29356" r="18082"/>
                    <a:stretch>
                      <a:fillRect/>
                    </a:stretch>
                  </pic:blipFill>
                  <pic:spPr bwMode="auto">
                    <a:xfrm>
                      <a:off x="0" y="0"/>
                      <a:ext cx="1849493" cy="1817998"/>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noProof/>
          <w:szCs w:val="24"/>
        </w:rPr>
        <w:drawing>
          <wp:inline distT="0" distB="0" distL="0" distR="0" wp14:anchorId="261E83E7" wp14:editId="7BB6F4C1">
            <wp:extent cx="1629472" cy="1798572"/>
            <wp:effectExtent l="0" t="0" r="0" b="5080"/>
            <wp:docPr id="12094022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02231" name="Picture 1209402231"/>
                    <pic:cNvPicPr/>
                  </pic:nvPicPr>
                  <pic:blipFill rotWithShape="1">
                    <a:blip r:embed="rId17" cstate="print">
                      <a:extLst>
                        <a:ext uri="{28A0092B-C50C-407E-A947-70E740481C1C}">
                          <a14:useLocalDpi xmlns:a14="http://schemas.microsoft.com/office/drawing/2010/main" val="0"/>
                        </a:ext>
                      </a:extLst>
                    </a:blip>
                    <a:srcRect l="32927" r="20264"/>
                    <a:stretch>
                      <a:fillRect/>
                    </a:stretch>
                  </pic:blipFill>
                  <pic:spPr bwMode="auto">
                    <a:xfrm>
                      <a:off x="0" y="0"/>
                      <a:ext cx="1643402" cy="1813947"/>
                    </a:xfrm>
                    <a:prstGeom prst="rect">
                      <a:avLst/>
                    </a:prstGeom>
                    <a:ln>
                      <a:noFill/>
                    </a:ln>
                    <a:extLst>
                      <a:ext uri="{53640926-AAD7-44D8-BBD7-CCE9431645EC}">
                        <a14:shadowObscured xmlns:a14="http://schemas.microsoft.com/office/drawing/2010/main"/>
                      </a:ext>
                    </a:extLst>
                  </pic:spPr>
                </pic:pic>
              </a:graphicData>
            </a:graphic>
          </wp:inline>
        </w:drawing>
      </w:r>
    </w:p>
    <w:p w14:paraId="7F36B645" w14:textId="274E1BF0" w:rsidR="00406A32" w:rsidRDefault="00406A32" w:rsidP="00406A32">
      <w:pPr>
        <w:rPr>
          <w:rFonts w:ascii="Times New Roman" w:hAnsi="Times New Roman" w:cs="Times New Roman"/>
          <w:sz w:val="20"/>
          <w:szCs w:val="20"/>
        </w:rPr>
      </w:pPr>
      <w:r w:rsidRPr="005478F3">
        <w:rPr>
          <w:rFonts w:ascii="Times New Roman" w:hAnsi="Times New Roman" w:cs="Times New Roman"/>
          <w:b/>
          <w:bCs/>
          <w:sz w:val="20"/>
          <w:szCs w:val="20"/>
        </w:rPr>
        <w:t xml:space="preserve">Figure </w:t>
      </w:r>
      <w:r>
        <w:rPr>
          <w:rFonts w:ascii="Times New Roman" w:hAnsi="Times New Roman" w:cs="Times New Roman"/>
          <w:b/>
          <w:bCs/>
          <w:sz w:val="20"/>
          <w:szCs w:val="20"/>
        </w:rPr>
        <w:t>7</w:t>
      </w:r>
      <w:r w:rsidRPr="005478F3">
        <w:rPr>
          <w:rFonts w:ascii="Times New Roman" w:hAnsi="Times New Roman" w:cs="Times New Roman"/>
          <w:b/>
          <w:bCs/>
          <w:sz w:val="20"/>
          <w:szCs w:val="20"/>
        </w:rPr>
        <w:t xml:space="preserve">: </w:t>
      </w:r>
      <w:r w:rsidRPr="00406A32">
        <w:rPr>
          <w:rFonts w:ascii="Times New Roman" w:hAnsi="Times New Roman" w:cs="Times New Roman"/>
          <w:b/>
          <w:bCs/>
          <w:sz w:val="20"/>
          <w:szCs w:val="20"/>
        </w:rPr>
        <w:t xml:space="preserve">V106A preferentially alters DOR pose, causing Ser105 to shift closer to DOR. </w:t>
      </w:r>
      <w:r w:rsidRPr="00406A32">
        <w:rPr>
          <w:rFonts w:ascii="Times New Roman" w:hAnsi="Times New Roman" w:cs="Times New Roman"/>
          <w:sz w:val="20"/>
          <w:szCs w:val="20"/>
        </w:rPr>
        <w:t xml:space="preserve">(Top) Minimum distance between heavy atoms of Ser105 and DOR observed in MD simulations of WT, V106I, and V106A. </w:t>
      </w:r>
      <w:r w:rsidRPr="00406A32">
        <w:rPr>
          <w:rFonts w:ascii="Times New Roman" w:hAnsi="Times New Roman" w:cs="Times New Roman"/>
          <w:sz w:val="20"/>
          <w:szCs w:val="20"/>
        </w:rPr>
        <w:lastRenderedPageBreak/>
        <w:t>(Bottom) Snapshots of a single frame across WT, V106I, and V106A trajectories, showing Ser105 shifted closer to DOR in case of V106A as compared to WT and V106I.</w:t>
      </w:r>
    </w:p>
    <w:p w14:paraId="41C0062C" w14:textId="3A649C79" w:rsidR="00737ECD" w:rsidRDefault="00737ECD" w:rsidP="001D0F7D">
      <w:pPr>
        <w:rPr>
          <w:rFonts w:ascii="Times New Roman" w:hAnsi="Times New Roman" w:cs="Times New Roman"/>
          <w:szCs w:val="24"/>
        </w:rPr>
      </w:pPr>
    </w:p>
    <w:p w14:paraId="2916941F" w14:textId="2E4DFA48" w:rsidR="004B23D9" w:rsidRDefault="004B23D9" w:rsidP="004B23D9">
      <w:pPr>
        <w:rPr>
          <w:rFonts w:ascii="Times New Roman" w:hAnsi="Times New Roman" w:cs="Times New Roman"/>
          <w:szCs w:val="24"/>
        </w:rPr>
      </w:pPr>
      <w:r w:rsidRPr="004B23D9">
        <w:rPr>
          <w:rFonts w:ascii="Times New Roman" w:hAnsi="Times New Roman" w:cs="Times New Roman"/>
          <w:szCs w:val="24"/>
        </w:rPr>
        <w:t xml:space="preserve">The V106 region is a major determinant of DOR susceptibility because V106 directly contacts the central </w:t>
      </w:r>
      <w:proofErr w:type="spellStart"/>
      <w:r w:rsidRPr="004B23D9">
        <w:rPr>
          <w:rFonts w:ascii="Times New Roman" w:hAnsi="Times New Roman" w:cs="Times New Roman"/>
          <w:szCs w:val="24"/>
        </w:rPr>
        <w:t>pyridone</w:t>
      </w:r>
      <w:proofErr w:type="spellEnd"/>
      <w:r>
        <w:rPr>
          <w:rFonts w:ascii="Times New Roman" w:hAnsi="Times New Roman" w:cs="Times New Roman"/>
          <w:szCs w:val="24"/>
        </w:rPr>
        <w:t xml:space="preserve"> core of DOR</w:t>
      </w:r>
      <w:r w:rsidRPr="004B23D9">
        <w:rPr>
          <w:rFonts w:ascii="Times New Roman" w:hAnsi="Times New Roman" w:cs="Times New Roman"/>
          <w:szCs w:val="24"/>
        </w:rPr>
        <w:t xml:space="preserve">. However, the literature and our own genotype panel indicate that not all </w:t>
      </w:r>
      <w:r w:rsidR="0023650E">
        <w:rPr>
          <w:rFonts w:ascii="Times New Roman" w:hAnsi="Times New Roman" w:cs="Times New Roman"/>
          <w:szCs w:val="24"/>
        </w:rPr>
        <w:t>V</w:t>
      </w:r>
      <w:r w:rsidRPr="004B23D9">
        <w:rPr>
          <w:rFonts w:ascii="Times New Roman" w:hAnsi="Times New Roman" w:cs="Times New Roman"/>
          <w:szCs w:val="24"/>
        </w:rPr>
        <w:t xml:space="preserve">106 </w:t>
      </w:r>
      <w:r w:rsidR="0023650E">
        <w:rPr>
          <w:rFonts w:ascii="Times New Roman" w:hAnsi="Times New Roman" w:cs="Times New Roman"/>
          <w:szCs w:val="24"/>
        </w:rPr>
        <w:t>mutations</w:t>
      </w:r>
      <w:r w:rsidRPr="004B23D9">
        <w:rPr>
          <w:rFonts w:ascii="Times New Roman" w:hAnsi="Times New Roman" w:cs="Times New Roman"/>
          <w:szCs w:val="24"/>
        </w:rPr>
        <w:t xml:space="preserve"> behave equivalently. V106I</w:t>
      </w:r>
      <w:r>
        <w:rPr>
          <w:rFonts w:ascii="Times New Roman" w:hAnsi="Times New Roman" w:cs="Times New Roman"/>
          <w:szCs w:val="24"/>
        </w:rPr>
        <w:t xml:space="preserve">, a polymorphic substitution </w:t>
      </w:r>
      <w:r w:rsidR="0023650E">
        <w:rPr>
          <w:rFonts w:ascii="Times New Roman" w:hAnsi="Times New Roman" w:cs="Times New Roman"/>
          <w:szCs w:val="24"/>
        </w:rPr>
        <w:t>observed</w:t>
      </w:r>
      <w:r>
        <w:rPr>
          <w:rFonts w:ascii="Times New Roman" w:hAnsi="Times New Roman" w:cs="Times New Roman"/>
          <w:szCs w:val="24"/>
        </w:rPr>
        <w:t xml:space="preserve"> </w:t>
      </w:r>
      <w:r w:rsidR="0023650E">
        <w:rPr>
          <w:rFonts w:ascii="Times New Roman" w:hAnsi="Times New Roman" w:cs="Times New Roman"/>
          <w:szCs w:val="24"/>
        </w:rPr>
        <w:t xml:space="preserve">to some extent </w:t>
      </w:r>
      <w:r>
        <w:rPr>
          <w:rFonts w:ascii="Times New Roman" w:hAnsi="Times New Roman" w:cs="Times New Roman"/>
          <w:szCs w:val="24"/>
        </w:rPr>
        <w:t>in the general population,</w:t>
      </w:r>
      <w:r w:rsidRPr="004B23D9">
        <w:rPr>
          <w:rFonts w:ascii="Times New Roman" w:hAnsi="Times New Roman" w:cs="Times New Roman"/>
          <w:szCs w:val="24"/>
        </w:rPr>
        <w:t xml:space="preserve"> generally has little effect on DOR susceptibility when present alone, whereas V106A is a canonical DOR resistance mutation and serves as the first step in several high-resistance combination pathways.</w:t>
      </w:r>
    </w:p>
    <w:p w14:paraId="20DC0993" w14:textId="77777777" w:rsidR="004B23D9" w:rsidRPr="004B23D9" w:rsidRDefault="004B23D9" w:rsidP="004B23D9">
      <w:pPr>
        <w:rPr>
          <w:rFonts w:ascii="Times New Roman" w:hAnsi="Times New Roman" w:cs="Times New Roman"/>
          <w:szCs w:val="24"/>
        </w:rPr>
      </w:pPr>
    </w:p>
    <w:p w14:paraId="623D29D9" w14:textId="482188EA" w:rsidR="004B23D9" w:rsidRDefault="004B23D9" w:rsidP="004B23D9">
      <w:pPr>
        <w:rPr>
          <w:rFonts w:ascii="Times New Roman" w:hAnsi="Times New Roman" w:cs="Times New Roman"/>
          <w:szCs w:val="24"/>
        </w:rPr>
      </w:pPr>
      <w:r w:rsidRPr="004B23D9">
        <w:rPr>
          <w:rFonts w:ascii="Times New Roman" w:hAnsi="Times New Roman" w:cs="Times New Roman"/>
          <w:szCs w:val="24"/>
        </w:rPr>
        <w:t xml:space="preserve">The systematic contact analysis highlighted Lys104 </w:t>
      </w:r>
      <w:r>
        <w:rPr>
          <w:rFonts w:ascii="Times New Roman" w:hAnsi="Times New Roman" w:cs="Times New Roman"/>
          <w:szCs w:val="24"/>
        </w:rPr>
        <w:t xml:space="preserve">and </w:t>
      </w:r>
      <w:r w:rsidRPr="004B23D9">
        <w:rPr>
          <w:rFonts w:ascii="Times New Roman" w:hAnsi="Times New Roman" w:cs="Times New Roman"/>
          <w:szCs w:val="24"/>
        </w:rPr>
        <w:t xml:space="preserve">Ser105 as informative reporter residues for this distinction. Both residues sit near the pocket entrance </w:t>
      </w:r>
      <w:r w:rsidR="007D2CDE">
        <w:rPr>
          <w:rFonts w:ascii="Times New Roman" w:hAnsi="Times New Roman" w:cs="Times New Roman"/>
          <w:szCs w:val="24"/>
        </w:rPr>
        <w:t>within the 103-108 loop region</w:t>
      </w:r>
      <w:r w:rsidRPr="004B23D9">
        <w:rPr>
          <w:rFonts w:ascii="Times New Roman" w:hAnsi="Times New Roman" w:cs="Times New Roman"/>
          <w:szCs w:val="24"/>
        </w:rPr>
        <w:t xml:space="preserve">, and both showed preferential shifts in DOR proximity in V106A-containing trajectories. In direct comparisons among </w:t>
      </w:r>
      <w:r w:rsidR="009D1AB3">
        <w:rPr>
          <w:rFonts w:ascii="Times New Roman" w:hAnsi="Times New Roman" w:cs="Times New Roman"/>
          <w:szCs w:val="24"/>
        </w:rPr>
        <w:t xml:space="preserve">WT, </w:t>
      </w:r>
      <w:r w:rsidRPr="004B23D9">
        <w:rPr>
          <w:rFonts w:ascii="Times New Roman" w:hAnsi="Times New Roman" w:cs="Times New Roman"/>
          <w:szCs w:val="24"/>
        </w:rPr>
        <w:t>V106I</w:t>
      </w:r>
      <w:r w:rsidR="009D1AB3">
        <w:rPr>
          <w:rFonts w:ascii="Times New Roman" w:hAnsi="Times New Roman" w:cs="Times New Roman"/>
          <w:szCs w:val="24"/>
        </w:rPr>
        <w:t>,</w:t>
      </w:r>
      <w:r w:rsidRPr="004B23D9">
        <w:rPr>
          <w:rFonts w:ascii="Times New Roman" w:hAnsi="Times New Roman" w:cs="Times New Roman"/>
          <w:szCs w:val="24"/>
        </w:rPr>
        <w:t xml:space="preserve"> and V106A, the V106A simulations showed a reproducible shift of DOR toward the </w:t>
      </w:r>
      <w:r w:rsidR="007D2CDE">
        <w:rPr>
          <w:rFonts w:ascii="Times New Roman" w:hAnsi="Times New Roman" w:cs="Times New Roman"/>
          <w:szCs w:val="24"/>
        </w:rPr>
        <w:t>103-108 loop</w:t>
      </w:r>
      <w:r w:rsidRPr="004B23D9">
        <w:rPr>
          <w:rFonts w:ascii="Times New Roman" w:hAnsi="Times New Roman" w:cs="Times New Roman"/>
          <w:szCs w:val="24"/>
        </w:rPr>
        <w:t>, bringing DOR closer to Ser105 and often also to Lys104</w:t>
      </w:r>
      <w:r w:rsidR="0023650E">
        <w:rPr>
          <w:rFonts w:ascii="Times New Roman" w:hAnsi="Times New Roman" w:cs="Times New Roman"/>
          <w:szCs w:val="24"/>
        </w:rPr>
        <w:t xml:space="preserve"> (Figure </w:t>
      </w:r>
      <w:r w:rsidR="002776BF">
        <w:rPr>
          <w:rFonts w:ascii="Times New Roman" w:hAnsi="Times New Roman" w:cs="Times New Roman"/>
          <w:szCs w:val="24"/>
        </w:rPr>
        <w:t>7</w:t>
      </w:r>
      <w:r w:rsidR="0023650E">
        <w:rPr>
          <w:rFonts w:ascii="Times New Roman" w:hAnsi="Times New Roman" w:cs="Times New Roman"/>
          <w:szCs w:val="24"/>
        </w:rPr>
        <w:t>)</w:t>
      </w:r>
      <w:r w:rsidRPr="004B23D9">
        <w:rPr>
          <w:rFonts w:ascii="Times New Roman" w:hAnsi="Times New Roman" w:cs="Times New Roman"/>
          <w:szCs w:val="24"/>
        </w:rPr>
        <w:t>.</w:t>
      </w:r>
    </w:p>
    <w:p w14:paraId="1884C1BC" w14:textId="77777777" w:rsidR="004B23D9" w:rsidRPr="004B23D9" w:rsidRDefault="004B23D9" w:rsidP="004B23D9">
      <w:pPr>
        <w:rPr>
          <w:rFonts w:ascii="Times New Roman" w:hAnsi="Times New Roman" w:cs="Times New Roman"/>
          <w:szCs w:val="24"/>
        </w:rPr>
      </w:pPr>
    </w:p>
    <w:p w14:paraId="5F7B59B3" w14:textId="36204051" w:rsidR="004B23D9" w:rsidRDefault="004B23D9" w:rsidP="004B23D9">
      <w:pPr>
        <w:rPr>
          <w:rFonts w:ascii="Times New Roman" w:hAnsi="Times New Roman" w:cs="Times New Roman"/>
          <w:szCs w:val="24"/>
        </w:rPr>
      </w:pPr>
      <w:r w:rsidRPr="004B23D9">
        <w:rPr>
          <w:rFonts w:ascii="Times New Roman" w:hAnsi="Times New Roman" w:cs="Times New Roman"/>
          <w:szCs w:val="24"/>
        </w:rPr>
        <w:t xml:space="preserve">The most plausible interpretation is that replacement of valine with alanine removes hydrophobic bulk from a direct DOR-contact site and allows the bound ligand to redistribute toward a slightly more </w:t>
      </w:r>
      <w:r w:rsidR="00C94FBD">
        <w:rPr>
          <w:rFonts w:ascii="Times New Roman" w:hAnsi="Times New Roman" w:cs="Times New Roman"/>
          <w:szCs w:val="24"/>
        </w:rPr>
        <w:t>103-108 loop</w:t>
      </w:r>
      <w:r w:rsidRPr="004B23D9">
        <w:rPr>
          <w:rFonts w:ascii="Times New Roman" w:hAnsi="Times New Roman" w:cs="Times New Roman"/>
          <w:szCs w:val="24"/>
        </w:rPr>
        <w:t>-shifted local pose ensemble. In that ensemble, contacts with Lys104 and Ser105 can arise as compensatory interactions, but these appear to be secondary to the loss of optimal packing at position 106. The contrast with V106I is informative: isoleucine preserves a branched hydrophobic side chain at position 106</w:t>
      </w:r>
      <w:r w:rsidR="00AB7308">
        <w:rPr>
          <w:rFonts w:ascii="Times New Roman" w:hAnsi="Times New Roman" w:cs="Times New Roman"/>
          <w:szCs w:val="24"/>
        </w:rPr>
        <w:t>, which mitigates</w:t>
      </w:r>
      <w:r w:rsidRPr="004B23D9">
        <w:rPr>
          <w:rFonts w:ascii="Times New Roman" w:hAnsi="Times New Roman" w:cs="Times New Roman"/>
          <w:szCs w:val="24"/>
        </w:rPr>
        <w:t xml:space="preserve"> </w:t>
      </w:r>
      <w:r w:rsidR="00AB7308">
        <w:rPr>
          <w:rFonts w:ascii="Times New Roman" w:hAnsi="Times New Roman" w:cs="Times New Roman"/>
          <w:szCs w:val="24"/>
        </w:rPr>
        <w:t>l</w:t>
      </w:r>
      <w:r w:rsidRPr="004B23D9">
        <w:rPr>
          <w:rFonts w:ascii="Times New Roman" w:hAnsi="Times New Roman" w:cs="Times New Roman"/>
          <w:szCs w:val="24"/>
        </w:rPr>
        <w:t xml:space="preserve">ocal geometry </w:t>
      </w:r>
      <w:r w:rsidR="00AB7308">
        <w:rPr>
          <w:rFonts w:ascii="Times New Roman" w:hAnsi="Times New Roman" w:cs="Times New Roman"/>
          <w:szCs w:val="24"/>
        </w:rPr>
        <w:t>perturbation</w:t>
      </w:r>
      <w:r w:rsidRPr="004B23D9">
        <w:rPr>
          <w:rFonts w:ascii="Times New Roman" w:hAnsi="Times New Roman" w:cs="Times New Roman"/>
          <w:szCs w:val="24"/>
        </w:rPr>
        <w:t>.</w:t>
      </w:r>
    </w:p>
    <w:p w14:paraId="4EEF65E8" w14:textId="77777777" w:rsidR="004B23D9" w:rsidRPr="004B23D9" w:rsidRDefault="004B23D9" w:rsidP="004B23D9">
      <w:pPr>
        <w:rPr>
          <w:rFonts w:ascii="Times New Roman" w:hAnsi="Times New Roman" w:cs="Times New Roman"/>
          <w:szCs w:val="24"/>
        </w:rPr>
      </w:pPr>
    </w:p>
    <w:p w14:paraId="018BDE57" w14:textId="71A095EC" w:rsidR="00335759" w:rsidRDefault="004B23D9" w:rsidP="004B23D9">
      <w:pPr>
        <w:rPr>
          <w:rFonts w:ascii="Times New Roman" w:hAnsi="Times New Roman" w:cs="Times New Roman"/>
          <w:szCs w:val="24"/>
        </w:rPr>
      </w:pPr>
      <w:r w:rsidRPr="004B23D9">
        <w:rPr>
          <w:rFonts w:ascii="Times New Roman" w:hAnsi="Times New Roman" w:cs="Times New Roman"/>
          <w:szCs w:val="24"/>
        </w:rPr>
        <w:t xml:space="preserve">This model also helps explain why V106A becomes especially problematic in combination with secondary </w:t>
      </w:r>
      <w:r w:rsidR="005C0F1B">
        <w:rPr>
          <w:rFonts w:ascii="Times New Roman" w:hAnsi="Times New Roman" w:cs="Times New Roman"/>
          <w:szCs w:val="24"/>
        </w:rPr>
        <w:t>hydrophobic tunnel or primer grip mutations</w:t>
      </w:r>
      <w:r w:rsidRPr="004B23D9">
        <w:rPr>
          <w:rFonts w:ascii="Times New Roman" w:hAnsi="Times New Roman" w:cs="Times New Roman"/>
          <w:szCs w:val="24"/>
        </w:rPr>
        <w:t xml:space="preserve">. If V106A first redistributes the DOR pose toward the </w:t>
      </w:r>
      <w:r w:rsidR="00C94FBD">
        <w:rPr>
          <w:rFonts w:ascii="Times New Roman" w:hAnsi="Times New Roman" w:cs="Times New Roman"/>
          <w:szCs w:val="24"/>
        </w:rPr>
        <w:t>103-108 loop</w:t>
      </w:r>
      <w:r w:rsidRPr="004B23D9">
        <w:rPr>
          <w:rFonts w:ascii="Times New Roman" w:hAnsi="Times New Roman" w:cs="Times New Roman"/>
          <w:szCs w:val="24"/>
        </w:rPr>
        <w:t>, then additional substitutions around P225, F227, or L234 can further destabilize an already altered local contact network.</w:t>
      </w:r>
    </w:p>
    <w:p w14:paraId="1A598D82" w14:textId="77777777" w:rsidR="00406A32" w:rsidRDefault="00406A32" w:rsidP="004B23D9">
      <w:pPr>
        <w:rPr>
          <w:rFonts w:ascii="Times New Roman" w:hAnsi="Times New Roman" w:cs="Times New Roman"/>
          <w:szCs w:val="24"/>
        </w:rPr>
      </w:pPr>
    </w:p>
    <w:p w14:paraId="0736B3D9" w14:textId="77777777" w:rsidR="009D1AB3" w:rsidRDefault="009D1AB3" w:rsidP="00D86BE2">
      <w:pPr>
        <w:rPr>
          <w:rFonts w:ascii="Times New Roman" w:hAnsi="Times New Roman" w:cs="Times New Roman"/>
          <w:i/>
          <w:iCs/>
          <w:szCs w:val="24"/>
          <w:u w:val="single"/>
        </w:rPr>
      </w:pPr>
      <w:r w:rsidRPr="009D1AB3">
        <w:rPr>
          <w:rFonts w:ascii="Times New Roman" w:hAnsi="Times New Roman" w:cs="Times New Roman"/>
          <w:i/>
          <w:iCs/>
          <w:szCs w:val="24"/>
          <w:u w:val="single"/>
        </w:rPr>
        <w:t>V106I+F227C reaches high resistance through a different local route than V106A+F227L</w:t>
      </w:r>
    </w:p>
    <w:p w14:paraId="76DC50EB" w14:textId="49AA1472" w:rsidR="009D1AB3" w:rsidRDefault="009D1AB3" w:rsidP="009D1AB3">
      <w:pPr>
        <w:rPr>
          <w:rFonts w:ascii="Times New Roman" w:hAnsi="Times New Roman" w:cs="Times New Roman"/>
          <w:szCs w:val="24"/>
        </w:rPr>
      </w:pPr>
      <w:r w:rsidRPr="009D1AB3">
        <w:rPr>
          <w:rFonts w:ascii="Times New Roman" w:hAnsi="Times New Roman" w:cs="Times New Roman"/>
          <w:szCs w:val="24"/>
        </w:rPr>
        <w:t>V106I+F227C and V106A+F227L are both highly resistant DOR-associated genotypes, yet the pathway-specific logic above predicts that they should not be structurally identical.</w:t>
      </w:r>
      <w:r>
        <w:rPr>
          <w:rFonts w:ascii="Times New Roman" w:hAnsi="Times New Roman" w:cs="Times New Roman"/>
          <w:szCs w:val="24"/>
        </w:rPr>
        <w:t xml:space="preserve"> </w:t>
      </w:r>
      <w:r w:rsidRPr="009D1AB3">
        <w:rPr>
          <w:rFonts w:ascii="Times New Roman" w:hAnsi="Times New Roman" w:cs="Times New Roman"/>
          <w:szCs w:val="24"/>
        </w:rPr>
        <w:t xml:space="preserve">V106A+F227L belongs to the V106A family and therefore might be expected to retain the </w:t>
      </w:r>
      <w:r>
        <w:rPr>
          <w:rFonts w:ascii="Times New Roman" w:hAnsi="Times New Roman" w:cs="Times New Roman"/>
          <w:szCs w:val="24"/>
        </w:rPr>
        <w:t>103-108 loop</w:t>
      </w:r>
      <w:r w:rsidRPr="009D1AB3">
        <w:rPr>
          <w:rFonts w:ascii="Times New Roman" w:hAnsi="Times New Roman" w:cs="Times New Roman"/>
          <w:szCs w:val="24"/>
        </w:rPr>
        <w:t xml:space="preserve">-shifted signature. V106I+F227C, by contrast, combines a relatively low-impact </w:t>
      </w:r>
      <w:r>
        <w:rPr>
          <w:rFonts w:ascii="Times New Roman" w:hAnsi="Times New Roman" w:cs="Times New Roman"/>
          <w:szCs w:val="24"/>
        </w:rPr>
        <w:t>V</w:t>
      </w:r>
      <w:r w:rsidRPr="009D1AB3">
        <w:rPr>
          <w:rFonts w:ascii="Times New Roman" w:hAnsi="Times New Roman" w:cs="Times New Roman"/>
          <w:szCs w:val="24"/>
        </w:rPr>
        <w:t xml:space="preserve">106 substitution with a </w:t>
      </w:r>
      <w:r>
        <w:rPr>
          <w:rFonts w:ascii="Times New Roman" w:hAnsi="Times New Roman" w:cs="Times New Roman"/>
          <w:szCs w:val="24"/>
        </w:rPr>
        <w:t>hydrophobic tunnel</w:t>
      </w:r>
      <w:r w:rsidRPr="009D1AB3">
        <w:rPr>
          <w:rFonts w:ascii="Times New Roman" w:hAnsi="Times New Roman" w:cs="Times New Roman"/>
          <w:szCs w:val="24"/>
        </w:rPr>
        <w:t xml:space="preserve"> substitution at position 227.</w:t>
      </w:r>
    </w:p>
    <w:p w14:paraId="24DAA122" w14:textId="77777777" w:rsidR="009D1AB3" w:rsidRPr="009D1AB3" w:rsidRDefault="009D1AB3" w:rsidP="009D1AB3">
      <w:pPr>
        <w:rPr>
          <w:rFonts w:ascii="Times New Roman" w:hAnsi="Times New Roman" w:cs="Times New Roman"/>
          <w:szCs w:val="24"/>
        </w:rPr>
      </w:pPr>
    </w:p>
    <w:p w14:paraId="7D192F25" w14:textId="4F4D3CF0" w:rsidR="009D1AB3" w:rsidRDefault="009D1AB3" w:rsidP="009D1AB3">
      <w:pPr>
        <w:rPr>
          <w:rFonts w:ascii="Times New Roman" w:hAnsi="Times New Roman" w:cs="Times New Roman"/>
          <w:szCs w:val="24"/>
        </w:rPr>
      </w:pPr>
      <w:r>
        <w:rPr>
          <w:rFonts w:ascii="Times New Roman" w:hAnsi="Times New Roman" w:cs="Times New Roman"/>
          <w:szCs w:val="24"/>
        </w:rPr>
        <w:t>In line with this expectation,</w:t>
      </w:r>
      <w:r w:rsidRPr="009D1AB3">
        <w:rPr>
          <w:rFonts w:ascii="Times New Roman" w:hAnsi="Times New Roman" w:cs="Times New Roman"/>
          <w:szCs w:val="24"/>
        </w:rPr>
        <w:t xml:space="preserve"> V106A+F227L showed the same local shift toward Ser105 and Lys104 seen in other V106A-containing backgrounds. V106I+F227C did not show that same </w:t>
      </w:r>
      <w:r>
        <w:rPr>
          <w:rFonts w:ascii="Times New Roman" w:hAnsi="Times New Roman" w:cs="Times New Roman"/>
          <w:szCs w:val="24"/>
        </w:rPr>
        <w:t>103-108 loop</w:t>
      </w:r>
      <w:r w:rsidRPr="009D1AB3">
        <w:rPr>
          <w:rFonts w:ascii="Times New Roman" w:hAnsi="Times New Roman" w:cs="Times New Roman"/>
          <w:szCs w:val="24"/>
        </w:rPr>
        <w:t>-focused pattern. Instead, it sampled alternative local conformations involving the residue</w:t>
      </w:r>
      <w:r w:rsidR="00720A25">
        <w:rPr>
          <w:rFonts w:ascii="Times New Roman" w:hAnsi="Times New Roman" w:cs="Times New Roman"/>
          <w:szCs w:val="24"/>
        </w:rPr>
        <w:t xml:space="preserve"> </w:t>
      </w:r>
      <w:r w:rsidRPr="009D1AB3">
        <w:rPr>
          <w:rFonts w:ascii="Times New Roman" w:hAnsi="Times New Roman" w:cs="Times New Roman"/>
          <w:szCs w:val="24"/>
        </w:rPr>
        <w:t>227 region, with DOR becoming transiently more separated from position 227 than in WT or V106A+F227L</w:t>
      </w:r>
      <w:r w:rsidR="00720A25">
        <w:rPr>
          <w:rFonts w:ascii="Times New Roman" w:hAnsi="Times New Roman" w:cs="Times New Roman"/>
          <w:szCs w:val="24"/>
        </w:rPr>
        <w:t xml:space="preserve"> (Figure 8)</w:t>
      </w:r>
      <w:r w:rsidRPr="009D1AB3">
        <w:rPr>
          <w:rFonts w:ascii="Times New Roman" w:hAnsi="Times New Roman" w:cs="Times New Roman"/>
          <w:szCs w:val="24"/>
        </w:rPr>
        <w:t>.</w:t>
      </w:r>
    </w:p>
    <w:p w14:paraId="0EF1202B" w14:textId="77777777" w:rsidR="009D1AB3" w:rsidRPr="009D1AB3" w:rsidRDefault="009D1AB3" w:rsidP="009D1AB3">
      <w:pPr>
        <w:rPr>
          <w:rFonts w:ascii="Times New Roman" w:hAnsi="Times New Roman" w:cs="Times New Roman"/>
          <w:szCs w:val="24"/>
        </w:rPr>
      </w:pPr>
    </w:p>
    <w:p w14:paraId="7CC269E8" w14:textId="538105B4" w:rsidR="005C0F1B" w:rsidRDefault="009D1AB3" w:rsidP="009D1AB3">
      <w:pPr>
        <w:rPr>
          <w:rFonts w:ascii="Times New Roman" w:hAnsi="Times New Roman" w:cs="Times New Roman"/>
          <w:szCs w:val="24"/>
        </w:rPr>
      </w:pPr>
      <w:r w:rsidRPr="009D1AB3">
        <w:rPr>
          <w:rFonts w:ascii="Times New Roman" w:hAnsi="Times New Roman" w:cs="Times New Roman"/>
          <w:szCs w:val="24"/>
        </w:rPr>
        <w:t xml:space="preserve">The importance of this comparison is conceptual as well as mechanistic. These two genotypes have nearly identical median DOR fold-change values in the available phenotype data, yet the simulations suggest that they arrive at that shared phenotype through different structural routes. Similar resistance magnitude therefore need not imply a shared mechanism. For DOR resistance </w:t>
      </w:r>
      <w:r w:rsidRPr="009D1AB3">
        <w:rPr>
          <w:rFonts w:ascii="Times New Roman" w:hAnsi="Times New Roman" w:cs="Times New Roman"/>
          <w:szCs w:val="24"/>
        </w:rPr>
        <w:lastRenderedPageBreak/>
        <w:t>interpretation, this means that structurally distinct genotype classes may converge on a similar susceptibility outcome through different local reorganizations of the same pocket.</w:t>
      </w:r>
    </w:p>
    <w:p w14:paraId="09EFCD50" w14:textId="6D4DE50E" w:rsidR="00C82BF8" w:rsidRPr="003A47EA" w:rsidRDefault="00C82BF8" w:rsidP="00C82BF8">
      <w:pPr>
        <w:rPr>
          <w:rFonts w:ascii="Arial" w:hAnsi="Arial" w:cs="Arial"/>
          <w:b/>
          <w:bCs/>
          <w:szCs w:val="24"/>
        </w:rPr>
      </w:pPr>
      <w:r>
        <w:rPr>
          <w:rFonts w:ascii="Times New Roman" w:hAnsi="Times New Roman" w:cs="Times New Roman"/>
          <w:noProof/>
          <w:szCs w:val="24"/>
        </w:rPr>
        <w:drawing>
          <wp:inline distT="0" distB="0" distL="0" distR="0" wp14:anchorId="3F399826" wp14:editId="4D8FF208">
            <wp:extent cx="5943600" cy="2285365"/>
            <wp:effectExtent l="0" t="0" r="0" b="635"/>
            <wp:docPr id="3572650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65083" name="Picture 35726508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285365"/>
                    </a:xfrm>
                    <a:prstGeom prst="rect">
                      <a:avLst/>
                    </a:prstGeom>
                  </pic:spPr>
                </pic:pic>
              </a:graphicData>
            </a:graphic>
          </wp:inline>
        </w:drawing>
      </w:r>
      <w:r w:rsidRPr="00C82BF8">
        <w:rPr>
          <w:rFonts w:ascii="Arial" w:hAnsi="Arial" w:cs="Arial"/>
          <w:b/>
          <w:bCs/>
          <w:szCs w:val="24"/>
        </w:rPr>
        <w:t xml:space="preserve"> </w:t>
      </w:r>
      <w:r w:rsidRPr="00C82BF8">
        <w:rPr>
          <w:rFonts w:ascii="Times New Roman" w:hAnsi="Times New Roman" w:cs="Times New Roman"/>
          <w:b/>
          <w:bCs/>
          <w:szCs w:val="24"/>
        </w:rPr>
        <w:t>WT</w:t>
      </w:r>
      <w:r w:rsidRPr="00C82BF8">
        <w:rPr>
          <w:rFonts w:ascii="Times New Roman" w:hAnsi="Times New Roman" w:cs="Times New Roman"/>
          <w:b/>
          <w:bCs/>
          <w:szCs w:val="24"/>
        </w:rPr>
        <w:tab/>
      </w:r>
      <w:r w:rsidRPr="00C82BF8">
        <w:rPr>
          <w:rFonts w:ascii="Times New Roman" w:hAnsi="Times New Roman" w:cs="Times New Roman"/>
          <w:b/>
          <w:bCs/>
          <w:szCs w:val="24"/>
        </w:rPr>
        <w:tab/>
      </w:r>
      <w:r w:rsidRPr="00C82BF8">
        <w:rPr>
          <w:rFonts w:ascii="Times New Roman" w:hAnsi="Times New Roman" w:cs="Times New Roman"/>
          <w:b/>
          <w:bCs/>
          <w:szCs w:val="24"/>
        </w:rPr>
        <w:tab/>
      </w:r>
      <w:r w:rsidRPr="00C82BF8">
        <w:rPr>
          <w:rFonts w:ascii="Times New Roman" w:hAnsi="Times New Roman" w:cs="Times New Roman"/>
          <w:b/>
          <w:bCs/>
          <w:szCs w:val="24"/>
        </w:rPr>
        <w:tab/>
        <w:t xml:space="preserve">             V106A+F227L</w:t>
      </w:r>
      <w:r w:rsidRPr="00C82BF8">
        <w:rPr>
          <w:rFonts w:ascii="Times New Roman" w:hAnsi="Times New Roman" w:cs="Times New Roman"/>
          <w:b/>
          <w:bCs/>
          <w:szCs w:val="24"/>
        </w:rPr>
        <w:tab/>
      </w:r>
      <w:r w:rsidRPr="00C82BF8">
        <w:rPr>
          <w:rFonts w:ascii="Times New Roman" w:hAnsi="Times New Roman" w:cs="Times New Roman"/>
          <w:b/>
          <w:bCs/>
          <w:szCs w:val="24"/>
        </w:rPr>
        <w:tab/>
        <w:t>V106I+F227C</w:t>
      </w:r>
    </w:p>
    <w:p w14:paraId="4FA42112" w14:textId="77777777" w:rsidR="00C82BF8" w:rsidRDefault="00C82BF8" w:rsidP="00C82BF8">
      <w:pPr>
        <w:rPr>
          <w:rFonts w:ascii="Arial" w:hAnsi="Arial" w:cs="Arial"/>
          <w:szCs w:val="24"/>
        </w:rPr>
      </w:pPr>
      <w:r>
        <w:rPr>
          <w:rFonts w:ascii="Arial" w:hAnsi="Arial" w:cs="Arial"/>
          <w:noProof/>
          <w:szCs w:val="24"/>
        </w:rPr>
        <w:drawing>
          <wp:inline distT="0" distB="0" distL="0" distR="0" wp14:anchorId="13454E95" wp14:editId="1E0554B9">
            <wp:extent cx="2429219" cy="1493097"/>
            <wp:effectExtent l="0" t="0" r="0" b="5715"/>
            <wp:docPr id="15067761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76121" name="Picture 1506776121"/>
                    <pic:cNvPicPr/>
                  </pic:nvPicPr>
                  <pic:blipFill rotWithShape="1">
                    <a:blip r:embed="rId19" cstate="print">
                      <a:extLst>
                        <a:ext uri="{28A0092B-C50C-407E-A947-70E740481C1C}">
                          <a14:useLocalDpi xmlns:a14="http://schemas.microsoft.com/office/drawing/2010/main" val="0"/>
                        </a:ext>
                      </a:extLst>
                    </a:blip>
                    <a:srcRect l="10680" t="10997" r="17924" b="10856"/>
                    <a:stretch>
                      <a:fillRect/>
                    </a:stretch>
                  </pic:blipFill>
                  <pic:spPr bwMode="auto">
                    <a:xfrm>
                      <a:off x="0" y="0"/>
                      <a:ext cx="2517918" cy="1547615"/>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noProof/>
          <w:szCs w:val="24"/>
        </w:rPr>
        <w:drawing>
          <wp:inline distT="0" distB="0" distL="0" distR="0" wp14:anchorId="2B51ADAB" wp14:editId="77803955">
            <wp:extent cx="1768046" cy="1486696"/>
            <wp:effectExtent l="0" t="0" r="0" b="0"/>
            <wp:docPr id="1862050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5034" name="Picture 186205034"/>
                    <pic:cNvPicPr/>
                  </pic:nvPicPr>
                  <pic:blipFill rotWithShape="1">
                    <a:blip r:embed="rId20" cstate="print">
                      <a:extLst>
                        <a:ext uri="{28A0092B-C50C-407E-A947-70E740481C1C}">
                          <a14:useLocalDpi xmlns:a14="http://schemas.microsoft.com/office/drawing/2010/main" val="0"/>
                        </a:ext>
                      </a:extLst>
                    </a:blip>
                    <a:srcRect l="20027" t="2377" r="17877" b="4639"/>
                    <a:stretch>
                      <a:fillRect/>
                    </a:stretch>
                  </pic:blipFill>
                  <pic:spPr bwMode="auto">
                    <a:xfrm>
                      <a:off x="0" y="0"/>
                      <a:ext cx="1887799" cy="1587393"/>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noProof/>
          <w:szCs w:val="24"/>
        </w:rPr>
        <w:drawing>
          <wp:inline distT="0" distB="0" distL="0" distR="0" wp14:anchorId="0D246546" wp14:editId="484DD76A">
            <wp:extent cx="1743447" cy="1486103"/>
            <wp:effectExtent l="0" t="0" r="0" b="0"/>
            <wp:docPr id="15672978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97815" name="Picture 1567297815"/>
                    <pic:cNvPicPr/>
                  </pic:nvPicPr>
                  <pic:blipFill rotWithShape="1">
                    <a:blip r:embed="rId21" cstate="print">
                      <a:extLst>
                        <a:ext uri="{28A0092B-C50C-407E-A947-70E740481C1C}">
                          <a14:useLocalDpi xmlns:a14="http://schemas.microsoft.com/office/drawing/2010/main" val="0"/>
                        </a:ext>
                      </a:extLst>
                    </a:blip>
                    <a:srcRect l="20023" r="25570" b="17412"/>
                    <a:stretch>
                      <a:fillRect/>
                    </a:stretch>
                  </pic:blipFill>
                  <pic:spPr bwMode="auto">
                    <a:xfrm>
                      <a:off x="0" y="0"/>
                      <a:ext cx="1756324" cy="1497079"/>
                    </a:xfrm>
                    <a:prstGeom prst="rect">
                      <a:avLst/>
                    </a:prstGeom>
                    <a:ln>
                      <a:noFill/>
                    </a:ln>
                    <a:extLst>
                      <a:ext uri="{53640926-AAD7-44D8-BBD7-CCE9431645EC}">
                        <a14:shadowObscured xmlns:a14="http://schemas.microsoft.com/office/drawing/2010/main"/>
                      </a:ext>
                    </a:extLst>
                  </pic:spPr>
                </pic:pic>
              </a:graphicData>
            </a:graphic>
          </wp:inline>
        </w:drawing>
      </w:r>
    </w:p>
    <w:p w14:paraId="7475D27A" w14:textId="24DFB8CF" w:rsidR="00C82BF8" w:rsidRDefault="00C82BF8" w:rsidP="00C82BF8">
      <w:pPr>
        <w:rPr>
          <w:rFonts w:ascii="Times New Roman" w:hAnsi="Times New Roman" w:cs="Times New Roman"/>
          <w:sz w:val="20"/>
          <w:szCs w:val="20"/>
        </w:rPr>
      </w:pPr>
      <w:r w:rsidRPr="005478F3">
        <w:rPr>
          <w:rFonts w:ascii="Times New Roman" w:hAnsi="Times New Roman" w:cs="Times New Roman"/>
          <w:b/>
          <w:bCs/>
          <w:sz w:val="20"/>
          <w:szCs w:val="20"/>
        </w:rPr>
        <w:t xml:space="preserve">Figure </w:t>
      </w:r>
      <w:r>
        <w:rPr>
          <w:rFonts w:ascii="Times New Roman" w:hAnsi="Times New Roman" w:cs="Times New Roman"/>
          <w:b/>
          <w:bCs/>
          <w:sz w:val="20"/>
          <w:szCs w:val="20"/>
        </w:rPr>
        <w:t>8</w:t>
      </w:r>
      <w:r w:rsidRPr="005478F3">
        <w:rPr>
          <w:rFonts w:ascii="Times New Roman" w:hAnsi="Times New Roman" w:cs="Times New Roman"/>
          <w:b/>
          <w:bCs/>
          <w:sz w:val="20"/>
          <w:szCs w:val="20"/>
        </w:rPr>
        <w:t xml:space="preserve">: </w:t>
      </w:r>
      <w:r w:rsidRPr="00C82BF8">
        <w:rPr>
          <w:rFonts w:ascii="Times New Roman" w:hAnsi="Times New Roman" w:cs="Times New Roman"/>
          <w:b/>
          <w:bCs/>
          <w:sz w:val="20"/>
          <w:szCs w:val="20"/>
        </w:rPr>
        <w:t xml:space="preserve">V106I+F227C exhibits alternative dynamics than V106A+F227L. </w:t>
      </w:r>
      <w:r w:rsidRPr="00C82BF8">
        <w:rPr>
          <w:rFonts w:ascii="Times New Roman" w:hAnsi="Times New Roman" w:cs="Times New Roman"/>
          <w:sz w:val="20"/>
          <w:szCs w:val="20"/>
        </w:rPr>
        <w:t>(Top) Minimum distances between heavy atoms of Ser105 and DOR as well as Position 227 and DOR observed in MD simulations of WT, V106A+F227L, and V106I+F227C. (Bottom) Snapshots of a single frame across WT, V106A+F227L, and V106I+F227C trajectories, showing Ser105 shifted closer to DOR in case of V106A+F227L (but not in case of V106I+F227C or WT); and an alternate DOR pose in case of V106I+F227C that is further away from residue 227 than in WT or V106A+F227L.</w:t>
      </w:r>
    </w:p>
    <w:p w14:paraId="00987ED1" w14:textId="6695936B" w:rsidR="00C82BF8" w:rsidRDefault="00C82BF8" w:rsidP="009D1AB3">
      <w:pPr>
        <w:rPr>
          <w:rFonts w:ascii="Times New Roman" w:hAnsi="Times New Roman" w:cs="Times New Roman"/>
          <w:szCs w:val="24"/>
        </w:rPr>
      </w:pPr>
    </w:p>
    <w:p w14:paraId="34E22E9E" w14:textId="23829117" w:rsidR="00C82BF8" w:rsidRDefault="00C82BF8" w:rsidP="009D1AB3">
      <w:pPr>
        <w:rPr>
          <w:rFonts w:ascii="Times New Roman" w:hAnsi="Times New Roman" w:cs="Times New Roman"/>
          <w:i/>
          <w:iCs/>
          <w:szCs w:val="24"/>
          <w:u w:val="single"/>
        </w:rPr>
      </w:pPr>
      <w:r w:rsidRPr="00C82BF8">
        <w:rPr>
          <w:rFonts w:ascii="Times New Roman" w:hAnsi="Times New Roman" w:cs="Times New Roman"/>
          <w:i/>
          <w:iCs/>
          <w:szCs w:val="24"/>
          <w:u w:val="single"/>
        </w:rPr>
        <w:t xml:space="preserve">G190E perturbs the </w:t>
      </w:r>
      <w:r w:rsidR="009E3D06">
        <w:rPr>
          <w:rFonts w:ascii="Times New Roman" w:hAnsi="Times New Roman" w:cs="Times New Roman"/>
          <w:i/>
          <w:iCs/>
          <w:szCs w:val="24"/>
          <w:u w:val="single"/>
        </w:rPr>
        <w:t>pocket entrance</w:t>
      </w:r>
      <w:r w:rsidRPr="00C82BF8">
        <w:rPr>
          <w:rFonts w:ascii="Times New Roman" w:hAnsi="Times New Roman" w:cs="Times New Roman"/>
          <w:i/>
          <w:iCs/>
          <w:szCs w:val="24"/>
          <w:u w:val="single"/>
        </w:rPr>
        <w:t xml:space="preserve"> and weakens Val179 contact</w:t>
      </w:r>
    </w:p>
    <w:p w14:paraId="67F8AF3F" w14:textId="5BCD452A" w:rsidR="009E3D06" w:rsidRDefault="003A584C" w:rsidP="009E3D06">
      <w:pPr>
        <w:rPr>
          <w:rFonts w:ascii="Times New Roman" w:hAnsi="Times New Roman" w:cs="Times New Roman"/>
          <w:szCs w:val="24"/>
        </w:rPr>
      </w:pPr>
      <w:r>
        <w:rPr>
          <w:rFonts w:ascii="Times New Roman" w:hAnsi="Times New Roman" w:cs="Times New Roman"/>
          <w:szCs w:val="24"/>
        </w:rPr>
        <w:t>Publicly available</w:t>
      </w:r>
      <w:r w:rsidR="009E3D06" w:rsidRPr="009E3D06">
        <w:rPr>
          <w:rFonts w:ascii="Times New Roman" w:hAnsi="Times New Roman" w:cs="Times New Roman"/>
          <w:szCs w:val="24"/>
        </w:rPr>
        <w:t xml:space="preserve"> phenotype </w:t>
      </w:r>
      <w:r w:rsidR="00132E9B">
        <w:rPr>
          <w:rFonts w:ascii="Times New Roman" w:hAnsi="Times New Roman" w:cs="Times New Roman"/>
          <w:szCs w:val="24"/>
        </w:rPr>
        <w:t>data</w:t>
      </w:r>
      <w:r w:rsidR="009E3D06" w:rsidRPr="009E3D06">
        <w:rPr>
          <w:rFonts w:ascii="Times New Roman" w:hAnsi="Times New Roman" w:cs="Times New Roman"/>
          <w:szCs w:val="24"/>
        </w:rPr>
        <w:t xml:space="preserve"> suggest that </w:t>
      </w:r>
      <w:r w:rsidRPr="009E3D06">
        <w:rPr>
          <w:rFonts w:ascii="Times New Roman" w:hAnsi="Times New Roman" w:cs="Times New Roman"/>
          <w:szCs w:val="24"/>
        </w:rPr>
        <w:t xml:space="preserve">G190E </w:t>
      </w:r>
      <w:r w:rsidR="009E3D06" w:rsidRPr="009E3D06">
        <w:rPr>
          <w:rFonts w:ascii="Times New Roman" w:hAnsi="Times New Roman" w:cs="Times New Roman"/>
          <w:szCs w:val="24"/>
        </w:rPr>
        <w:t>may reduce DOR susceptibility. We therefore compared WT, G190A, and G190E to ask whether introduction of a negatively charged glutamate at position 190 produces local structural effects distinct from the more common G190A substitution</w:t>
      </w:r>
      <w:r w:rsidR="00932D08">
        <w:rPr>
          <w:rFonts w:ascii="Times New Roman" w:hAnsi="Times New Roman" w:cs="Times New Roman"/>
          <w:szCs w:val="24"/>
        </w:rPr>
        <w:t xml:space="preserve"> that is known to have little to no impact on DOR susceptibility</w:t>
      </w:r>
      <w:r w:rsidR="009E3D06" w:rsidRPr="009E3D06">
        <w:rPr>
          <w:rFonts w:ascii="Times New Roman" w:hAnsi="Times New Roman" w:cs="Times New Roman"/>
          <w:szCs w:val="24"/>
        </w:rPr>
        <w:t>.</w:t>
      </w:r>
    </w:p>
    <w:p w14:paraId="09F77214" w14:textId="77777777" w:rsidR="009E3D06" w:rsidRPr="009E3D06" w:rsidRDefault="009E3D06" w:rsidP="009E3D06">
      <w:pPr>
        <w:rPr>
          <w:rFonts w:ascii="Times New Roman" w:hAnsi="Times New Roman" w:cs="Times New Roman"/>
          <w:szCs w:val="24"/>
        </w:rPr>
      </w:pPr>
    </w:p>
    <w:p w14:paraId="4A67E452" w14:textId="2BADD997" w:rsidR="009E3D06" w:rsidRDefault="009E3D06" w:rsidP="009E3D06">
      <w:pPr>
        <w:rPr>
          <w:rFonts w:ascii="Times New Roman" w:hAnsi="Times New Roman" w:cs="Times New Roman"/>
          <w:szCs w:val="24"/>
        </w:rPr>
      </w:pPr>
      <w:r w:rsidRPr="009E3D06">
        <w:rPr>
          <w:rFonts w:ascii="Times New Roman" w:hAnsi="Times New Roman" w:cs="Times New Roman"/>
          <w:szCs w:val="24"/>
        </w:rPr>
        <w:t>The panel-wide contact analysis identified Val179 as the clearest reporter residue for this comparison</w:t>
      </w:r>
      <w:r w:rsidR="00932D08">
        <w:rPr>
          <w:rFonts w:ascii="Times New Roman" w:hAnsi="Times New Roman" w:cs="Times New Roman"/>
          <w:szCs w:val="24"/>
        </w:rPr>
        <w:t xml:space="preserve"> (Figure 5)</w:t>
      </w:r>
      <w:r w:rsidRPr="009E3D06">
        <w:rPr>
          <w:rFonts w:ascii="Times New Roman" w:hAnsi="Times New Roman" w:cs="Times New Roman"/>
          <w:szCs w:val="24"/>
        </w:rPr>
        <w:t>. Val179 li</w:t>
      </w:r>
      <w:r>
        <w:rPr>
          <w:rFonts w:ascii="Times New Roman" w:hAnsi="Times New Roman" w:cs="Times New Roman"/>
          <w:szCs w:val="24"/>
        </w:rPr>
        <w:t xml:space="preserve">nes the pocket entrance </w:t>
      </w:r>
      <w:r w:rsidRPr="009E3D06">
        <w:rPr>
          <w:rFonts w:ascii="Times New Roman" w:hAnsi="Times New Roman" w:cs="Times New Roman"/>
          <w:szCs w:val="24"/>
        </w:rPr>
        <w:t>and showed strong genotype-specific contact loss in G190E. In direct trajectory comparisons, G190E caused marked separation of Val179 from DOR that was not observed in WT or G190A</w:t>
      </w:r>
      <w:r>
        <w:rPr>
          <w:rFonts w:ascii="Times New Roman" w:hAnsi="Times New Roman" w:cs="Times New Roman"/>
          <w:szCs w:val="24"/>
        </w:rPr>
        <w:t xml:space="preserve"> (Figure 9)</w:t>
      </w:r>
      <w:r w:rsidRPr="009E3D06">
        <w:rPr>
          <w:rFonts w:ascii="Times New Roman" w:hAnsi="Times New Roman" w:cs="Times New Roman"/>
          <w:szCs w:val="24"/>
        </w:rPr>
        <w:t xml:space="preserve">. This effect was accompanied by broader local perturbation of the </w:t>
      </w:r>
      <w:r>
        <w:rPr>
          <w:rFonts w:ascii="Times New Roman" w:hAnsi="Times New Roman" w:cs="Times New Roman"/>
          <w:szCs w:val="24"/>
        </w:rPr>
        <w:t>pocket</w:t>
      </w:r>
      <w:r w:rsidRPr="009E3D06">
        <w:rPr>
          <w:rFonts w:ascii="Times New Roman" w:hAnsi="Times New Roman" w:cs="Times New Roman"/>
          <w:szCs w:val="24"/>
        </w:rPr>
        <w:t xml:space="preserve"> environment.</w:t>
      </w:r>
    </w:p>
    <w:p w14:paraId="57EBD1F7" w14:textId="77777777" w:rsidR="009E3D06" w:rsidRPr="009E3D06" w:rsidRDefault="009E3D06" w:rsidP="009E3D06">
      <w:pPr>
        <w:rPr>
          <w:rFonts w:ascii="Times New Roman" w:hAnsi="Times New Roman" w:cs="Times New Roman"/>
          <w:szCs w:val="24"/>
        </w:rPr>
      </w:pPr>
    </w:p>
    <w:p w14:paraId="4E55CA74" w14:textId="75DAAC5B" w:rsidR="00B532B0" w:rsidRDefault="009E3D06" w:rsidP="009E3D06">
      <w:pPr>
        <w:rPr>
          <w:rFonts w:ascii="Times New Roman" w:hAnsi="Times New Roman" w:cs="Times New Roman"/>
          <w:szCs w:val="24"/>
        </w:rPr>
      </w:pPr>
      <w:r w:rsidRPr="009E3D06">
        <w:rPr>
          <w:rFonts w:ascii="Times New Roman" w:hAnsi="Times New Roman" w:cs="Times New Roman"/>
          <w:szCs w:val="24"/>
        </w:rPr>
        <w:t xml:space="preserve">The simplest interpretation is that the G190E side chain introduces a local electrostatic and steric perturbation in the </w:t>
      </w:r>
      <w:r w:rsidR="00E31695" w:rsidRPr="00E31695">
        <w:rPr>
          <w:rFonts w:ascii="Times New Roman" w:hAnsi="Times New Roman" w:cs="Times New Roman"/>
          <w:szCs w:val="24"/>
        </w:rPr>
        <w:t>β</w:t>
      </w:r>
      <w:r w:rsidR="00E31695">
        <w:rPr>
          <w:rFonts w:ascii="Times New Roman" w:hAnsi="Times New Roman" w:cs="Times New Roman"/>
          <w:szCs w:val="24"/>
        </w:rPr>
        <w:t>9-</w:t>
      </w:r>
      <w:r w:rsidR="00E31695" w:rsidRPr="00E31695">
        <w:rPr>
          <w:rFonts w:ascii="Times New Roman" w:hAnsi="Times New Roman" w:cs="Times New Roman"/>
          <w:szCs w:val="24"/>
        </w:rPr>
        <w:t>β</w:t>
      </w:r>
      <w:r w:rsidR="00E31695">
        <w:rPr>
          <w:rFonts w:ascii="Times New Roman" w:hAnsi="Times New Roman" w:cs="Times New Roman"/>
          <w:szCs w:val="24"/>
        </w:rPr>
        <w:t>10</w:t>
      </w:r>
      <w:r w:rsidR="00E31695" w:rsidRPr="00E31695">
        <w:rPr>
          <w:rFonts w:ascii="Times New Roman" w:hAnsi="Times New Roman" w:cs="Times New Roman"/>
          <w:szCs w:val="24"/>
        </w:rPr>
        <w:t xml:space="preserve"> </w:t>
      </w:r>
      <w:r w:rsidRPr="009E3D06">
        <w:rPr>
          <w:rFonts w:ascii="Times New Roman" w:hAnsi="Times New Roman" w:cs="Times New Roman"/>
          <w:szCs w:val="24"/>
        </w:rPr>
        <w:t xml:space="preserve">hairpin that propagates into the Val179 side of the pocket, thereby weakening DOR packing on that face of the binding site. G190A, which lacks this charge </w:t>
      </w:r>
      <w:r w:rsidR="00932D08">
        <w:rPr>
          <w:rFonts w:ascii="Times New Roman" w:hAnsi="Times New Roman" w:cs="Times New Roman"/>
          <w:szCs w:val="24"/>
        </w:rPr>
        <w:t xml:space="preserve">switch </w:t>
      </w:r>
      <w:r w:rsidRPr="009E3D06">
        <w:rPr>
          <w:rFonts w:ascii="Times New Roman" w:hAnsi="Times New Roman" w:cs="Times New Roman"/>
          <w:szCs w:val="24"/>
        </w:rPr>
        <w:t xml:space="preserve">and imposes a much smaller structural perturbation, did not produce the same effect. These </w:t>
      </w:r>
      <w:r w:rsidRPr="009E3D06">
        <w:rPr>
          <w:rFonts w:ascii="Times New Roman" w:hAnsi="Times New Roman" w:cs="Times New Roman"/>
          <w:szCs w:val="24"/>
        </w:rPr>
        <w:lastRenderedPageBreak/>
        <w:t>results therefore support G190E as a plausible DOR-relevant genotype deserving further targeted phenotypic study.</w:t>
      </w:r>
    </w:p>
    <w:p w14:paraId="7EAA00A5" w14:textId="4A37F4F6" w:rsidR="00B532B0" w:rsidRDefault="009D67D5" w:rsidP="009E3D06">
      <w:pPr>
        <w:rPr>
          <w:rFonts w:ascii="Times New Roman" w:hAnsi="Times New Roman" w:cs="Times New Roman"/>
          <w:szCs w:val="24"/>
        </w:rPr>
      </w:pPr>
      <w:r>
        <w:rPr>
          <w:rFonts w:ascii="Times New Roman" w:hAnsi="Times New Roman" w:cs="Times New Roman"/>
          <w:noProof/>
          <w:szCs w:val="24"/>
        </w:rPr>
        <w:drawing>
          <wp:inline distT="0" distB="0" distL="0" distR="0" wp14:anchorId="5FBD6612" wp14:editId="2124EB1E">
            <wp:extent cx="5943600" cy="2429510"/>
            <wp:effectExtent l="0" t="0" r="0" b="0"/>
            <wp:docPr id="6319267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26793" name="Picture 63192679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429510"/>
                    </a:xfrm>
                    <a:prstGeom prst="rect">
                      <a:avLst/>
                    </a:prstGeom>
                  </pic:spPr>
                </pic:pic>
              </a:graphicData>
            </a:graphic>
          </wp:inline>
        </w:drawing>
      </w:r>
    </w:p>
    <w:p w14:paraId="0212F066" w14:textId="77777777" w:rsidR="00B532B0" w:rsidRPr="00B532B0" w:rsidRDefault="00B532B0" w:rsidP="00B532B0">
      <w:pPr>
        <w:rPr>
          <w:rFonts w:ascii="Times New Roman" w:hAnsi="Times New Roman" w:cs="Times New Roman"/>
          <w:b/>
          <w:bCs/>
          <w:szCs w:val="24"/>
        </w:rPr>
      </w:pPr>
      <w:r w:rsidRPr="00B532B0">
        <w:rPr>
          <w:rFonts w:ascii="Times New Roman" w:hAnsi="Times New Roman" w:cs="Times New Roman"/>
          <w:b/>
          <w:bCs/>
          <w:szCs w:val="24"/>
        </w:rPr>
        <w:t>WT</w:t>
      </w:r>
      <w:r w:rsidRPr="00B532B0">
        <w:rPr>
          <w:rFonts w:ascii="Times New Roman" w:hAnsi="Times New Roman" w:cs="Times New Roman"/>
          <w:b/>
          <w:bCs/>
          <w:szCs w:val="24"/>
        </w:rPr>
        <w:tab/>
      </w:r>
      <w:r w:rsidRPr="00B532B0">
        <w:rPr>
          <w:rFonts w:ascii="Times New Roman" w:hAnsi="Times New Roman" w:cs="Times New Roman"/>
          <w:b/>
          <w:bCs/>
          <w:szCs w:val="24"/>
        </w:rPr>
        <w:tab/>
      </w:r>
      <w:r w:rsidRPr="00B532B0">
        <w:rPr>
          <w:rFonts w:ascii="Times New Roman" w:hAnsi="Times New Roman" w:cs="Times New Roman"/>
          <w:b/>
          <w:bCs/>
          <w:szCs w:val="24"/>
        </w:rPr>
        <w:tab/>
      </w:r>
      <w:r w:rsidRPr="00B532B0">
        <w:rPr>
          <w:rFonts w:ascii="Times New Roman" w:hAnsi="Times New Roman" w:cs="Times New Roman"/>
          <w:b/>
          <w:bCs/>
          <w:szCs w:val="24"/>
        </w:rPr>
        <w:tab/>
        <w:t>G190A</w:t>
      </w:r>
      <w:r w:rsidRPr="00B532B0">
        <w:rPr>
          <w:rFonts w:ascii="Times New Roman" w:hAnsi="Times New Roman" w:cs="Times New Roman"/>
          <w:b/>
          <w:bCs/>
          <w:szCs w:val="24"/>
        </w:rPr>
        <w:tab/>
      </w:r>
      <w:r w:rsidRPr="00B532B0">
        <w:rPr>
          <w:rFonts w:ascii="Times New Roman" w:hAnsi="Times New Roman" w:cs="Times New Roman"/>
          <w:b/>
          <w:bCs/>
          <w:szCs w:val="24"/>
        </w:rPr>
        <w:tab/>
      </w:r>
      <w:r w:rsidRPr="00B532B0">
        <w:rPr>
          <w:rFonts w:ascii="Times New Roman" w:hAnsi="Times New Roman" w:cs="Times New Roman"/>
          <w:b/>
          <w:bCs/>
          <w:szCs w:val="24"/>
        </w:rPr>
        <w:tab/>
        <w:t>G190E</w:t>
      </w:r>
    </w:p>
    <w:p w14:paraId="2B9D2EA1" w14:textId="77777777" w:rsidR="00B532B0" w:rsidRDefault="00B532B0" w:rsidP="00B532B0">
      <w:pPr>
        <w:rPr>
          <w:rFonts w:ascii="Arial" w:hAnsi="Arial" w:cs="Arial"/>
          <w:szCs w:val="24"/>
        </w:rPr>
      </w:pPr>
      <w:r>
        <w:rPr>
          <w:rFonts w:ascii="Arial" w:hAnsi="Arial" w:cs="Arial"/>
          <w:noProof/>
          <w:szCs w:val="24"/>
        </w:rPr>
        <w:drawing>
          <wp:inline distT="0" distB="0" distL="0" distR="0" wp14:anchorId="4812AB76" wp14:editId="778C6E23">
            <wp:extent cx="1654862" cy="1967729"/>
            <wp:effectExtent l="0" t="0" r="0" b="1270"/>
            <wp:docPr id="121031269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312693" name="Picture 1210312693"/>
                    <pic:cNvPicPr/>
                  </pic:nvPicPr>
                  <pic:blipFill rotWithShape="1">
                    <a:blip r:embed="rId23" cstate="print">
                      <a:extLst>
                        <a:ext uri="{28A0092B-C50C-407E-A947-70E740481C1C}">
                          <a14:useLocalDpi xmlns:a14="http://schemas.microsoft.com/office/drawing/2010/main" val="0"/>
                        </a:ext>
                      </a:extLst>
                    </a:blip>
                    <a:srcRect l="26382" r="30166"/>
                    <a:stretch>
                      <a:fillRect/>
                    </a:stretch>
                  </pic:blipFill>
                  <pic:spPr bwMode="auto">
                    <a:xfrm>
                      <a:off x="0" y="0"/>
                      <a:ext cx="1655511" cy="1968500"/>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noProof/>
          <w:szCs w:val="24"/>
        </w:rPr>
        <w:drawing>
          <wp:inline distT="0" distB="0" distL="0" distR="0" wp14:anchorId="6EEC983A" wp14:editId="1B250DBB">
            <wp:extent cx="1715444" cy="1967865"/>
            <wp:effectExtent l="0" t="0" r="0" b="635"/>
            <wp:docPr id="12530547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5474" name="Picture 125305474"/>
                    <pic:cNvPicPr/>
                  </pic:nvPicPr>
                  <pic:blipFill rotWithShape="1">
                    <a:blip r:embed="rId24" cstate="print">
                      <a:extLst>
                        <a:ext uri="{28A0092B-C50C-407E-A947-70E740481C1C}">
                          <a14:useLocalDpi xmlns:a14="http://schemas.microsoft.com/office/drawing/2010/main" val="0"/>
                        </a:ext>
                      </a:extLst>
                    </a:blip>
                    <a:srcRect l="25785" r="29175"/>
                    <a:stretch>
                      <a:fillRect/>
                    </a:stretch>
                  </pic:blipFill>
                  <pic:spPr bwMode="auto">
                    <a:xfrm>
                      <a:off x="0" y="0"/>
                      <a:ext cx="1715998" cy="1968500"/>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noProof/>
          <w:szCs w:val="24"/>
        </w:rPr>
        <w:drawing>
          <wp:inline distT="0" distB="0" distL="0" distR="0" wp14:anchorId="56B58E8A" wp14:editId="53FC8FCA">
            <wp:extent cx="2010168" cy="1967132"/>
            <wp:effectExtent l="0" t="0" r="0" b="1905"/>
            <wp:docPr id="10605277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2772" name="Picture 106052772"/>
                    <pic:cNvPicPr/>
                  </pic:nvPicPr>
                  <pic:blipFill rotWithShape="1">
                    <a:blip r:embed="rId25" cstate="print">
                      <a:extLst>
                        <a:ext uri="{28A0092B-C50C-407E-A947-70E740481C1C}">
                          <a14:useLocalDpi xmlns:a14="http://schemas.microsoft.com/office/drawing/2010/main" val="0"/>
                        </a:ext>
                      </a:extLst>
                    </a:blip>
                    <a:srcRect l="23406" r="23797"/>
                    <a:stretch>
                      <a:fillRect/>
                    </a:stretch>
                  </pic:blipFill>
                  <pic:spPr bwMode="auto">
                    <a:xfrm>
                      <a:off x="0" y="0"/>
                      <a:ext cx="2011566" cy="1968500"/>
                    </a:xfrm>
                    <a:prstGeom prst="rect">
                      <a:avLst/>
                    </a:prstGeom>
                    <a:ln>
                      <a:noFill/>
                    </a:ln>
                    <a:extLst>
                      <a:ext uri="{53640926-AAD7-44D8-BBD7-CCE9431645EC}">
                        <a14:shadowObscured xmlns:a14="http://schemas.microsoft.com/office/drawing/2010/main"/>
                      </a:ext>
                    </a:extLst>
                  </pic:spPr>
                </pic:pic>
              </a:graphicData>
            </a:graphic>
          </wp:inline>
        </w:drawing>
      </w:r>
    </w:p>
    <w:p w14:paraId="65985C97" w14:textId="0572F853" w:rsidR="009D67D5" w:rsidRDefault="009D67D5" w:rsidP="009D67D5">
      <w:pPr>
        <w:rPr>
          <w:rFonts w:ascii="Times New Roman" w:hAnsi="Times New Roman" w:cs="Times New Roman"/>
          <w:sz w:val="20"/>
          <w:szCs w:val="20"/>
        </w:rPr>
      </w:pPr>
      <w:r w:rsidRPr="005478F3">
        <w:rPr>
          <w:rFonts w:ascii="Times New Roman" w:hAnsi="Times New Roman" w:cs="Times New Roman"/>
          <w:b/>
          <w:bCs/>
          <w:sz w:val="20"/>
          <w:szCs w:val="20"/>
        </w:rPr>
        <w:t xml:space="preserve">Figure </w:t>
      </w:r>
      <w:r w:rsidR="00C73676">
        <w:rPr>
          <w:rFonts w:ascii="Times New Roman" w:hAnsi="Times New Roman" w:cs="Times New Roman"/>
          <w:b/>
          <w:bCs/>
          <w:sz w:val="20"/>
          <w:szCs w:val="20"/>
        </w:rPr>
        <w:t>9</w:t>
      </w:r>
      <w:r w:rsidRPr="005478F3">
        <w:rPr>
          <w:rFonts w:ascii="Times New Roman" w:hAnsi="Times New Roman" w:cs="Times New Roman"/>
          <w:b/>
          <w:bCs/>
          <w:sz w:val="20"/>
          <w:szCs w:val="20"/>
        </w:rPr>
        <w:t xml:space="preserve">: </w:t>
      </w:r>
      <w:r w:rsidR="00F5517A" w:rsidRPr="00F5517A">
        <w:rPr>
          <w:rFonts w:ascii="Times New Roman" w:hAnsi="Times New Roman" w:cs="Times New Roman"/>
          <w:b/>
          <w:bCs/>
          <w:sz w:val="20"/>
          <w:szCs w:val="20"/>
        </w:rPr>
        <w:t xml:space="preserve">G190E preferentially disrupts β9-β10 hairpin, causing Val179 to lose contact with DOR. </w:t>
      </w:r>
      <w:r w:rsidR="00F5517A" w:rsidRPr="00F5517A">
        <w:rPr>
          <w:rFonts w:ascii="Times New Roman" w:hAnsi="Times New Roman" w:cs="Times New Roman"/>
          <w:sz w:val="20"/>
          <w:szCs w:val="20"/>
        </w:rPr>
        <w:t>(Top) Minimum distance between heavy atoms of Val179 and DOR observed in MD simulations of WT, G190A, and G190E. (Bottom) Snapshots of a single frame across WT, G190A, and G190E trajectories, showing Val179 further away from DOR in case of G190E but not in WT and G190A.</w:t>
      </w:r>
    </w:p>
    <w:p w14:paraId="088C1BCB" w14:textId="77777777" w:rsidR="00B532B0" w:rsidRDefault="00B532B0" w:rsidP="009E3D06">
      <w:pPr>
        <w:rPr>
          <w:rFonts w:ascii="Times New Roman" w:hAnsi="Times New Roman" w:cs="Times New Roman"/>
          <w:szCs w:val="24"/>
        </w:rPr>
      </w:pPr>
    </w:p>
    <w:p w14:paraId="6CB6A5BD" w14:textId="5E8621AE" w:rsidR="00D27076" w:rsidRDefault="00D27076" w:rsidP="00D27076">
      <w:pPr>
        <w:rPr>
          <w:rFonts w:ascii="Times New Roman" w:hAnsi="Times New Roman" w:cs="Times New Roman"/>
          <w:b/>
          <w:bCs/>
          <w:szCs w:val="24"/>
          <w:u w:val="single"/>
        </w:rPr>
      </w:pPr>
      <w:r w:rsidRPr="00D27076">
        <w:rPr>
          <w:rFonts w:ascii="Times New Roman" w:hAnsi="Times New Roman" w:cs="Times New Roman"/>
          <w:b/>
          <w:bCs/>
          <w:szCs w:val="24"/>
          <w:u w:val="single"/>
        </w:rPr>
        <w:t xml:space="preserve">A parsimonious 3-feature </w:t>
      </w:r>
      <w:r w:rsidR="00C12CEB">
        <w:rPr>
          <w:rFonts w:ascii="Times New Roman" w:hAnsi="Times New Roman" w:cs="Times New Roman"/>
          <w:b/>
          <w:bCs/>
          <w:szCs w:val="24"/>
          <w:u w:val="single"/>
        </w:rPr>
        <w:t xml:space="preserve">logistic regression </w:t>
      </w:r>
      <w:r w:rsidRPr="00D27076">
        <w:rPr>
          <w:rFonts w:ascii="Times New Roman" w:hAnsi="Times New Roman" w:cs="Times New Roman"/>
          <w:b/>
          <w:bCs/>
          <w:szCs w:val="24"/>
          <w:u w:val="single"/>
        </w:rPr>
        <w:t>model summarizes the separation between low- and high-resistance controls</w:t>
      </w:r>
    </w:p>
    <w:p w14:paraId="2BD75AB2" w14:textId="451E38CE" w:rsidR="00D27076" w:rsidRDefault="00D27076" w:rsidP="00D27076">
      <w:pPr>
        <w:rPr>
          <w:rFonts w:ascii="Times New Roman" w:hAnsi="Times New Roman" w:cs="Times New Roman"/>
          <w:szCs w:val="24"/>
        </w:rPr>
      </w:pPr>
      <w:r w:rsidRPr="00D27076">
        <w:rPr>
          <w:rFonts w:ascii="Times New Roman" w:hAnsi="Times New Roman" w:cs="Times New Roman"/>
          <w:szCs w:val="24"/>
        </w:rPr>
        <w:t>After identifying local structural signatures across the genotype panel, we asked whether a small set of MD-derived features could summarize the distinction between low- and high-resistance genotypes. We therefore trained an L1-regularized logistic regression model using only the negative and positive control genotypes</w:t>
      </w:r>
      <w:r w:rsidR="00932D08">
        <w:rPr>
          <w:rFonts w:ascii="Times New Roman" w:hAnsi="Times New Roman" w:cs="Times New Roman"/>
          <w:szCs w:val="24"/>
        </w:rPr>
        <w:t xml:space="preserve"> (Figure 10)</w:t>
      </w:r>
      <w:r w:rsidRPr="00D27076">
        <w:rPr>
          <w:rFonts w:ascii="Times New Roman" w:hAnsi="Times New Roman" w:cs="Times New Roman"/>
          <w:szCs w:val="24"/>
        </w:rPr>
        <w:t xml:space="preserve">. </w:t>
      </w:r>
    </w:p>
    <w:p w14:paraId="4EDB0CBE" w14:textId="77777777" w:rsidR="00D27076" w:rsidRPr="00D27076" w:rsidRDefault="00D27076" w:rsidP="00D27076">
      <w:pPr>
        <w:rPr>
          <w:rFonts w:ascii="Times New Roman" w:hAnsi="Times New Roman" w:cs="Times New Roman"/>
          <w:szCs w:val="24"/>
        </w:rPr>
      </w:pPr>
    </w:p>
    <w:p w14:paraId="7FBF22EC" w14:textId="27712FA9" w:rsidR="00D27076" w:rsidRDefault="00D27076" w:rsidP="00D27076">
      <w:pPr>
        <w:rPr>
          <w:rFonts w:ascii="Times New Roman" w:hAnsi="Times New Roman" w:cs="Times New Roman"/>
          <w:szCs w:val="24"/>
        </w:rPr>
      </w:pPr>
      <w:r w:rsidRPr="00D27076">
        <w:rPr>
          <w:rFonts w:ascii="Times New Roman" w:hAnsi="Times New Roman" w:cs="Times New Roman"/>
          <w:szCs w:val="24"/>
        </w:rPr>
        <w:t xml:space="preserve">Feature selection converged on a parsimonious three-feature model comprising the Ser105-DOR distance, the Tyr188-DOR distance, and ligand pose RMSD. The selected features capture, respectively, the </w:t>
      </w:r>
      <w:r w:rsidR="00C12CEB">
        <w:rPr>
          <w:rFonts w:ascii="Times New Roman" w:hAnsi="Times New Roman" w:cs="Times New Roman"/>
          <w:szCs w:val="24"/>
        </w:rPr>
        <w:t>103-108 loop</w:t>
      </w:r>
      <w:r w:rsidRPr="00D27076">
        <w:rPr>
          <w:rFonts w:ascii="Times New Roman" w:hAnsi="Times New Roman" w:cs="Times New Roman"/>
          <w:szCs w:val="24"/>
        </w:rPr>
        <w:t>-shift signature of V106A-containing genotypes, the Tyr188-side perturbation characteristic of Y188L-related effects, and the broader redistribution of ligand pose within the pocket.</w:t>
      </w:r>
      <w:r w:rsidR="00120227">
        <w:rPr>
          <w:rFonts w:ascii="Times New Roman" w:hAnsi="Times New Roman" w:cs="Times New Roman"/>
          <w:szCs w:val="24"/>
        </w:rPr>
        <w:t xml:space="preserve"> The equation of the logistic regression model in the raw feature form may be written numerically as:</w:t>
      </w:r>
    </w:p>
    <w:p w14:paraId="110FFC53" w14:textId="77777777" w:rsidR="00120227" w:rsidRDefault="00120227" w:rsidP="00D27076">
      <w:pPr>
        <w:rPr>
          <w:rFonts w:ascii="Times New Roman" w:hAnsi="Times New Roman" w:cs="Times New Roman"/>
          <w:szCs w:val="24"/>
        </w:rPr>
      </w:pPr>
    </w:p>
    <w:p w14:paraId="45CF3968" w14:textId="77777777" w:rsidR="00120227" w:rsidRPr="00120227" w:rsidRDefault="00120227" w:rsidP="00120227">
      <w:pPr>
        <w:jc w:val="center"/>
        <w:rPr>
          <w:rFonts w:ascii="Times New Roman" w:hAnsi="Times New Roman" w:cs="Times New Roman"/>
        </w:rPr>
      </w:pPr>
      <m:oMathPara>
        <m:oMath>
          <m:sSub>
            <m:sSubPr>
              <m:ctrlPr>
                <w:rPr>
                  <w:rFonts w:ascii="Cambria Math" w:hAnsi="Cambria Math" w:cs="Times New Roman"/>
                  <w:szCs w:val="24"/>
                </w:rPr>
              </m:ctrlPr>
            </m:sSubPr>
            <m:e>
              <m:r>
                <m:rPr>
                  <m:sty m:val="p"/>
                </m:rPr>
                <w:rPr>
                  <w:rFonts w:ascii="Cambria Math" w:hAnsi="Cambria Math" w:cs="Times New Roman"/>
                  <w:szCs w:val="24"/>
                </w:rPr>
                <w:sym w:font="Symbol" w:char="F068"/>
              </m:r>
            </m:e>
            <m:sub>
              <m:r>
                <w:rPr>
                  <w:rFonts w:ascii="Cambria Math" w:hAnsi="Cambria Math" w:cs="Times New Roman"/>
                  <w:szCs w:val="24"/>
                </w:rPr>
                <m:t>low</m:t>
              </m:r>
            </m:sub>
          </m:sSub>
          <m:r>
            <w:rPr>
              <w:rFonts w:ascii="Cambria Math" w:hAnsi="Cambria Math" w:cs="Times New Roman"/>
              <w:szCs w:val="24"/>
            </w:rPr>
            <m:t>=</m:t>
          </m:r>
          <m:r>
            <m:rPr>
              <m:sty m:val="p"/>
            </m:rPr>
            <w:rPr>
              <w:rFonts w:ascii="Cambria Math" w:hAnsi="Cambria Math" w:cs="Times New Roman"/>
              <w:szCs w:val="24"/>
            </w:rPr>
            <m:t>53.53748 + 3.01631*SER105 - 12.94269*TYR188 - 18.20537*RMSD</m:t>
          </m:r>
        </m:oMath>
      </m:oMathPara>
    </w:p>
    <w:p w14:paraId="39DA23B9" w14:textId="49C1CBB6" w:rsidR="00120227" w:rsidRPr="00012C8A" w:rsidRDefault="00120227" w:rsidP="00120227">
      <w:pPr>
        <w:jc w:val="center"/>
        <w:rPr>
          <w:rFonts w:ascii="Arial" w:hAnsi="Arial" w:cs="Arial"/>
        </w:rPr>
      </w:pPr>
      <m:oMathPara>
        <m:oMath>
          <m:sSub>
            <m:sSubPr>
              <m:ctrlPr>
                <w:rPr>
                  <w:rFonts w:ascii="Cambria Math" w:hAnsi="Cambria Math" w:cs="Times New Roman"/>
                  <w:i/>
                  <w:szCs w:val="24"/>
                </w:rPr>
              </m:ctrlPr>
            </m:sSubPr>
            <m:e>
              <m:r>
                <w:rPr>
                  <w:rFonts w:ascii="Cambria Math" w:hAnsi="Cambria Math" w:cs="Times New Roman"/>
                  <w:szCs w:val="24"/>
                </w:rPr>
                <m:t>P</m:t>
              </m:r>
            </m:e>
            <m:sub>
              <m:r>
                <w:rPr>
                  <w:rFonts w:ascii="Cambria Math" w:hAnsi="Cambria Math" w:cs="Times New Roman"/>
                  <w:szCs w:val="24"/>
                </w:rPr>
                <m:t>high</m:t>
              </m:r>
            </m:sub>
          </m:sSub>
          <m:r>
            <w:rPr>
              <w:rFonts w:ascii="Cambria Math" w:hAnsi="Cambria Math" w:cs="Times New Roman"/>
              <w:szCs w:val="24"/>
            </w:rPr>
            <m:t>=1-</m:t>
          </m:r>
          <m:f>
            <m:fPr>
              <m:ctrlPr>
                <w:rPr>
                  <w:rFonts w:ascii="Cambria Math" w:hAnsi="Cambria Math" w:cs="Times New Roman"/>
                  <w:i/>
                  <w:szCs w:val="24"/>
                </w:rPr>
              </m:ctrlPr>
            </m:fPr>
            <m:num>
              <m:r>
                <w:rPr>
                  <w:rFonts w:ascii="Cambria Math" w:hAnsi="Cambria Math" w:cs="Times New Roman"/>
                  <w:szCs w:val="24"/>
                </w:rPr>
                <m:t>1</m:t>
              </m:r>
            </m:num>
            <m:den>
              <m:r>
                <w:rPr>
                  <w:rFonts w:ascii="Cambria Math" w:hAnsi="Cambria Math" w:cs="Times New Roman"/>
                  <w:szCs w:val="24"/>
                </w:rPr>
                <m:t>1+</m:t>
              </m:r>
              <m:sSup>
                <m:sSupPr>
                  <m:ctrlPr>
                    <w:rPr>
                      <w:rFonts w:ascii="Cambria Math" w:hAnsi="Cambria Math" w:cs="Times New Roman"/>
                      <w:i/>
                      <w:szCs w:val="24"/>
                    </w:rPr>
                  </m:ctrlPr>
                </m:sSupPr>
                <m:e>
                  <m:r>
                    <w:rPr>
                      <w:rFonts w:ascii="Cambria Math" w:hAnsi="Cambria Math" w:cs="Times New Roman"/>
                      <w:szCs w:val="24"/>
                    </w:rPr>
                    <m:t>e</m:t>
                  </m:r>
                </m:e>
                <m:sup>
                  <m:r>
                    <w:rPr>
                      <w:rFonts w:ascii="Cambria Math" w:hAnsi="Cambria Math" w:cs="Times New Roman"/>
                      <w:szCs w:val="24"/>
                    </w:rPr>
                    <m:t>-</m:t>
                  </m:r>
                  <m:sSub>
                    <m:sSubPr>
                      <m:ctrlPr>
                        <w:rPr>
                          <w:rFonts w:ascii="Cambria Math" w:hAnsi="Cambria Math" w:cs="Times New Roman"/>
                          <w:szCs w:val="24"/>
                        </w:rPr>
                      </m:ctrlPr>
                    </m:sSubPr>
                    <m:e>
                      <m:r>
                        <m:rPr>
                          <m:sty m:val="p"/>
                        </m:rPr>
                        <w:rPr>
                          <w:rFonts w:ascii="Cambria Math" w:hAnsi="Cambria Math" w:cs="Times New Roman"/>
                          <w:szCs w:val="24"/>
                        </w:rPr>
                        <w:sym w:font="Symbol" w:char="F068"/>
                      </m:r>
                    </m:e>
                    <m:sub>
                      <m:r>
                        <w:rPr>
                          <w:rFonts w:ascii="Cambria Math" w:hAnsi="Cambria Math" w:cs="Times New Roman"/>
                          <w:szCs w:val="24"/>
                        </w:rPr>
                        <m:t>low</m:t>
                      </m:r>
                    </m:sub>
                  </m:sSub>
                </m:sup>
              </m:sSup>
            </m:den>
          </m:f>
        </m:oMath>
      </m:oMathPara>
    </w:p>
    <w:p w14:paraId="0CDAED53" w14:textId="77777777" w:rsidR="00120227" w:rsidRDefault="00120227" w:rsidP="00D27076">
      <w:pPr>
        <w:rPr>
          <w:rFonts w:ascii="Times New Roman" w:hAnsi="Times New Roman" w:cs="Times New Roman"/>
          <w:szCs w:val="24"/>
        </w:rPr>
      </w:pPr>
    </w:p>
    <w:p w14:paraId="0F4957F6" w14:textId="77777777" w:rsidR="00120227" w:rsidRPr="00120227" w:rsidRDefault="00120227" w:rsidP="00120227">
      <w:pPr>
        <w:rPr>
          <w:rFonts w:ascii="Times New Roman" w:hAnsi="Times New Roman" w:cs="Times New Roman"/>
          <w:b/>
          <w:bCs/>
          <w:szCs w:val="24"/>
        </w:rPr>
      </w:pPr>
      <w:r w:rsidRPr="00120227">
        <w:rPr>
          <w:rFonts w:ascii="Times New Roman" w:hAnsi="Times New Roman" w:cs="Times New Roman"/>
          <w:b/>
          <w:bCs/>
          <w:szCs w:val="24"/>
        </w:rPr>
        <w:t>A)</w:t>
      </w:r>
    </w:p>
    <w:p w14:paraId="0BC03D74" w14:textId="6346A69F" w:rsidR="00120227" w:rsidRDefault="00120227" w:rsidP="00120227">
      <w:pPr>
        <w:rPr>
          <w:rFonts w:ascii="Arial" w:hAnsi="Arial" w:cs="Arial"/>
          <w:b/>
          <w:bCs/>
          <w:szCs w:val="24"/>
        </w:rPr>
      </w:pPr>
      <w:r>
        <w:rPr>
          <w:rFonts w:ascii="Arial" w:hAnsi="Arial" w:cs="Arial"/>
          <w:b/>
          <w:bCs/>
          <w:noProof/>
          <w:szCs w:val="24"/>
        </w:rPr>
        <w:drawing>
          <wp:inline distT="0" distB="0" distL="0" distR="0" wp14:anchorId="287308B7" wp14:editId="46F7F3C9">
            <wp:extent cx="5883007" cy="3876675"/>
            <wp:effectExtent l="0" t="0" r="0" b="0"/>
            <wp:docPr id="18204995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99524" name="Picture 1820499524"/>
                    <pic:cNvPicPr/>
                  </pic:nvPicPr>
                  <pic:blipFill rotWithShape="1">
                    <a:blip r:embed="rId26" cstate="print">
                      <a:extLst>
                        <a:ext uri="{28A0092B-C50C-407E-A947-70E740481C1C}">
                          <a14:useLocalDpi xmlns:a14="http://schemas.microsoft.com/office/drawing/2010/main" val="0"/>
                        </a:ext>
                      </a:extLst>
                    </a:blip>
                    <a:srcRect t="1401" r="1016" b="1"/>
                    <a:stretch>
                      <a:fillRect/>
                    </a:stretch>
                  </pic:blipFill>
                  <pic:spPr bwMode="auto">
                    <a:xfrm>
                      <a:off x="0" y="0"/>
                      <a:ext cx="5883250" cy="3876835"/>
                    </a:xfrm>
                    <a:prstGeom prst="rect">
                      <a:avLst/>
                    </a:prstGeom>
                    <a:ln>
                      <a:noFill/>
                    </a:ln>
                    <a:extLst>
                      <a:ext uri="{53640926-AAD7-44D8-BBD7-CCE9431645EC}">
                        <a14:shadowObscured xmlns:a14="http://schemas.microsoft.com/office/drawing/2010/main"/>
                      </a:ext>
                    </a:extLst>
                  </pic:spPr>
                </pic:pic>
              </a:graphicData>
            </a:graphic>
          </wp:inline>
        </w:drawing>
      </w:r>
    </w:p>
    <w:p w14:paraId="690250BF" w14:textId="32FBE316" w:rsidR="00120227" w:rsidRPr="00120227" w:rsidRDefault="00120227" w:rsidP="00120227">
      <w:pPr>
        <w:rPr>
          <w:rFonts w:ascii="Times New Roman" w:hAnsi="Times New Roman" w:cs="Times New Roman"/>
          <w:b/>
          <w:bCs/>
          <w:szCs w:val="24"/>
        </w:rPr>
      </w:pPr>
      <w:r w:rsidRPr="00120227">
        <w:rPr>
          <w:rFonts w:ascii="Times New Roman" w:hAnsi="Times New Roman" w:cs="Times New Roman"/>
          <w:b/>
          <w:bCs/>
          <w:szCs w:val="24"/>
        </w:rPr>
        <w:t xml:space="preserve">B)                                  </w:t>
      </w:r>
      <w:r>
        <w:rPr>
          <w:rFonts w:ascii="Times New Roman" w:hAnsi="Times New Roman" w:cs="Times New Roman"/>
          <w:b/>
          <w:bCs/>
          <w:szCs w:val="24"/>
        </w:rPr>
        <w:tab/>
      </w:r>
      <w:r>
        <w:rPr>
          <w:rFonts w:ascii="Times New Roman" w:hAnsi="Times New Roman" w:cs="Times New Roman"/>
          <w:b/>
          <w:bCs/>
          <w:szCs w:val="24"/>
        </w:rPr>
        <w:tab/>
        <w:t xml:space="preserve">          </w:t>
      </w:r>
      <w:r w:rsidRPr="00120227">
        <w:rPr>
          <w:rFonts w:ascii="Times New Roman" w:hAnsi="Times New Roman" w:cs="Times New Roman"/>
          <w:b/>
          <w:bCs/>
          <w:szCs w:val="24"/>
        </w:rPr>
        <w:t xml:space="preserve">C)                                  </w:t>
      </w:r>
    </w:p>
    <w:p w14:paraId="4941C676" w14:textId="2E527272" w:rsidR="00120227" w:rsidRDefault="00120227" w:rsidP="00120227">
      <w:pPr>
        <w:rPr>
          <w:rFonts w:ascii="Times New Roman" w:hAnsi="Times New Roman" w:cs="Times New Roman"/>
          <w:b/>
          <w:bCs/>
          <w:sz w:val="20"/>
          <w:szCs w:val="20"/>
        </w:rPr>
      </w:pPr>
      <w:r>
        <w:rPr>
          <w:rFonts w:ascii="Times New Roman" w:hAnsi="Times New Roman" w:cs="Times New Roman"/>
          <w:b/>
          <w:bCs/>
          <w:noProof/>
          <w:sz w:val="20"/>
          <w:szCs w:val="20"/>
        </w:rPr>
        <w:drawing>
          <wp:inline distT="0" distB="0" distL="0" distR="0" wp14:anchorId="7D6B2435" wp14:editId="2A66DB4D">
            <wp:extent cx="2679146" cy="2104222"/>
            <wp:effectExtent l="0" t="0" r="635" b="4445"/>
            <wp:docPr id="19265274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27460" name="Picture 1926527460"/>
                    <pic:cNvPicPr/>
                  </pic:nvPicPr>
                  <pic:blipFill rotWithShape="1">
                    <a:blip r:embed="rId27" cstate="print">
                      <a:extLst>
                        <a:ext uri="{28A0092B-C50C-407E-A947-70E740481C1C}">
                          <a14:useLocalDpi xmlns:a14="http://schemas.microsoft.com/office/drawing/2010/main" val="0"/>
                        </a:ext>
                      </a:extLst>
                    </a:blip>
                    <a:srcRect l="2157" t="8917" r="1955" b="8449"/>
                    <a:stretch>
                      <a:fillRect/>
                    </a:stretch>
                  </pic:blipFill>
                  <pic:spPr bwMode="auto">
                    <a:xfrm>
                      <a:off x="0" y="0"/>
                      <a:ext cx="2726885" cy="2141716"/>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noProof/>
          <w:sz w:val="20"/>
          <w:szCs w:val="20"/>
        </w:rPr>
        <w:drawing>
          <wp:inline distT="0" distB="0" distL="0" distR="0" wp14:anchorId="2BFD58A8" wp14:editId="311915D2">
            <wp:extent cx="3073706" cy="2232377"/>
            <wp:effectExtent l="0" t="0" r="0" b="3175"/>
            <wp:docPr id="20793231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23194" name="Picture 207932319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091647" cy="2245407"/>
                    </a:xfrm>
                    <a:prstGeom prst="rect">
                      <a:avLst/>
                    </a:prstGeom>
                  </pic:spPr>
                </pic:pic>
              </a:graphicData>
            </a:graphic>
          </wp:inline>
        </w:drawing>
      </w:r>
    </w:p>
    <w:p w14:paraId="18E0A5C7" w14:textId="6264FC70" w:rsidR="00120227" w:rsidRPr="00120227" w:rsidRDefault="00120227" w:rsidP="00120227">
      <w:pPr>
        <w:rPr>
          <w:rFonts w:ascii="Arial" w:hAnsi="Arial" w:cs="Arial"/>
          <w:b/>
          <w:bCs/>
          <w:sz w:val="20"/>
          <w:szCs w:val="20"/>
        </w:rPr>
      </w:pPr>
      <w:r w:rsidRPr="005478F3">
        <w:rPr>
          <w:rFonts w:ascii="Times New Roman" w:hAnsi="Times New Roman" w:cs="Times New Roman"/>
          <w:b/>
          <w:bCs/>
          <w:sz w:val="20"/>
          <w:szCs w:val="20"/>
        </w:rPr>
        <w:t xml:space="preserve">Figure </w:t>
      </w:r>
      <w:r>
        <w:rPr>
          <w:rFonts w:ascii="Times New Roman" w:hAnsi="Times New Roman" w:cs="Times New Roman"/>
          <w:b/>
          <w:bCs/>
          <w:sz w:val="20"/>
          <w:szCs w:val="20"/>
        </w:rPr>
        <w:t>10</w:t>
      </w:r>
      <w:r w:rsidRPr="005478F3">
        <w:rPr>
          <w:rFonts w:ascii="Times New Roman" w:hAnsi="Times New Roman" w:cs="Times New Roman"/>
          <w:b/>
          <w:bCs/>
          <w:sz w:val="20"/>
          <w:szCs w:val="20"/>
        </w:rPr>
        <w:t xml:space="preserve">: </w:t>
      </w:r>
      <w:r w:rsidRPr="00120227">
        <w:rPr>
          <w:rFonts w:ascii="Times New Roman" w:hAnsi="Times New Roman" w:cs="Times New Roman"/>
          <w:b/>
          <w:bCs/>
          <w:sz w:val="20"/>
          <w:szCs w:val="20"/>
        </w:rPr>
        <w:t>Performance of Logistic Regression model to predict DOR susceptibility from MD simulation features</w:t>
      </w:r>
      <w:r w:rsidRPr="00F5517A">
        <w:rPr>
          <w:rFonts w:ascii="Times New Roman" w:hAnsi="Times New Roman" w:cs="Times New Roman"/>
          <w:b/>
          <w:bCs/>
          <w:sz w:val="20"/>
          <w:szCs w:val="20"/>
        </w:rPr>
        <w:t xml:space="preserve">. </w:t>
      </w:r>
      <w:r w:rsidRPr="00F5517A">
        <w:rPr>
          <w:rFonts w:ascii="Times New Roman" w:hAnsi="Times New Roman" w:cs="Times New Roman"/>
          <w:sz w:val="20"/>
          <w:szCs w:val="20"/>
        </w:rPr>
        <w:t>(</w:t>
      </w:r>
      <w:r>
        <w:rPr>
          <w:rFonts w:ascii="Times New Roman" w:hAnsi="Times New Roman" w:cs="Times New Roman"/>
          <w:sz w:val="20"/>
          <w:szCs w:val="20"/>
        </w:rPr>
        <w:t xml:space="preserve">A) </w:t>
      </w:r>
      <w:r w:rsidR="00932D08">
        <w:rPr>
          <w:rFonts w:ascii="Times New Roman" w:hAnsi="Times New Roman" w:cs="Times New Roman"/>
          <w:sz w:val="20"/>
          <w:szCs w:val="20"/>
        </w:rPr>
        <w:t>O</w:t>
      </w:r>
      <w:r>
        <w:rPr>
          <w:rFonts w:ascii="Times New Roman" w:hAnsi="Times New Roman" w:cs="Times New Roman"/>
          <w:sz w:val="20"/>
          <w:szCs w:val="20"/>
        </w:rPr>
        <w:t xml:space="preserve">utput of the logistic regression model, </w:t>
      </w:r>
      <w:proofErr w:type="spellStart"/>
      <w:r w:rsidRPr="00120227">
        <w:rPr>
          <w:rFonts w:ascii="Times New Roman" w:hAnsi="Times New Roman" w:cs="Times New Roman"/>
          <w:i/>
          <w:iCs/>
          <w:sz w:val="20"/>
          <w:szCs w:val="20"/>
        </w:rPr>
        <w:t>P</w:t>
      </w:r>
      <w:r w:rsidRPr="00120227">
        <w:rPr>
          <w:rFonts w:ascii="Times New Roman" w:hAnsi="Times New Roman" w:cs="Times New Roman"/>
          <w:i/>
          <w:iCs/>
          <w:sz w:val="20"/>
          <w:szCs w:val="20"/>
          <w:vertAlign w:val="subscript"/>
        </w:rPr>
        <w:t>high</w:t>
      </w:r>
      <w:proofErr w:type="spellEnd"/>
      <w:r>
        <w:rPr>
          <w:rFonts w:ascii="Times New Roman" w:hAnsi="Times New Roman" w:cs="Times New Roman"/>
          <w:sz w:val="20"/>
          <w:szCs w:val="20"/>
        </w:rPr>
        <w:t>, i.e. the probability of a mutation being labeled as high resistance</w:t>
      </w:r>
      <w:r w:rsidR="00932D08">
        <w:rPr>
          <w:rFonts w:ascii="Times New Roman" w:hAnsi="Times New Roman" w:cs="Times New Roman"/>
          <w:sz w:val="20"/>
          <w:szCs w:val="20"/>
        </w:rPr>
        <w:t>, plotted against median DOR fold-change in susceptibility on the log scale</w:t>
      </w:r>
      <w:r>
        <w:rPr>
          <w:rFonts w:ascii="Times New Roman" w:hAnsi="Times New Roman" w:cs="Times New Roman"/>
          <w:sz w:val="20"/>
          <w:szCs w:val="20"/>
        </w:rPr>
        <w:t>. The dotted lines represent the thresholds for the labels</w:t>
      </w:r>
      <w:r w:rsidR="00932D08">
        <w:rPr>
          <w:rFonts w:ascii="Times New Roman" w:hAnsi="Times New Roman" w:cs="Times New Roman"/>
          <w:sz w:val="20"/>
          <w:szCs w:val="20"/>
        </w:rPr>
        <w:t>:</w:t>
      </w:r>
      <w:r>
        <w:rPr>
          <w:rFonts w:ascii="Times New Roman" w:hAnsi="Times New Roman" w:cs="Times New Roman"/>
          <w:sz w:val="20"/>
          <w:szCs w:val="20"/>
        </w:rPr>
        <w:t xml:space="preserve"> </w:t>
      </w:r>
      <w:r w:rsidR="00932D08" w:rsidRPr="00932D08">
        <w:rPr>
          <w:rFonts w:ascii="Times New Roman" w:hAnsi="Times New Roman" w:cs="Times New Roman"/>
          <w:sz w:val="20"/>
          <w:szCs w:val="20"/>
        </w:rPr>
        <w:t xml:space="preserve">Genotypes were labeled as high resistance if their median DOR fold-change exceeded 10 and low resistance otherwise. We used a decision threshold of </w:t>
      </w:r>
      <w:proofErr w:type="spellStart"/>
      <w:r w:rsidR="00932D08" w:rsidRPr="00120227">
        <w:rPr>
          <w:rFonts w:ascii="Times New Roman" w:hAnsi="Times New Roman" w:cs="Times New Roman"/>
          <w:i/>
          <w:iCs/>
          <w:sz w:val="20"/>
          <w:szCs w:val="20"/>
        </w:rPr>
        <w:t>P</w:t>
      </w:r>
      <w:r w:rsidR="00932D08" w:rsidRPr="00120227">
        <w:rPr>
          <w:rFonts w:ascii="Times New Roman" w:hAnsi="Times New Roman" w:cs="Times New Roman"/>
          <w:i/>
          <w:iCs/>
          <w:sz w:val="20"/>
          <w:szCs w:val="20"/>
          <w:vertAlign w:val="subscript"/>
        </w:rPr>
        <w:t>high</w:t>
      </w:r>
      <w:proofErr w:type="spellEnd"/>
      <w:r w:rsidR="00932D08">
        <w:rPr>
          <w:rFonts w:ascii="Times New Roman" w:hAnsi="Times New Roman" w:cs="Times New Roman"/>
          <w:i/>
          <w:iCs/>
          <w:sz w:val="20"/>
          <w:szCs w:val="20"/>
          <w:vertAlign w:val="subscript"/>
        </w:rPr>
        <w:t xml:space="preserve"> </w:t>
      </w:r>
      <w:r w:rsidR="00932D08">
        <w:rPr>
          <w:rFonts w:ascii="Times New Roman" w:hAnsi="Times New Roman" w:cs="Times New Roman"/>
          <w:sz w:val="20"/>
          <w:szCs w:val="20"/>
        </w:rPr>
        <w:t xml:space="preserve">= </w:t>
      </w:r>
      <w:r w:rsidR="00932D08" w:rsidRPr="00932D08">
        <w:rPr>
          <w:rFonts w:ascii="Times New Roman" w:hAnsi="Times New Roman" w:cs="Times New Roman"/>
          <w:sz w:val="20"/>
          <w:szCs w:val="20"/>
        </w:rPr>
        <w:t>0.5 for class assignment.</w:t>
      </w:r>
      <w:r w:rsidR="00932D08">
        <w:rPr>
          <w:rFonts w:ascii="Times New Roman" w:hAnsi="Times New Roman" w:cs="Times New Roman"/>
          <w:sz w:val="20"/>
          <w:szCs w:val="20"/>
        </w:rPr>
        <w:t xml:space="preserve"> </w:t>
      </w:r>
      <w:r>
        <w:rPr>
          <w:rFonts w:ascii="Times New Roman" w:hAnsi="Times New Roman" w:cs="Times New Roman"/>
          <w:sz w:val="20"/>
          <w:szCs w:val="20"/>
        </w:rPr>
        <w:t xml:space="preserve">The dashed trend line is a linear regression fit of the </w:t>
      </w:r>
      <w:r w:rsidR="00932D08" w:rsidRPr="00932D08">
        <w:rPr>
          <w:rFonts w:ascii="Times New Roman" w:hAnsi="Times New Roman" w:cs="Times New Roman"/>
          <w:sz w:val="20"/>
          <w:szCs w:val="20"/>
        </w:rPr>
        <w:t>data</w:t>
      </w:r>
      <w:r>
        <w:rPr>
          <w:rFonts w:ascii="Times New Roman" w:hAnsi="Times New Roman" w:cs="Times New Roman"/>
          <w:sz w:val="20"/>
          <w:szCs w:val="20"/>
        </w:rPr>
        <w:t>. R</w:t>
      </w:r>
      <w:r>
        <w:rPr>
          <w:rFonts w:ascii="Times New Roman" w:hAnsi="Times New Roman" w:cs="Times New Roman"/>
          <w:sz w:val="20"/>
          <w:szCs w:val="20"/>
          <w:vertAlign w:val="superscript"/>
        </w:rPr>
        <w:t>2</w:t>
      </w:r>
      <w:r>
        <w:rPr>
          <w:rFonts w:ascii="Times New Roman" w:hAnsi="Times New Roman" w:cs="Times New Roman"/>
          <w:sz w:val="20"/>
          <w:szCs w:val="20"/>
        </w:rPr>
        <w:t xml:space="preserve"> is the coefficient of determination for this fit and the p-value test the null hypothesis that the true linear correlation between the two variables is zero.</w:t>
      </w:r>
      <w:r w:rsidR="00961415">
        <w:rPr>
          <w:rFonts w:ascii="Times New Roman" w:hAnsi="Times New Roman" w:cs="Times New Roman"/>
          <w:sz w:val="20"/>
          <w:szCs w:val="20"/>
        </w:rPr>
        <w:t xml:space="preserve"> (B) </w:t>
      </w:r>
      <w:r w:rsidR="00961415" w:rsidRPr="00961415">
        <w:rPr>
          <w:rFonts w:ascii="Times New Roman" w:hAnsi="Times New Roman" w:cs="Times New Roman"/>
          <w:sz w:val="20"/>
          <w:szCs w:val="20"/>
        </w:rPr>
        <w:t xml:space="preserve">Confusion matrix showing predicted </w:t>
      </w:r>
      <w:r w:rsidR="00961415" w:rsidRPr="00961415">
        <w:rPr>
          <w:rFonts w:ascii="Times New Roman" w:hAnsi="Times New Roman" w:cs="Times New Roman"/>
          <w:sz w:val="20"/>
          <w:szCs w:val="20"/>
        </w:rPr>
        <w:lastRenderedPageBreak/>
        <w:t>labels compared with true labels across train and test set</w:t>
      </w:r>
      <w:r w:rsidR="00961415">
        <w:rPr>
          <w:rFonts w:ascii="Times New Roman" w:hAnsi="Times New Roman" w:cs="Times New Roman"/>
          <w:sz w:val="20"/>
          <w:szCs w:val="20"/>
        </w:rPr>
        <w:t xml:space="preserve">. (C) </w:t>
      </w:r>
      <w:r w:rsidR="00961415" w:rsidRPr="00961415">
        <w:rPr>
          <w:rFonts w:ascii="Times New Roman" w:hAnsi="Times New Roman" w:cs="Times New Roman"/>
          <w:sz w:val="20"/>
          <w:szCs w:val="20"/>
        </w:rPr>
        <w:t>Trained model coefficients for the standardized features showing roughly equal contribution of all 3 features to the model’s output.</w:t>
      </w:r>
    </w:p>
    <w:p w14:paraId="3315305C" w14:textId="77777777" w:rsidR="00D27076" w:rsidRPr="00D27076" w:rsidRDefault="00D27076" w:rsidP="00D27076">
      <w:pPr>
        <w:rPr>
          <w:rFonts w:ascii="Times New Roman" w:hAnsi="Times New Roman" w:cs="Times New Roman"/>
          <w:szCs w:val="24"/>
        </w:rPr>
      </w:pPr>
    </w:p>
    <w:p w14:paraId="030FB174" w14:textId="77777777" w:rsidR="00932D08" w:rsidRDefault="00D27076" w:rsidP="00D27076">
      <w:pPr>
        <w:rPr>
          <w:rFonts w:ascii="Times New Roman" w:hAnsi="Times New Roman" w:cs="Times New Roman"/>
          <w:szCs w:val="24"/>
        </w:rPr>
      </w:pPr>
      <w:r w:rsidRPr="00D27076">
        <w:rPr>
          <w:rFonts w:ascii="Times New Roman" w:hAnsi="Times New Roman" w:cs="Times New Roman"/>
          <w:szCs w:val="24"/>
        </w:rPr>
        <w:t xml:space="preserve">When fit on the control set, the model separated low- and high-resistance controls with good within-panel performance, and the resulting resistance probabilities correlated with the available fold-change data. This is the main value of the model: it compresses the dominant structural signals identified above into a compact, interpretable summary of resistance-associated risk across the panel. </w:t>
      </w:r>
    </w:p>
    <w:p w14:paraId="7A45C104" w14:textId="77777777" w:rsidR="00932D08" w:rsidRDefault="00932D08" w:rsidP="00D27076">
      <w:pPr>
        <w:rPr>
          <w:rFonts w:ascii="Times New Roman" w:hAnsi="Times New Roman" w:cs="Times New Roman"/>
          <w:szCs w:val="24"/>
        </w:rPr>
      </w:pPr>
    </w:p>
    <w:p w14:paraId="62ABA3C7" w14:textId="1A6587F8" w:rsidR="00D27076" w:rsidRDefault="00932D08" w:rsidP="00D27076">
      <w:pPr>
        <w:rPr>
          <w:rFonts w:ascii="Times New Roman" w:hAnsi="Times New Roman" w:cs="Times New Roman"/>
          <w:szCs w:val="24"/>
        </w:rPr>
      </w:pPr>
      <w:r>
        <w:rPr>
          <w:rFonts w:ascii="Times New Roman" w:hAnsi="Times New Roman" w:cs="Times New Roman"/>
          <w:szCs w:val="24"/>
        </w:rPr>
        <w:t xml:space="preserve">Furthermore, </w:t>
      </w:r>
      <w:r w:rsidR="00D27076" w:rsidRPr="00D27076">
        <w:rPr>
          <w:rFonts w:ascii="Times New Roman" w:hAnsi="Times New Roman" w:cs="Times New Roman"/>
          <w:szCs w:val="24"/>
        </w:rPr>
        <w:t>WT, which was not used as a training control, was assigned a low resistance probability when evaluated as an unseen reference case. In the limited-data set, the model assigned high resistance probability to G190E and low resistance probability to V106I, V106M, L100I+K103N, and K103N+P225H, while remaining discordant for some genotypes such as G190S and K103N+M230L.</w:t>
      </w:r>
    </w:p>
    <w:p w14:paraId="78509FC7" w14:textId="77777777" w:rsidR="00D27076" w:rsidRPr="00D27076" w:rsidRDefault="00D27076" w:rsidP="00D27076">
      <w:pPr>
        <w:rPr>
          <w:rFonts w:ascii="Times New Roman" w:hAnsi="Times New Roman" w:cs="Times New Roman"/>
          <w:szCs w:val="24"/>
        </w:rPr>
      </w:pPr>
    </w:p>
    <w:p w14:paraId="4DE7C86A" w14:textId="75A9F073" w:rsidR="00D27076" w:rsidRDefault="00932D08" w:rsidP="00D27076">
      <w:pPr>
        <w:rPr>
          <w:rFonts w:ascii="Times New Roman" w:hAnsi="Times New Roman" w:cs="Times New Roman"/>
          <w:szCs w:val="24"/>
        </w:rPr>
      </w:pPr>
      <w:r>
        <w:rPr>
          <w:rFonts w:ascii="Times New Roman" w:hAnsi="Times New Roman" w:cs="Times New Roman"/>
          <w:szCs w:val="24"/>
        </w:rPr>
        <w:t>Note that this</w:t>
      </w:r>
      <w:r w:rsidR="00D27076" w:rsidRPr="00D27076">
        <w:rPr>
          <w:rFonts w:ascii="Times New Roman" w:hAnsi="Times New Roman" w:cs="Times New Roman"/>
          <w:szCs w:val="24"/>
        </w:rPr>
        <w:t xml:space="preserve"> model is trained on a small, hand-selected control panel</w:t>
      </w:r>
      <w:r>
        <w:rPr>
          <w:rFonts w:ascii="Times New Roman" w:hAnsi="Times New Roman" w:cs="Times New Roman"/>
          <w:szCs w:val="24"/>
        </w:rPr>
        <w:t xml:space="preserve"> and </w:t>
      </w:r>
      <w:r w:rsidRPr="00932D08">
        <w:rPr>
          <w:rFonts w:ascii="Times New Roman" w:hAnsi="Times New Roman" w:cs="Times New Roman"/>
          <w:szCs w:val="24"/>
        </w:rPr>
        <w:t>is not a validated susceptibility predictor</w:t>
      </w:r>
      <w:r w:rsidR="00D27076" w:rsidRPr="00D27076">
        <w:rPr>
          <w:rFonts w:ascii="Times New Roman" w:hAnsi="Times New Roman" w:cs="Times New Roman"/>
          <w:szCs w:val="24"/>
        </w:rPr>
        <w:t xml:space="preserve">. Its value lies in interpretability rather than in standalone predictive performance. Nonetheless, the fact that only three structural features can summarize much of the control-genotype separation supports the broader conclusion that short MD simulations capture mechanistically </w:t>
      </w:r>
      <w:r>
        <w:rPr>
          <w:rFonts w:ascii="Times New Roman" w:hAnsi="Times New Roman" w:cs="Times New Roman"/>
          <w:szCs w:val="24"/>
        </w:rPr>
        <w:t>interpretable</w:t>
      </w:r>
      <w:r w:rsidR="00D27076" w:rsidRPr="00D27076">
        <w:rPr>
          <w:rFonts w:ascii="Times New Roman" w:hAnsi="Times New Roman" w:cs="Times New Roman"/>
          <w:szCs w:val="24"/>
        </w:rPr>
        <w:t xml:space="preserve"> signals </w:t>
      </w:r>
      <w:r w:rsidR="00961415">
        <w:rPr>
          <w:rFonts w:ascii="Times New Roman" w:hAnsi="Times New Roman" w:cs="Times New Roman"/>
          <w:szCs w:val="24"/>
        </w:rPr>
        <w:t xml:space="preserve">that could be </w:t>
      </w:r>
      <w:r>
        <w:rPr>
          <w:rFonts w:ascii="Times New Roman" w:hAnsi="Times New Roman" w:cs="Times New Roman"/>
          <w:szCs w:val="24"/>
        </w:rPr>
        <w:t>informative</w:t>
      </w:r>
      <w:r w:rsidR="00961415">
        <w:rPr>
          <w:rFonts w:ascii="Times New Roman" w:hAnsi="Times New Roman" w:cs="Times New Roman"/>
          <w:szCs w:val="24"/>
        </w:rPr>
        <w:t xml:space="preserve"> for comparisons with phenotypic data.</w:t>
      </w:r>
    </w:p>
    <w:p w14:paraId="72CE490E" w14:textId="77777777" w:rsidR="00BB3608" w:rsidRDefault="00BB3608" w:rsidP="00D27076">
      <w:pPr>
        <w:rPr>
          <w:rFonts w:ascii="Times New Roman" w:hAnsi="Times New Roman" w:cs="Times New Roman"/>
          <w:szCs w:val="24"/>
        </w:rPr>
      </w:pPr>
    </w:p>
    <w:p w14:paraId="117A2D6A" w14:textId="495FC2DF" w:rsidR="00BB3608" w:rsidRDefault="00BB3608" w:rsidP="00D27076">
      <w:pPr>
        <w:rPr>
          <w:rFonts w:ascii="Times New Roman" w:hAnsi="Times New Roman" w:cs="Times New Roman"/>
          <w:b/>
          <w:bCs/>
          <w:sz w:val="28"/>
          <w:szCs w:val="28"/>
        </w:rPr>
      </w:pPr>
      <w:r>
        <w:rPr>
          <w:rFonts w:ascii="Times New Roman" w:hAnsi="Times New Roman" w:cs="Times New Roman"/>
          <w:b/>
          <w:bCs/>
          <w:sz w:val="28"/>
          <w:szCs w:val="28"/>
        </w:rPr>
        <w:t>Discussion</w:t>
      </w:r>
    </w:p>
    <w:p w14:paraId="1EB16CF4" w14:textId="47B7C8A9" w:rsidR="005F52FE" w:rsidRDefault="007B0373" w:rsidP="005F52FE">
      <w:pPr>
        <w:rPr>
          <w:rFonts w:ascii="Times New Roman" w:hAnsi="Times New Roman" w:cs="Times New Roman"/>
          <w:szCs w:val="24"/>
        </w:rPr>
      </w:pPr>
      <w:r w:rsidRPr="007B0373">
        <w:rPr>
          <w:rFonts w:ascii="Times New Roman" w:hAnsi="Times New Roman" w:cs="Times New Roman"/>
          <w:szCs w:val="24"/>
        </w:rPr>
        <w:t xml:space="preserve">DOR poses an unusual resistance problem among second-generation NNRTIs. Like ETR and RPV, DOR retains activity against common NNRTI-associated backgrounds such as K103N, Y181C, and G190A, yet the pathways that reduce DOR susceptibility are distinct and increasingly relevant in clinical use. Specific substitutions such as Y188L, V106A, and Y318F, and combinations including V106I+F227C, V106A+F227L, and V106A+L234I, now recur across phenotypic studies, in vitro selection experiments, and clinical trial datasets. Despite these observations, publicly </w:t>
      </w:r>
      <w:r>
        <w:rPr>
          <w:rFonts w:ascii="Times New Roman" w:hAnsi="Times New Roman" w:cs="Times New Roman"/>
          <w:szCs w:val="24"/>
        </w:rPr>
        <w:t>available</w:t>
      </w:r>
      <w:r w:rsidRPr="007B0373">
        <w:rPr>
          <w:rFonts w:ascii="Times New Roman" w:hAnsi="Times New Roman" w:cs="Times New Roman"/>
          <w:szCs w:val="24"/>
        </w:rPr>
        <w:t xml:space="preserve"> isolate-level susceptibility data for DOR remain sparse. As of April 2026, Stanford HIVDB indexes only 134 DOR-associated isolates tested by </w:t>
      </w:r>
      <w:proofErr w:type="spellStart"/>
      <w:r w:rsidRPr="007B0373">
        <w:rPr>
          <w:rFonts w:ascii="Times New Roman" w:hAnsi="Times New Roman" w:cs="Times New Roman"/>
          <w:szCs w:val="24"/>
        </w:rPr>
        <w:t>PhenoSense</w:t>
      </w:r>
      <w:proofErr w:type="spellEnd"/>
      <w:r w:rsidRPr="007B0373">
        <w:rPr>
          <w:rFonts w:ascii="Times New Roman" w:hAnsi="Times New Roman" w:cs="Times New Roman"/>
          <w:szCs w:val="24"/>
        </w:rPr>
        <w:t>, compared with 330 for RPV and 1,193 for ETR. This mismatch between growing clinical relevance and limited public phenotype data for DOR resistance motivated the present study.</w:t>
      </w:r>
      <w:r w:rsidR="005F52FE" w:rsidRPr="005F52FE">
        <w:t xml:space="preserve"> </w:t>
      </w:r>
      <w:r w:rsidR="005F52FE" w:rsidRPr="005F52FE">
        <w:rPr>
          <w:rFonts w:ascii="Times New Roman" w:hAnsi="Times New Roman" w:cs="Times New Roman"/>
          <w:szCs w:val="24"/>
        </w:rPr>
        <w:t>We therefore asked whether short explicit-solvent MD simulations could provide a coherent structural framework for understanding known and limited-data DOR resistance genotypes.</w:t>
      </w:r>
    </w:p>
    <w:p w14:paraId="5A4B1CCF" w14:textId="77777777" w:rsidR="005F52FE" w:rsidRPr="005F52FE" w:rsidRDefault="005F52FE" w:rsidP="005F52FE">
      <w:pPr>
        <w:rPr>
          <w:rFonts w:ascii="Times New Roman" w:hAnsi="Times New Roman" w:cs="Times New Roman"/>
          <w:szCs w:val="24"/>
        </w:rPr>
      </w:pPr>
    </w:p>
    <w:p w14:paraId="17AD8690" w14:textId="61259F2A" w:rsidR="005F52FE" w:rsidRDefault="005F52FE" w:rsidP="005F52FE">
      <w:pPr>
        <w:rPr>
          <w:rFonts w:ascii="Times New Roman" w:hAnsi="Times New Roman" w:cs="Times New Roman"/>
          <w:szCs w:val="24"/>
        </w:rPr>
      </w:pPr>
      <w:r>
        <w:rPr>
          <w:rFonts w:ascii="Times New Roman" w:hAnsi="Times New Roman" w:cs="Times New Roman"/>
          <w:szCs w:val="24"/>
        </w:rPr>
        <w:t>We observed</w:t>
      </w:r>
      <w:r w:rsidRPr="005F52FE">
        <w:rPr>
          <w:rFonts w:ascii="Times New Roman" w:hAnsi="Times New Roman" w:cs="Times New Roman"/>
          <w:szCs w:val="24"/>
        </w:rPr>
        <w:t xml:space="preserve"> </w:t>
      </w:r>
      <w:r>
        <w:rPr>
          <w:rFonts w:ascii="Times New Roman" w:hAnsi="Times New Roman" w:cs="Times New Roman"/>
          <w:szCs w:val="24"/>
        </w:rPr>
        <w:t>that</w:t>
      </w:r>
      <w:r w:rsidRPr="005F52FE">
        <w:rPr>
          <w:rFonts w:ascii="Times New Roman" w:hAnsi="Times New Roman" w:cs="Times New Roman"/>
          <w:szCs w:val="24"/>
        </w:rPr>
        <w:t xml:space="preserve"> </w:t>
      </w:r>
      <w:r>
        <w:rPr>
          <w:rFonts w:ascii="Times New Roman" w:hAnsi="Times New Roman" w:cs="Times New Roman"/>
          <w:szCs w:val="24"/>
        </w:rPr>
        <w:t>t</w:t>
      </w:r>
      <w:r w:rsidRPr="005F52FE">
        <w:rPr>
          <w:rFonts w:ascii="Times New Roman" w:hAnsi="Times New Roman" w:cs="Times New Roman"/>
          <w:szCs w:val="24"/>
        </w:rPr>
        <w:t xml:space="preserve">otal WT-referenced energetic shifts derived from bound-state MD snapshots did not explain the phenotypic DOR landscape, and most energetic components behaved similarly. </w:t>
      </w:r>
      <w:r>
        <w:rPr>
          <w:rFonts w:ascii="Times New Roman" w:hAnsi="Times New Roman" w:cs="Times New Roman"/>
          <w:szCs w:val="24"/>
        </w:rPr>
        <w:t>Thus, s</w:t>
      </w:r>
      <w:r w:rsidRPr="005F52FE">
        <w:rPr>
          <w:rFonts w:ascii="Times New Roman" w:hAnsi="Times New Roman" w:cs="Times New Roman"/>
          <w:szCs w:val="24"/>
        </w:rPr>
        <w:t xml:space="preserve">hort equilibrium MD simulations of a single bound complex are not expected to recover full inhibitor-binding thermodynamics, especially in a system such as RT where relevant conformational and kinetic processes extend well beyond the timescale sampled here. </w:t>
      </w:r>
      <w:r>
        <w:rPr>
          <w:rFonts w:ascii="Times New Roman" w:hAnsi="Times New Roman" w:cs="Times New Roman"/>
          <w:szCs w:val="24"/>
        </w:rPr>
        <w:t>However, t</w:t>
      </w:r>
      <w:r w:rsidRPr="005F52FE">
        <w:rPr>
          <w:rFonts w:ascii="Times New Roman" w:hAnsi="Times New Roman" w:cs="Times New Roman"/>
          <w:szCs w:val="24"/>
        </w:rPr>
        <w:t>he weak but statistically significant association observed for the electrostatic component suggest</w:t>
      </w:r>
      <w:r>
        <w:rPr>
          <w:rFonts w:ascii="Times New Roman" w:hAnsi="Times New Roman" w:cs="Times New Roman"/>
          <w:szCs w:val="24"/>
        </w:rPr>
        <w:t>ed</w:t>
      </w:r>
      <w:r w:rsidRPr="005F52FE">
        <w:rPr>
          <w:rFonts w:ascii="Times New Roman" w:hAnsi="Times New Roman" w:cs="Times New Roman"/>
          <w:szCs w:val="24"/>
        </w:rPr>
        <w:t xml:space="preserve"> that local electrostatic reorganization </w:t>
      </w:r>
      <w:r>
        <w:rPr>
          <w:rFonts w:ascii="Times New Roman" w:hAnsi="Times New Roman" w:cs="Times New Roman"/>
          <w:szCs w:val="24"/>
        </w:rPr>
        <w:t>in the NNIBP may be more informative.</w:t>
      </w:r>
    </w:p>
    <w:p w14:paraId="5FADE4AB" w14:textId="77777777" w:rsidR="005F52FE" w:rsidRPr="005F52FE" w:rsidRDefault="005F52FE" w:rsidP="005F52FE">
      <w:pPr>
        <w:rPr>
          <w:rFonts w:ascii="Times New Roman" w:hAnsi="Times New Roman" w:cs="Times New Roman"/>
          <w:szCs w:val="24"/>
        </w:rPr>
      </w:pPr>
    </w:p>
    <w:p w14:paraId="77100572" w14:textId="686A22BC" w:rsidR="005F52FE" w:rsidRDefault="005F52FE" w:rsidP="005F52FE">
      <w:pPr>
        <w:rPr>
          <w:rFonts w:ascii="Times New Roman" w:hAnsi="Times New Roman" w:cs="Times New Roman"/>
          <w:szCs w:val="24"/>
        </w:rPr>
      </w:pPr>
      <w:r>
        <w:rPr>
          <w:rFonts w:ascii="Times New Roman" w:hAnsi="Times New Roman" w:cs="Times New Roman"/>
          <w:szCs w:val="24"/>
        </w:rPr>
        <w:t>Consequently, s</w:t>
      </w:r>
      <w:r w:rsidRPr="005F52FE">
        <w:rPr>
          <w:rFonts w:ascii="Times New Roman" w:hAnsi="Times New Roman" w:cs="Times New Roman"/>
          <w:szCs w:val="24"/>
        </w:rPr>
        <w:t xml:space="preserve">ystematic residue-level contact analysis revealed that different DOR-associated genotypes preferentially perturb different local regions of the pocket. Y188L destabilized the Tyr188 aromatic wall and was associated with remodeling near Pro225. V106A-containing </w:t>
      </w:r>
      <w:r w:rsidRPr="005F52FE">
        <w:rPr>
          <w:rFonts w:ascii="Times New Roman" w:hAnsi="Times New Roman" w:cs="Times New Roman"/>
          <w:szCs w:val="24"/>
        </w:rPr>
        <w:lastRenderedPageBreak/>
        <w:t xml:space="preserve">genotypes redistributed DOR toward the </w:t>
      </w:r>
      <w:r>
        <w:rPr>
          <w:rFonts w:ascii="Times New Roman" w:hAnsi="Times New Roman" w:cs="Times New Roman"/>
          <w:szCs w:val="24"/>
        </w:rPr>
        <w:t>103-108</w:t>
      </w:r>
      <w:r w:rsidRPr="005F52FE">
        <w:rPr>
          <w:rFonts w:ascii="Times New Roman" w:hAnsi="Times New Roman" w:cs="Times New Roman"/>
          <w:szCs w:val="24"/>
        </w:rPr>
        <w:t xml:space="preserve"> </w:t>
      </w:r>
      <w:r>
        <w:rPr>
          <w:rFonts w:ascii="Times New Roman" w:hAnsi="Times New Roman" w:cs="Times New Roman"/>
          <w:szCs w:val="24"/>
        </w:rPr>
        <w:t>loop</w:t>
      </w:r>
      <w:r w:rsidRPr="005F52FE">
        <w:rPr>
          <w:rFonts w:ascii="Times New Roman" w:hAnsi="Times New Roman" w:cs="Times New Roman"/>
          <w:szCs w:val="24"/>
        </w:rPr>
        <w:t xml:space="preserve"> and favored compensatory proximity to Lys104 and Ser105. V106I+F227C achieved similarly high resistance through a different local route centered more strongly on the residue</w:t>
      </w:r>
      <w:r>
        <w:rPr>
          <w:rFonts w:ascii="Times New Roman" w:hAnsi="Times New Roman" w:cs="Times New Roman"/>
          <w:szCs w:val="24"/>
        </w:rPr>
        <w:t xml:space="preserve"> </w:t>
      </w:r>
      <w:r w:rsidRPr="005F52FE">
        <w:rPr>
          <w:rFonts w:ascii="Times New Roman" w:hAnsi="Times New Roman" w:cs="Times New Roman"/>
          <w:szCs w:val="24"/>
        </w:rPr>
        <w:t xml:space="preserve">227 region. G190E uniquely perturbed the </w:t>
      </w:r>
      <w:r w:rsidRPr="00E31695">
        <w:rPr>
          <w:rFonts w:ascii="Times New Roman" w:hAnsi="Times New Roman" w:cs="Times New Roman"/>
          <w:szCs w:val="24"/>
        </w:rPr>
        <w:t>β</w:t>
      </w:r>
      <w:r>
        <w:rPr>
          <w:rFonts w:ascii="Times New Roman" w:hAnsi="Times New Roman" w:cs="Times New Roman"/>
          <w:szCs w:val="24"/>
        </w:rPr>
        <w:t>9-</w:t>
      </w:r>
      <w:r w:rsidRPr="00E31695">
        <w:rPr>
          <w:rFonts w:ascii="Times New Roman" w:hAnsi="Times New Roman" w:cs="Times New Roman"/>
          <w:szCs w:val="24"/>
        </w:rPr>
        <w:t>β</w:t>
      </w:r>
      <w:r>
        <w:rPr>
          <w:rFonts w:ascii="Times New Roman" w:hAnsi="Times New Roman" w:cs="Times New Roman"/>
          <w:szCs w:val="24"/>
        </w:rPr>
        <w:t>10</w:t>
      </w:r>
      <w:r w:rsidRPr="005F52FE">
        <w:rPr>
          <w:rFonts w:ascii="Times New Roman" w:hAnsi="Times New Roman" w:cs="Times New Roman"/>
          <w:szCs w:val="24"/>
        </w:rPr>
        <w:t xml:space="preserve"> hairpin and weakened the Val179 side of the pocket. These observations support a model in which DOR resistance emerges through multiple mechanistic classes rather than through a single generic reduction in binding strength.</w:t>
      </w:r>
    </w:p>
    <w:p w14:paraId="466E17D1" w14:textId="77777777" w:rsidR="005F52FE" w:rsidRPr="005F52FE" w:rsidRDefault="005F52FE" w:rsidP="005F52FE">
      <w:pPr>
        <w:rPr>
          <w:rFonts w:ascii="Times New Roman" w:hAnsi="Times New Roman" w:cs="Times New Roman"/>
          <w:szCs w:val="24"/>
        </w:rPr>
      </w:pPr>
    </w:p>
    <w:p w14:paraId="3CADDD07" w14:textId="28C434AB" w:rsidR="005F52FE" w:rsidRDefault="005F52FE" w:rsidP="005F52FE">
      <w:pPr>
        <w:rPr>
          <w:rFonts w:ascii="Times New Roman" w:hAnsi="Times New Roman" w:cs="Times New Roman"/>
          <w:szCs w:val="24"/>
        </w:rPr>
      </w:pPr>
      <w:r w:rsidRPr="005F52FE">
        <w:rPr>
          <w:rFonts w:ascii="Times New Roman" w:hAnsi="Times New Roman" w:cs="Times New Roman"/>
          <w:szCs w:val="24"/>
        </w:rPr>
        <w:t>This mechanistic diversity is especially important for interpreting epistasis. The V106A-containing double mutants retained the same local signature already seen in V106A alone, consistent with the idea that V106A acts as a priming mutation that redistributes the DOR pose, after which upper-pocket substitutions exacerbate the resulting vulnerability. By contrast, V106I+F227C shows that a high-resistance phenotype can also emerge without that same structural route. Similar fold-change values can therefore conceal distinct local mechanisms.</w:t>
      </w:r>
    </w:p>
    <w:p w14:paraId="058551A2" w14:textId="77777777" w:rsidR="005F52FE" w:rsidRPr="005F52FE" w:rsidRDefault="005F52FE" w:rsidP="005F52FE">
      <w:pPr>
        <w:rPr>
          <w:rFonts w:ascii="Times New Roman" w:hAnsi="Times New Roman" w:cs="Times New Roman"/>
          <w:szCs w:val="24"/>
        </w:rPr>
      </w:pPr>
    </w:p>
    <w:p w14:paraId="75051DB2" w14:textId="77777777" w:rsidR="005F52FE" w:rsidRDefault="005F52FE" w:rsidP="005F52FE">
      <w:pPr>
        <w:rPr>
          <w:rFonts w:ascii="Times New Roman" w:hAnsi="Times New Roman" w:cs="Times New Roman"/>
          <w:szCs w:val="24"/>
        </w:rPr>
      </w:pPr>
      <w:r w:rsidRPr="005F52FE">
        <w:rPr>
          <w:rFonts w:ascii="Times New Roman" w:hAnsi="Times New Roman" w:cs="Times New Roman"/>
          <w:szCs w:val="24"/>
        </w:rPr>
        <w:t>The logistic regression analysis supports this interpretation. The fact that a three-feature model built from Ser105-DOR distance, Tyr188-DOR distance, and ligand pose RMSD could summarize the low-versus-high resistance control separation suggests that the dominant structural signals in this system are both local and low-dimensional. At the same time, the mixed performance in the limited-data set emphasizes that such a model is currently best understood as an interpretable structural summary rather than as a deployable prediction tool.</w:t>
      </w:r>
    </w:p>
    <w:p w14:paraId="4295FACF" w14:textId="77777777" w:rsidR="005F52FE" w:rsidRPr="005F52FE" w:rsidRDefault="005F52FE" w:rsidP="005F52FE">
      <w:pPr>
        <w:rPr>
          <w:rFonts w:ascii="Times New Roman" w:hAnsi="Times New Roman" w:cs="Times New Roman"/>
          <w:szCs w:val="24"/>
        </w:rPr>
      </w:pPr>
    </w:p>
    <w:p w14:paraId="605132CB" w14:textId="36353A20" w:rsidR="005F52FE" w:rsidRDefault="005F52FE" w:rsidP="005F52FE">
      <w:pPr>
        <w:rPr>
          <w:rFonts w:ascii="Times New Roman" w:hAnsi="Times New Roman" w:cs="Times New Roman"/>
          <w:szCs w:val="24"/>
        </w:rPr>
      </w:pPr>
      <w:r w:rsidRPr="005F52FE">
        <w:rPr>
          <w:rFonts w:ascii="Times New Roman" w:hAnsi="Times New Roman" w:cs="Times New Roman"/>
          <w:szCs w:val="24"/>
        </w:rPr>
        <w:t>Several limitations should frame the interpretation of this work. First, the simulations were short relative to the conformational and kinetic timescales relevant to RT-</w:t>
      </w:r>
      <w:r>
        <w:rPr>
          <w:rFonts w:ascii="Times New Roman" w:hAnsi="Times New Roman" w:cs="Times New Roman"/>
          <w:szCs w:val="24"/>
        </w:rPr>
        <w:t>DOR</w:t>
      </w:r>
      <w:r w:rsidRPr="005F52FE">
        <w:rPr>
          <w:rFonts w:ascii="Times New Roman" w:hAnsi="Times New Roman" w:cs="Times New Roman"/>
          <w:szCs w:val="24"/>
        </w:rPr>
        <w:t xml:space="preserve"> binding, so </w:t>
      </w:r>
      <w:r>
        <w:rPr>
          <w:rFonts w:ascii="Times New Roman" w:hAnsi="Times New Roman" w:cs="Times New Roman"/>
          <w:szCs w:val="24"/>
        </w:rPr>
        <w:t>there are likely</w:t>
      </w:r>
      <w:r w:rsidRPr="005F52FE">
        <w:rPr>
          <w:rFonts w:ascii="Times New Roman" w:hAnsi="Times New Roman" w:cs="Times New Roman"/>
          <w:szCs w:val="24"/>
        </w:rPr>
        <w:t xml:space="preserve"> mechanistically important events </w:t>
      </w:r>
      <w:r>
        <w:rPr>
          <w:rFonts w:ascii="Times New Roman" w:hAnsi="Times New Roman" w:cs="Times New Roman"/>
          <w:szCs w:val="24"/>
        </w:rPr>
        <w:t xml:space="preserve">that </w:t>
      </w:r>
      <w:r w:rsidRPr="005F52FE">
        <w:rPr>
          <w:rFonts w:ascii="Times New Roman" w:hAnsi="Times New Roman" w:cs="Times New Roman"/>
          <w:szCs w:val="24"/>
        </w:rPr>
        <w:t>remain unsampled. Second, the limited-data classifier is constrained by small sample size and by the difficulty of drawing hard class boundaries in a sparse phenotype landscape.</w:t>
      </w:r>
    </w:p>
    <w:p w14:paraId="547BD018" w14:textId="77777777" w:rsidR="005F52FE" w:rsidRPr="005F52FE" w:rsidRDefault="005F52FE" w:rsidP="005F52FE">
      <w:pPr>
        <w:rPr>
          <w:rFonts w:ascii="Times New Roman" w:hAnsi="Times New Roman" w:cs="Times New Roman"/>
          <w:szCs w:val="24"/>
        </w:rPr>
      </w:pPr>
    </w:p>
    <w:p w14:paraId="674C4E0B" w14:textId="53CDE2AF" w:rsidR="00BB3608" w:rsidRDefault="005F52FE" w:rsidP="005F52FE">
      <w:pPr>
        <w:rPr>
          <w:rFonts w:ascii="Times New Roman" w:hAnsi="Times New Roman" w:cs="Times New Roman"/>
          <w:szCs w:val="24"/>
        </w:rPr>
      </w:pPr>
      <w:r w:rsidRPr="005F52FE">
        <w:rPr>
          <w:rFonts w:ascii="Times New Roman" w:hAnsi="Times New Roman" w:cs="Times New Roman"/>
          <w:szCs w:val="24"/>
        </w:rPr>
        <w:t xml:space="preserve">Despite these limitations, we think the central contribution of this study is clear. Short explicit-solvent MD simulations do not replace phenotypic susceptibility experiments, but they do provide a practical and mechanistically interpretable framework for understanding how pre-existing NNRTI mutations might alter DOR binding in RT. That framework is useful in two ways. First, it can help estimate the risk associated with DOR use in people living with HIV whose viruses harbor pre-existing NNRTI mutations but lack extensive direct DOR phenotype data. Second, it identifies concrete structural features that medicinal chemists can target when designing future NNRTIs with improved resilience against Tyr188-side, V106-side, upper-pocket, or </w:t>
      </w:r>
      <w:r w:rsidRPr="00E31695">
        <w:rPr>
          <w:rFonts w:ascii="Times New Roman" w:hAnsi="Times New Roman" w:cs="Times New Roman"/>
          <w:szCs w:val="24"/>
        </w:rPr>
        <w:t>β</w:t>
      </w:r>
      <w:r>
        <w:rPr>
          <w:rFonts w:ascii="Times New Roman" w:hAnsi="Times New Roman" w:cs="Times New Roman"/>
          <w:szCs w:val="24"/>
        </w:rPr>
        <w:t>9-</w:t>
      </w:r>
      <w:r w:rsidRPr="00E31695">
        <w:rPr>
          <w:rFonts w:ascii="Times New Roman" w:hAnsi="Times New Roman" w:cs="Times New Roman"/>
          <w:szCs w:val="24"/>
        </w:rPr>
        <w:t>β</w:t>
      </w:r>
      <w:r>
        <w:rPr>
          <w:rFonts w:ascii="Times New Roman" w:hAnsi="Times New Roman" w:cs="Times New Roman"/>
          <w:szCs w:val="24"/>
        </w:rPr>
        <w:t>10</w:t>
      </w:r>
      <w:r w:rsidRPr="005F52FE">
        <w:rPr>
          <w:rFonts w:ascii="Times New Roman" w:hAnsi="Times New Roman" w:cs="Times New Roman"/>
          <w:szCs w:val="24"/>
        </w:rPr>
        <w:t xml:space="preserve"> hairpin-mediated resistance pathways.</w:t>
      </w:r>
    </w:p>
    <w:p w14:paraId="6CC17687" w14:textId="77777777" w:rsidR="007B0373" w:rsidRDefault="007B0373" w:rsidP="00D27076">
      <w:pPr>
        <w:rPr>
          <w:rFonts w:ascii="Times New Roman" w:hAnsi="Times New Roman" w:cs="Times New Roman"/>
          <w:szCs w:val="24"/>
        </w:rPr>
      </w:pPr>
    </w:p>
    <w:p w14:paraId="22A16918" w14:textId="77777777" w:rsidR="007B0373" w:rsidRPr="00BB3608" w:rsidRDefault="007B0373" w:rsidP="00D27076">
      <w:pPr>
        <w:rPr>
          <w:rFonts w:ascii="Times New Roman" w:hAnsi="Times New Roman" w:cs="Times New Roman"/>
          <w:szCs w:val="24"/>
        </w:rPr>
      </w:pPr>
    </w:p>
    <w:sectPr w:rsidR="007B0373" w:rsidRPr="00BB36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3D5"/>
    <w:rsid w:val="000060CC"/>
    <w:rsid w:val="000366F8"/>
    <w:rsid w:val="00040531"/>
    <w:rsid w:val="00085D4C"/>
    <w:rsid w:val="00097E02"/>
    <w:rsid w:val="000B4D8C"/>
    <w:rsid w:val="000E328A"/>
    <w:rsid w:val="000F1E0E"/>
    <w:rsid w:val="00106118"/>
    <w:rsid w:val="00120227"/>
    <w:rsid w:val="00132E9B"/>
    <w:rsid w:val="0015518B"/>
    <w:rsid w:val="00155503"/>
    <w:rsid w:val="001D0F7D"/>
    <w:rsid w:val="001F0A69"/>
    <w:rsid w:val="002023D5"/>
    <w:rsid w:val="00230A01"/>
    <w:rsid w:val="0023650E"/>
    <w:rsid w:val="002776BF"/>
    <w:rsid w:val="002B5128"/>
    <w:rsid w:val="002B62B1"/>
    <w:rsid w:val="00304F6D"/>
    <w:rsid w:val="00335759"/>
    <w:rsid w:val="003919B1"/>
    <w:rsid w:val="003A584C"/>
    <w:rsid w:val="003B67BA"/>
    <w:rsid w:val="00406A32"/>
    <w:rsid w:val="004B23D9"/>
    <w:rsid w:val="005365EF"/>
    <w:rsid w:val="005478F3"/>
    <w:rsid w:val="005C0F1B"/>
    <w:rsid w:val="005C2299"/>
    <w:rsid w:val="005F52FE"/>
    <w:rsid w:val="00671B81"/>
    <w:rsid w:val="006F24CF"/>
    <w:rsid w:val="006F609B"/>
    <w:rsid w:val="00720A25"/>
    <w:rsid w:val="00737ECD"/>
    <w:rsid w:val="007B0373"/>
    <w:rsid w:val="007D2CDE"/>
    <w:rsid w:val="008572A1"/>
    <w:rsid w:val="008D3AFC"/>
    <w:rsid w:val="00932D08"/>
    <w:rsid w:val="00936881"/>
    <w:rsid w:val="00961415"/>
    <w:rsid w:val="009B6E3A"/>
    <w:rsid w:val="009D1AB3"/>
    <w:rsid w:val="009D5DAB"/>
    <w:rsid w:val="009D67D5"/>
    <w:rsid w:val="009E3D06"/>
    <w:rsid w:val="009E48E6"/>
    <w:rsid w:val="00A537ED"/>
    <w:rsid w:val="00A575B2"/>
    <w:rsid w:val="00AB7308"/>
    <w:rsid w:val="00AE6586"/>
    <w:rsid w:val="00AF30BF"/>
    <w:rsid w:val="00B11FD5"/>
    <w:rsid w:val="00B532B0"/>
    <w:rsid w:val="00BB3608"/>
    <w:rsid w:val="00BC4626"/>
    <w:rsid w:val="00BE0212"/>
    <w:rsid w:val="00BE6784"/>
    <w:rsid w:val="00C12CEB"/>
    <w:rsid w:val="00C13FA8"/>
    <w:rsid w:val="00C427E7"/>
    <w:rsid w:val="00C73676"/>
    <w:rsid w:val="00C76E0F"/>
    <w:rsid w:val="00C82BF8"/>
    <w:rsid w:val="00C9045E"/>
    <w:rsid w:val="00C94FBD"/>
    <w:rsid w:val="00C965EE"/>
    <w:rsid w:val="00CB3AC6"/>
    <w:rsid w:val="00D27076"/>
    <w:rsid w:val="00D47BB9"/>
    <w:rsid w:val="00D55096"/>
    <w:rsid w:val="00D55273"/>
    <w:rsid w:val="00D86BE2"/>
    <w:rsid w:val="00E049D2"/>
    <w:rsid w:val="00E06057"/>
    <w:rsid w:val="00E278A5"/>
    <w:rsid w:val="00E31695"/>
    <w:rsid w:val="00EE65AE"/>
    <w:rsid w:val="00F2303F"/>
    <w:rsid w:val="00F5517A"/>
    <w:rsid w:val="00FD5AE8"/>
    <w:rsid w:val="00FE164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4:docId w14:val="78716956"/>
  <w15:chartTrackingRefBased/>
  <w15:docId w15:val="{7EBA3BCB-CABB-E14A-BAC0-8815B1357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1"/>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608"/>
  </w:style>
  <w:style w:type="paragraph" w:styleId="Heading1">
    <w:name w:val="heading 1"/>
    <w:basedOn w:val="Normal"/>
    <w:next w:val="Normal"/>
    <w:link w:val="Heading1Char"/>
    <w:uiPriority w:val="9"/>
    <w:qFormat/>
    <w:rsid w:val="002023D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2023D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2023D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2023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3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3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3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3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3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3D5"/>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2023D5"/>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2023D5"/>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2023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3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3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3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3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3D5"/>
    <w:rPr>
      <w:rFonts w:eastAsiaTheme="majorEastAsia" w:cstheme="majorBidi"/>
      <w:color w:val="272727" w:themeColor="text1" w:themeTint="D8"/>
    </w:rPr>
  </w:style>
  <w:style w:type="paragraph" w:styleId="Title">
    <w:name w:val="Title"/>
    <w:basedOn w:val="Normal"/>
    <w:next w:val="Normal"/>
    <w:link w:val="TitleChar"/>
    <w:uiPriority w:val="10"/>
    <w:qFormat/>
    <w:rsid w:val="002023D5"/>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023D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023D5"/>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023D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023D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023D5"/>
    <w:rPr>
      <w:i/>
      <w:iCs/>
      <w:color w:val="404040" w:themeColor="text1" w:themeTint="BF"/>
    </w:rPr>
  </w:style>
  <w:style w:type="paragraph" w:styleId="ListParagraph">
    <w:name w:val="List Paragraph"/>
    <w:basedOn w:val="Normal"/>
    <w:uiPriority w:val="34"/>
    <w:qFormat/>
    <w:rsid w:val="002023D5"/>
    <w:pPr>
      <w:ind w:left="720"/>
      <w:contextualSpacing/>
    </w:pPr>
  </w:style>
  <w:style w:type="character" w:styleId="IntenseEmphasis">
    <w:name w:val="Intense Emphasis"/>
    <w:basedOn w:val="DefaultParagraphFont"/>
    <w:uiPriority w:val="21"/>
    <w:qFormat/>
    <w:rsid w:val="002023D5"/>
    <w:rPr>
      <w:i/>
      <w:iCs/>
      <w:color w:val="0F4761" w:themeColor="accent1" w:themeShade="BF"/>
    </w:rPr>
  </w:style>
  <w:style w:type="paragraph" w:styleId="IntenseQuote">
    <w:name w:val="Intense Quote"/>
    <w:basedOn w:val="Normal"/>
    <w:next w:val="Normal"/>
    <w:link w:val="IntenseQuoteChar"/>
    <w:uiPriority w:val="30"/>
    <w:qFormat/>
    <w:rsid w:val="002023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3D5"/>
    <w:rPr>
      <w:i/>
      <w:iCs/>
      <w:color w:val="0F4761" w:themeColor="accent1" w:themeShade="BF"/>
    </w:rPr>
  </w:style>
  <w:style w:type="character" w:styleId="IntenseReference">
    <w:name w:val="Intense Reference"/>
    <w:basedOn w:val="DefaultParagraphFont"/>
    <w:uiPriority w:val="32"/>
    <w:qFormat/>
    <w:rsid w:val="002023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745</TotalTime>
  <Pages>13</Pages>
  <Words>4029</Words>
  <Characters>24261</Characters>
  <Application>Microsoft Office Word</Application>
  <DocSecurity>0</DocSecurity>
  <Lines>505</Lines>
  <Paragraphs>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Satija</dc:creator>
  <cp:keywords/>
  <dc:description/>
  <cp:lastModifiedBy>Rohit Satija</cp:lastModifiedBy>
  <cp:revision>73</cp:revision>
  <dcterms:created xsi:type="dcterms:W3CDTF">2026-05-06T15:49:00Z</dcterms:created>
  <dcterms:modified xsi:type="dcterms:W3CDTF">2026-05-08T17:55:00Z</dcterms:modified>
</cp:coreProperties>
</file>