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(k</w:t>
      </w:r>
      <w:r w:rsidR="002E0084" w:rsidRPr="002E0084">
        <w:rPr>
          <w:vertAlign w:val="subscript"/>
        </w:rPr>
        <w:t>B</w:t>
      </w:r>
      <w:r w:rsidR="002E0084">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The effect of this choice on the MM/GBSA energies is quantified in Supplementary Section 4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lastRenderedPageBreak/>
        <w:t xml:space="preserve">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under single-point evaluation and under hydrogen-only relaxation with heavy atoms restrained (Supplementary Section 5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w:t>
      </w:r>
      <w:r>
        <w:t xml:space="preserve">DOR was parameterized for the alchemical legs with the </w:t>
      </w:r>
      <w:proofErr w:type="spellStart"/>
      <w:r>
        <w:t>OpenFF</w:t>
      </w:r>
      <w:proofErr w:type="spellEnd"/>
      <w:r>
        <w:t xml:space="preserve"> 2.0.0 </w:t>
      </w:r>
      <w:r>
        <w:t xml:space="preserve">force field and its default AM1-BCC partial charges, not the Gasteiger charges used for the equilibrium MD and MM/GBSA, and</w:t>
      </w:r>
      <w:r>
        <w:t xml:space="preserve">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t>(Supplementary Section 3)</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w:t>
      </w:r>
      <w:r w:rsidR="007C4C4D">
        <w:t>minus</w:t>
      </w:r>
      <w:r>
        <w:t xml:space="preserve"> its standard error over replicates, exceeded +0.5 kcal/mol, approximately k</w:t>
      </w:r>
      <w:r w:rsidRPr="007C4C4D">
        <w:rPr>
          <w:vertAlign w:val="subscript"/>
        </w:rPr>
        <w:t>B</w:t>
      </w:r>
      <w: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t xml:space="preserve">Convergence diagnostics. For a series of N successive frames of a structural observable, with values xt and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which we refer to as the blocked standard error. It rises with n and levels off once a block is longer than the correlation time of the observable, and that plateau is the standard error of the mean with correlation between frames accounted for. Writing SEM(1) = s/√N for the naive estimate that assumes independent frames, with s the sample standard deviation, the ratio [SEM(n)/SEM(1)]² gives the number of frames per independent sample and Neff = N divided by that ratio.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t>erefore</w:t>
      </w:r>
      <w:r w:rsidR="00F75255">
        <w:t>,</w:t>
      </w:r>
      <w:r>
        <w:t xml:space="preserve"> outside </w:t>
      </w:r>
      <w:r w:rsidR="00F75255">
        <w:t>the scope of our measurements</w:t>
      </w:r>
      <w: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lastRenderedPageBreak/>
        <w:t xml:space="preserve">between the two states was larger than in wild type for all three genotypes whose ΔΔGbind misses the phenotype (Supplementary Section 7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Section 4 and Supplementary Table 6).</w:t>
      </w:r>
    </w:p>
    <w:p w14:paraId="47A8C5D0"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