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ddG_bind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in one G190E apo replicate the measured volume expands after roughly 20 ns. We traced this to the reconstruction of periodic images for a chain-broken topology rather than to a conformational event. RT's disordered loops leave each chain as several bonded fragments, which image independently and scatter across the box, while the simulation's potential energy stays flat to within 0.5 percent across the whole run. Those frames are excluded, and the matched 10 ns window precedes them. On the reviewer's first request, independent starting poses, we have not run new simulations; our replicates differ only by a 0.1 angstrom coordinate perturbation and we state that limitation plainly in the Discussion rather than describing them as independent.</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color w:val="FF0000"/>
        </w:rPr>
        <w:t xml:space="preserve">All three are now done. The mutation map places every substituted position on the p66 structure, projected onto the plane that best spreads the NNIBP-lining residues so the pocket is seen face-on, with a companion panel giving each position's minimum heavy-atom distance to DOR. That second panel carries a result we had not previously stated: ten of the twelve substituted positions lie within 4.2 angstroms of DOR, and only two do not, M230L at 6.9 and A98G at 8.2. Those are the positions in two of the three genotypes where ddG_bind misses the phenotype, so the argument that these act through the protein rather than on the ligand is now quantitative. The WT-referenced heatmap expresses each Table 3 metric as a deviation from wild type in units of the pooled replicate standard error, which puts metrics in angstroms, counts, degrees and cubic angstroms on one comparable scale; it makes the groupings immediate, with all four V106A genotypes sharing the Ser105 approach, all four K103N genotypes sharing the side-chain signature, and G190A pale across every metric. On the protein-level observables, we have added per-residue Ca RMSF and three-state secondary structure, both WT-referenced. The outcome is a negative result that we think strengthens the paper rather than weakening it: regional RMSF changes reach at most 0.25 angstroms, in the primer grip and the beta9-beta10 sheet for Y181C and G190S, and secondary structure is essentially unchanged throughout, the largest shift being G190E losing 0.08 of strand character at the NNIBP lining. No genotype remodels the fold in the bound state, so the differences in Table 3 are local to the DOR interface rather than consequences of broader conformational change, which is precisely the distinction the reviewer asked us to be able to draw.</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color w:val="FF0000"/>
        </w:rPr>
        <w:t xml:space="preserve">Both are now in hand, and the confidence intervals change what we claim. Treating the replicate as the unit of replication, since frames within a replicate are autocorrelated and pooling them would assert a precision the data does not have, we computed Welch intervals and Hedges' g for the comparisons the reviewer named along with WT references. Of 42 comparisons, 7 have a 95 percent interval excluding zero, and they are the manuscript's load-bearing claims: V106A against V106I on the DOR-Ser105 distance, +1.85 angstroms [1.25, 2.45], g = 8.5; WT against V106A on the same metric, -1.35 [-1.73, -0.97], g = -9.5; G190A against G190E on NNIBP volume, +51.0 cubic angstroms [39.5, 62.5], g = 9.6; and WT against Y188L on chlorocyanophenyl burial, -5.8 [-11.5, -0.1]. Equally important, the V106A against V106M contrast the reviewer specifically named survives on no metric, and for G190A against G190E only the pocket volume does. We have tempered the Discussion accordingly rather than leaving those comparisons stated as though they were established. On the torsion analysis, all four rotatable DOR dihedrals were computed across every replicate using circular statistics. The width rather than the mean carries the signal: tau4 broadens most in G190S (+13.0 degrees) and G190E (+5.2), and tau2 broadens across the V106 family, by +8.1 degrees in V106A+F227L, +7.9 in V106M, +4.8 in V106I and +4.6 in V106A+P225H, which is consistent with the chlorocyanophenyl ring repacking as DOR slides toward Ser105. The K103N-containing and F227C genotypes are flat to within a degree of WT. These are intramolecular coordinates, so unlike contact counts they are unaffected by periodic imaging, which makes them the cleanest available evidence that the ligand's internal conformation changes in the V106 and G190 families and not elsewhere.</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ddE_Total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ddE_Total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ddE_Total and its components, and we now say so in the manuscript rather than presenting the minimised values as protocol-independent. We would add two things in defence of the choice. First, it is the established practice for end-point methods, with the precedent cited in our response to part (a); the review we already cite notes that minimised structures often perform as well as or better than MD snapshots, and that unrealistic structures sometimes have to be filtered away -- full minimisation relaxes them instead of discarding frames. Second, and more important for the paper's conclusions, this affects only the MM/GBSA column. ddG_bind, the quantity that corresponds to binding and carries the main claim, is computed by alchemical free energy perturbation and does not involve snapshot minimisation at all.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