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9AA3E7" w14:textId="45AFF22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586D29F5" w14:textId="1F3B3A40"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15C4AC9D" w14:textId="52F04A2F"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 xml:space="preserve">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6032F443" w14:textId="77777777" w:rsidR="00DE7C44" w:rsidRDefault="00DE7C44">
      <w:pPr>
        <w:rPr>
          <w:rFonts w:ascii="Times New Roman" w:hAnsi="Times New Roman" w:cs="Times New Roman"/>
          <w:sz w:val="20"/>
          <w:szCs w:val="20"/>
        </w:rPr>
      </w:pPr>
    </w:p>
    <w:p w14:paraId="0DAF385D" w14:textId="77777777" w:rsidR="00DE7C44" w:rsidRDefault="00DE7C44">
      <w:pPr>
        <w:rPr>
          <w:rFonts w:ascii="Times New Roman" w:hAnsi="Times New Roman" w:cs="Times New Roman"/>
          <w:sz w:val="20"/>
          <w:szCs w:val="20"/>
        </w:rPr>
      </w:pPr>
    </w:p>
    <w:p w14:paraId="4D36F01D" w14:textId="77777777" w:rsidR="00DE7C44" w:rsidRDefault="00DE7C44">
      <w:pPr>
        <w:rPr>
          <w:rFonts w:ascii="Times New Roman" w:hAnsi="Times New Roman" w:cs="Times New Roman"/>
          <w:sz w:val="20"/>
          <w:szCs w:val="20"/>
        </w:rPr>
      </w:pPr>
    </w:p>
    <w:p w14:paraId="3B0DA616" w14:textId="77777777" w:rsidR="00DE7C44" w:rsidRDefault="00DE7C44">
      <w:pPr>
        <w:rPr>
          <w:rFonts w:ascii="Times New Roman" w:hAnsi="Times New Roman" w:cs="Times New Roman"/>
          <w:sz w:val="20"/>
          <w:szCs w:val="20"/>
        </w:rPr>
      </w:pPr>
    </w:p>
    <w:p w14:paraId="1E272293" w14:textId="77777777" w:rsidR="00DE7C44" w:rsidRDefault="00DE7C44">
      <w:pPr>
        <w:rPr>
          <w:rFonts w:ascii="Times New Roman" w:hAnsi="Times New Roman" w:cs="Times New Roman"/>
          <w:sz w:val="20"/>
          <w:szCs w:val="20"/>
        </w:rPr>
      </w:pPr>
    </w:p>
    <w:p w14:paraId="0F2FF6E9" w14:textId="77777777" w:rsidR="00DE7C44" w:rsidRDefault="00DE7C44">
      <w:pPr>
        <w:rPr>
          <w:rFonts w:ascii="Times New Roman" w:hAnsi="Times New Roman" w:cs="Times New Roman"/>
          <w:sz w:val="20"/>
          <w:szCs w:val="20"/>
        </w:rPr>
      </w:pPr>
    </w:p>
    <w:p w14:paraId="6DCCEF46" w14:textId="77777777" w:rsidR="00DE7C44" w:rsidRDefault="00DE7C44">
      <w:pPr>
        <w:rPr>
          <w:rFonts w:ascii="Times New Roman" w:hAnsi="Times New Roman" w:cs="Times New Roman"/>
          <w:sz w:val="20"/>
          <w:szCs w:val="20"/>
        </w:rPr>
      </w:pPr>
    </w:p>
    <w:p w14:paraId="40A1FF1A" w14:textId="77777777" w:rsidR="00DE7C44" w:rsidRDefault="00DE7C44">
      <w:pPr>
        <w:rPr>
          <w:rFonts w:ascii="Times New Roman" w:hAnsi="Times New Roman" w:cs="Times New Roman"/>
          <w:sz w:val="20"/>
          <w:szCs w:val="20"/>
        </w:rPr>
      </w:pPr>
    </w:p>
    <w:p w14:paraId="052F4561" w14:textId="77777777" w:rsidR="00DE7C44" w:rsidRDefault="00DE7C44">
      <w:pPr>
        <w:rPr>
          <w:rFonts w:ascii="Times New Roman" w:hAnsi="Times New Roman" w:cs="Times New Roman"/>
          <w:sz w:val="20"/>
          <w:szCs w:val="20"/>
        </w:rPr>
      </w:pPr>
    </w:p>
    <w:p w14:paraId="6FCCF0A0" w14:textId="77777777" w:rsidR="00DE7C44" w:rsidRDefault="00DE7C44">
      <w:pPr>
        <w:rPr>
          <w:rFonts w:ascii="Times New Roman" w:hAnsi="Times New Roman" w:cs="Times New Roman"/>
          <w:sz w:val="20"/>
          <w:szCs w:val="20"/>
        </w:rPr>
      </w:pPr>
    </w:p>
    <w:p w14:paraId="1A9A0BC5" w14:textId="77777777" w:rsidR="00DE7C44" w:rsidRDefault="00DE7C44">
      <w:pPr>
        <w:rPr>
          <w:rFonts w:ascii="Times New Roman" w:hAnsi="Times New Roman" w:cs="Times New Roman"/>
          <w:sz w:val="20"/>
          <w:szCs w:val="20"/>
        </w:rPr>
      </w:pPr>
    </w:p>
    <w:p w14:paraId="13E38205" w14:textId="77777777" w:rsidR="00DE7C44" w:rsidRDefault="00DE7C44">
      <w:pPr>
        <w:rPr>
          <w:rFonts w:ascii="Times New Roman" w:hAnsi="Times New Roman" w:cs="Times New Roman"/>
          <w:sz w:val="20"/>
          <w:szCs w:val="20"/>
        </w:rPr>
      </w:pPr>
    </w:p>
    <w:p w14:paraId="010C8365" w14:textId="77777777" w:rsidR="00DE7C44" w:rsidRDefault="00DE7C44">
      <w:pPr>
        <w:rPr>
          <w:rFonts w:ascii="Times New Roman" w:hAnsi="Times New Roman" w:cs="Times New Roman"/>
          <w:sz w:val="20"/>
          <w:szCs w:val="20"/>
        </w:rPr>
      </w:pPr>
    </w:p>
    <w:p w14:paraId="63CE2D29" w14:textId="77777777" w:rsidR="00DE7C44" w:rsidRDefault="00DE7C44">
      <w:pPr>
        <w:rPr>
          <w:rFonts w:ascii="Times New Roman" w:hAnsi="Times New Roman" w:cs="Times New Roman"/>
          <w:sz w:val="20"/>
          <w:szCs w:val="20"/>
        </w:rPr>
      </w:pPr>
    </w:p>
    <w:p w14:paraId="6DFF6960" w14:textId="77777777" w:rsidR="00DE7C44" w:rsidRDefault="00DE7C44">
      <w:pPr>
        <w:rPr>
          <w:rFonts w:ascii="Times New Roman" w:hAnsi="Times New Roman" w:cs="Times New Roman"/>
          <w:sz w:val="20"/>
          <w:szCs w:val="20"/>
        </w:rPr>
      </w:pPr>
    </w:p>
    <w:p w14:paraId="46A41CF7" w14:textId="77777777" w:rsidR="00DE7C44" w:rsidRDefault="00DE7C44">
      <w:pPr>
        <w:rPr>
          <w:rFonts w:ascii="Times New Roman" w:hAnsi="Times New Roman" w:cs="Times New Roman"/>
          <w:sz w:val="20"/>
          <w:szCs w:val="20"/>
        </w:rPr>
      </w:pPr>
    </w:p>
    <w:p w14:paraId="66C7B562" w14:textId="77777777" w:rsidR="00DE7C44" w:rsidRDefault="00DE7C44">
      <w:pPr>
        <w:rPr>
          <w:rFonts w:ascii="Times New Roman" w:hAnsi="Times New Roman" w:cs="Times New Roman"/>
          <w:sz w:val="20"/>
          <w:szCs w:val="20"/>
        </w:rPr>
      </w:pPr>
    </w:p>
    <w:p w14:paraId="39331F1A" w14:textId="77777777" w:rsidR="00DE7C44" w:rsidRDefault="00DE7C44">
      <w:pPr>
        <w:rPr>
          <w:rFonts w:ascii="Times New Roman" w:hAnsi="Times New Roman" w:cs="Times New Roman"/>
          <w:sz w:val="20"/>
          <w:szCs w:val="20"/>
        </w:rPr>
      </w:pPr>
    </w:p>
    <w:p w14:paraId="3470BD7C" w14:textId="77777777" w:rsidR="00DE7C44" w:rsidRDefault="00DE7C44">
      <w:pPr>
        <w:rPr>
          <w:rFonts w:ascii="Times New Roman" w:hAnsi="Times New Roman" w:cs="Times New Roman"/>
          <w:sz w:val="20"/>
          <w:szCs w:val="20"/>
        </w:rPr>
      </w:pPr>
    </w:p>
    <w:p w14:paraId="0B572D00" w14:textId="77777777" w:rsidR="00DE7C44" w:rsidRDefault="00DE7C44">
      <w:pPr>
        <w:rPr>
          <w:rFonts w:ascii="Times New Roman" w:hAnsi="Times New Roman" w:cs="Times New Roman"/>
          <w:sz w:val="20"/>
          <w:szCs w:val="20"/>
        </w:rPr>
      </w:pPr>
    </w:p>
    <w:p w14:paraId="2B241186" w14:textId="77777777" w:rsidR="00DE7C44" w:rsidRDefault="00DE7C44">
      <w:pPr>
        <w:rPr>
          <w:rFonts w:ascii="Times New Roman" w:hAnsi="Times New Roman" w:cs="Times New Roman"/>
          <w:sz w:val="20"/>
          <w:szCs w:val="20"/>
        </w:rPr>
      </w:pPr>
    </w:p>
    <w:p w14:paraId="0689232B" w14:textId="77777777" w:rsidR="00DE7C44" w:rsidRDefault="00DE7C44">
      <w:pPr>
        <w:rPr>
          <w:rFonts w:ascii="Times New Roman" w:hAnsi="Times New Roman" w:cs="Times New Roman"/>
          <w:sz w:val="20"/>
          <w:szCs w:val="20"/>
        </w:rPr>
      </w:pPr>
    </w:p>
    <w:p w14:paraId="4490CD91" w14:textId="77777777" w:rsidR="00DE7C44" w:rsidRDefault="00DE7C44">
      <w:pPr>
        <w:rPr>
          <w:rFonts w:ascii="Times New Roman" w:hAnsi="Times New Roman" w:cs="Times New Roman"/>
          <w:sz w:val="20"/>
          <w:szCs w:val="20"/>
        </w:rPr>
      </w:pPr>
    </w:p>
    <w:p w14:paraId="486D55BB" w14:textId="77777777" w:rsidR="00DE7C44" w:rsidRDefault="00DE7C44">
      <w:pPr>
        <w:rPr>
          <w:rFonts w:ascii="Times New Roman" w:hAnsi="Times New Roman" w:cs="Times New Roman"/>
          <w:sz w:val="20"/>
          <w:szCs w:val="20"/>
        </w:rPr>
      </w:pPr>
    </w:p>
    <w:p w14:paraId="08383152" w14:textId="77777777" w:rsidR="00DE7C44" w:rsidRDefault="00DE7C44">
      <w:pPr>
        <w:rPr>
          <w:rFonts w:ascii="Times New Roman" w:hAnsi="Times New Roman" w:cs="Times New Roman"/>
          <w:sz w:val="20"/>
          <w:szCs w:val="20"/>
        </w:rPr>
      </w:pPr>
    </w:p>
    <w:p w14:paraId="25B71EE4" w14:textId="77777777" w:rsidR="00DE7C44" w:rsidRDefault="00DE7C44">
      <w:pPr>
        <w:rPr>
          <w:rFonts w:ascii="Times New Roman" w:hAnsi="Times New Roman" w:cs="Times New Roman"/>
          <w:sz w:val="20"/>
          <w:szCs w:val="20"/>
        </w:rPr>
      </w:pPr>
    </w:p>
    <w:p w14:paraId="2010F53C" w14:textId="77777777" w:rsidR="00DE7C44" w:rsidRDefault="00DE7C44">
      <w:pPr>
        <w:rPr>
          <w:rFonts w:ascii="Times New Roman" w:hAnsi="Times New Roman" w:cs="Times New Roman"/>
          <w:sz w:val="20"/>
          <w:szCs w:val="20"/>
        </w:rPr>
      </w:pPr>
    </w:p>
    <w:p w14:paraId="2969E258" w14:textId="77777777" w:rsidR="00DE7C44" w:rsidRDefault="00DE7C44">
      <w:pPr>
        <w:rPr>
          <w:rFonts w:ascii="Times New Roman" w:hAnsi="Times New Roman" w:cs="Times New Roman"/>
          <w:sz w:val="20"/>
          <w:szCs w:val="20"/>
        </w:rPr>
      </w:pPr>
    </w:p>
    <w:p w14:paraId="19AC8AA8" w14:textId="77777777" w:rsidR="00DE7C44" w:rsidRDefault="00DE7C44">
      <w:pPr>
        <w:rPr>
          <w:rFonts w:ascii="Times New Roman" w:hAnsi="Times New Roman" w:cs="Times New Roman"/>
          <w:sz w:val="20"/>
          <w:szCs w:val="20"/>
        </w:rPr>
      </w:pPr>
    </w:p>
    <w:p w14:paraId="1A3A6758" w14:textId="77777777" w:rsidR="00DE7C44" w:rsidRDefault="00DE7C44">
      <w:pPr>
        <w:rPr>
          <w:rFonts w:ascii="Times New Roman" w:hAnsi="Times New Roman" w:cs="Times New Roman"/>
          <w:sz w:val="20"/>
          <w:szCs w:val="20"/>
        </w:rPr>
      </w:pPr>
    </w:p>
    <w:p w14:paraId="5E95499D" w14:textId="77777777" w:rsidR="00DE7C44" w:rsidRDefault="00DE7C44">
      <w:pPr>
        <w:rPr>
          <w:rFonts w:ascii="Times New Roman" w:hAnsi="Times New Roman" w:cs="Times New Roman"/>
          <w:sz w:val="20"/>
          <w:szCs w:val="20"/>
        </w:rPr>
      </w:pPr>
    </w:p>
    <w:p w14:paraId="5241A227" w14:textId="48EF52F4"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78A1126C">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 xml:space="preserve">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DE5C884" w14:textId="77777777" w:rsidR="00357877" w:rsidRDefault="00357877">
      <w:pPr>
        <w:rPr>
          <w:rFonts w:ascii="Times New Roman" w:hAnsi="Times New Roman" w:cs="Times New Roman"/>
          <w:sz w:val="20"/>
          <w:szCs w:val="20"/>
        </w:rPr>
      </w:pPr>
    </w:p>
    <w:p w14:paraId="188230D3" w14:textId="77777777" w:rsidR="002C069F" w:rsidRDefault="002C069F">
      <w:pPr>
        <w:rPr>
          <w:rFonts w:ascii="Times New Roman" w:hAnsi="Times New Roman" w:cs="Times New Roman"/>
          <w:sz w:val="20"/>
          <w:szCs w:val="20"/>
        </w:rPr>
      </w:pPr>
    </w:p>
    <w:p>
      <w:pPr>
        <w:spacing w:after="200"/>
      </w:pPr>
      <w:r>
        <w:rPr>
          <w:b/>
          <w:color w:val="FF0000"/>
        </w:rPr>
        <w:t xml:space="preserve">Additions for Revision 1 (placeholders)</w:t>
      </w:r>
    </w:p>
    <w:p>
      <w:pPr>
        <w:spacing w:after="200"/>
      </w:pPr>
      <w:r>
        <w:rPr>
          <w:color w:val="FF0000"/>
        </w:rPr>
        <w:t xml:space="preserve">The sections below are referenced from the revised manuscript and are to be completed once the corresponding analyses finish. They are listed here so that every forward reference in the manuscript has a destination.</w:t>
      </w:r>
    </w:p>
    <w:p>
      <w:pPr>
        <w:spacing w:after="200"/>
      </w:pPr>
      <w:r>
        <w:rPr>
          <w:color w:val="FF0000"/>
        </w:rPr>
        <w:t xml:space="preserve">Supplementary Table 5. Sensitivity of MM/GBSA energies to the snapshot relaxation protocol. ΔΔETotal and each component for a subset of genotypes, computed under single-point evaluation (no relaxation), hydrogen-only relaxation with heavy atoms restrained, and the unrestrained full minimization used in the main text. Addresses Reviewer 3, comment 3(b).</w:t>
      </w:r>
    </w:p>
    <w:p>
      <w:pPr>
        <w:spacing w:after="200"/>
      </w:pPr>
      <w:r>
        <w:rPr>
          <w:color w:val="FF0000"/>
        </w:rP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200"/>
      </w:pPr>
      <w:r>
        <w:rPr>
          <w:color w:val="FF0000"/>
        </w:rPr>
        <w:t xml:space="preserve">Supplementary Note 2. Effect of the ligand charge model. MM/GBSA energies recomputed with AM1-BCC partial charges for a subset of genotypes, compared against the Gasteiger values reported in the main text. Addresses Reviewer 2, comment 5.</w:t>
      </w:r>
    </w:p>
    <w:p>
      <w:pPr>
        <w:spacing w:after="200"/>
      </w:pPr>
      <w:r>
        <w:rPr>
          <w:color w:val="FF0000"/>
        </w:rPr>
        <w:t xml:space="preserve">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spacing w:after="200"/>
      </w:pPr>
      <w:r>
        <w:rPr>
          <w:color w:val="FF0000"/>
        </w:rPr>
        <w:t xml:space="preserve">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spacing w:after="200"/>
      </w:pPr>
      <w:r>
        <w:rPr>
          <w:color w:val="FF0000"/>
        </w:rPr>
        <w:t xml:space="preserve">Supplementary Figure 5. Apo and holo NNIBP volume distributions. Per-frame pocket volume for the bound state over full production, and for the unliganded state over a matched 10 ns window, since the wild-type apo trajectories are 10 ns and serve as the reference. The unliganded pocket is substantially collapsed relative to the bound state, and the difference between the two medians — the conformational change DOR must pay for — is larger than wild type (129 Å³) for all three genotypes whose ΔΔGbind misses the phenotype: G190E (253 Å³), V106I+F227C and A98G+F227C (172 Å³ each) and K103N+M230L (163 Å³). In one G190E apo replicate the measured volume expands after roughly 20 ns. This is an artifact of reconstructing periodic images for a chain-broken topology rather than a conformational event: RT's disordered loops leave each chain as several bonded fragments, which image independently and scatter across the box, while the simulation's potential energy stays flat to within 0.5% for the whole run. Those frames are excluded from interpretation; the matched 10 ns window precedes them and is unaffected.</w:t>
      </w:r>
    </w:p>
    <w:sectPr w:rsidR="002C06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66E86"/>
    <w:rsid w:val="00201571"/>
    <w:rsid w:val="002812FE"/>
    <w:rsid w:val="002C069F"/>
    <w:rsid w:val="003271CC"/>
    <w:rsid w:val="00344758"/>
    <w:rsid w:val="00357877"/>
    <w:rsid w:val="003E3F5B"/>
    <w:rsid w:val="00447195"/>
    <w:rsid w:val="004B4122"/>
    <w:rsid w:val="004F1873"/>
    <w:rsid w:val="004F5449"/>
    <w:rsid w:val="00556141"/>
    <w:rsid w:val="005A1526"/>
    <w:rsid w:val="005A57D3"/>
    <w:rsid w:val="00624DE4"/>
    <w:rsid w:val="006C78C4"/>
    <w:rsid w:val="00732041"/>
    <w:rsid w:val="008C3960"/>
    <w:rsid w:val="00A00505"/>
    <w:rsid w:val="00A862E5"/>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3241"/>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19</cp:revision>
  <dcterms:created xsi:type="dcterms:W3CDTF">2026-05-20T18:21:00Z</dcterms:created>
  <dcterms:modified xsi:type="dcterms:W3CDTF">2026-09-02T03:41:00Z</dcterms:modified>
</cp:coreProperties>
</file>