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(k</w:t>
      </w:r>
      <w:r w:rsidR="002E0084" w:rsidRPr="002E0084">
        <w:rPr>
          <w:vertAlign w:val="subscript"/>
        </w:rPr>
        <w:t>B</w:t>
      </w:r>
      <w:r w:rsidR="002E0084">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lastRenderedPageBreak/>
        <w:t xml:space="preserve">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under single-point evaluation and under hydrogen-only relaxation with heavy atoms restrained (Supplementary Note 4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t>(Supplementary Note 1)</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w:t>
      </w:r>
      <w:r w:rsidR="007C4C4D">
        <w:t>minus</w:t>
      </w:r>
      <w:r>
        <w:t xml:space="preserve"> its standard error over replicates, exceeded +0.5 kcal/mol, approximately k</w:t>
      </w:r>
      <w:r w:rsidRPr="007C4C4D">
        <w:rPr>
          <w:vertAlign w:val="subscript"/>
        </w:rPr>
        <w:t>B</w:t>
      </w:r>
      <w: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and the statistical inefficiency is g(n) = [SEM(n) / SEM(1)]², where SEM(1) = s/√N is the naive estimate that assumes independent frames and s is the sample standard deviation. The effective number of independent samples is Neff = N/g.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t>erefore</w:t>
      </w:r>
      <w:r w:rsidR="00F75255">
        <w:t>,</w:t>
      </w:r>
      <w:r>
        <w:t xml:space="preserve"> outside </w:t>
      </w:r>
      <w:r w:rsidR="00F75255">
        <w:t>the scope of our measurements</w:t>
      </w:r>
      <w: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lastRenderedPageBreak/>
        <w:t xml:space="preserve">between the two states was larger than in wild type for all three genotypes whose ΔΔGbind misses the phenotype (Supplementary Note 3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