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jc w:val="center"/>
      </w:pPr>
      <w:r>
        <w:rPr/>
        <w:t xml:space="preserve">Supporting Information</w:t>
      </w:r>
    </w:p>
    <w:p>
      <w:pPr>
        <w:jc w:val="center"/>
      </w:pPr>
      <w:r>
        <w:rPr>
          <w:b/>
          <w:sz w:val="28"/>
          <w:szCs w:val="28"/>
        </w:rPr>
        <w:t xml:space="preserve">Molecular Simulation of Doravirine Resistance in HIV-1 Reverse Transcriptase</w:t>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pPr>
        <w:pStyle w:val="Heading1"/>
      </w:pPr>
      <w:r>
        <w:rPr/>
        <w:t xml:space="preserve">Contents</w:t>
      </w:r>
    </w:p>
    <w:p>
      <w:pPr>
        <w:pStyle w:val="Heading1"/>
      </w:pPr>
      <w:r>
        <w:rPr>
          <w:color w:val="FF0000"/>
        </w:rPr>
        <w:t xml:space="preserve">1  Finite-size corrections for the charge-changing alchemical legs</w:t>
      </w:r>
    </w:p>
    <w:p>
      <w:pPr>
        <w:pStyle w:val="Heading1"/>
      </w:pPr>
      <w:r>
        <w:rPr>
          <w:color w:val="FF0000"/>
        </w:rPr>
        <w:t xml:space="preserve">2  Sensitivity of the MM/GBSA energies to the ligand charge model</w:t>
      </w:r>
    </w:p>
    <w:p>
      <w:pPr>
        <w:pStyle w:val="Heading1"/>
      </w:pPr>
      <w:r>
        <w:rPr>
          <w:color w:val="FF0000"/>
        </w:rPr>
        <w:t xml:space="preserve">3  Sensitivity of the MM/GBSA energies to the snapshot relaxation protocol</w:t>
      </w:r>
    </w:p>
    <w:p>
      <w:pPr>
        <w:pStyle w:val="Heading1"/>
      </w:pPr>
      <w:r>
        <w:rPr>
          <w:color w:val="FF0000"/>
        </w:rPr>
        <w:t xml:space="preserve">4  Conformation of the unliganded binding pocket</w:t>
      </w:r>
    </w:p>
    <w:p>
      <w:pPr>
        <w:pStyle w:val="Heading1"/>
      </w:pPr>
      <w:r>
        <w:rPr>
          <w:color w:val="FF0000"/>
        </w:rPr>
        <w:t xml:space="preserve">5  Supplementary Figures</w:t>
      </w:r>
    </w:p>
    <w:p>
      <w:pPr>
        <w:spacing w:after="80"/>
      </w:pPr>
      <w:r>
        <w:t xml:space="preserve">1   Finite-size corrections for the charge-changing alchemical legs</w:t>
      </w:r>
    </w:p>
    <w:p w14:paraId="2B462F55" w14:textId="77777777" w:rsidR="00AC700D" w:rsidRDefault="00000000">
      <w:pPr>
        <w:spacing w:after="200"/>
      </w:pPr>
      <w:r>
        <w:rPr>
          <w:color w:val="FF0000"/>
        </w:rP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80"/>
      </w:pPr>
      <w:r>
        <w:t xml:space="preserve">2   Sensitivity of the MM/GBSA energies to the ligand charge model</w:t>
      </w:r>
    </w:p>
    <w:p w14:paraId="3E92A1C7" w14:textId="77777777" w:rsidR="00AC700D" w:rsidRDefault="00000000">
      <w:pPr>
        <w:spacing w:after="200"/>
      </w:pPr>
      <w:r>
        <w:rPr>
          <w:color w:val="FF0000"/>
        </w:rP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pPr>
        <w:spacing w:after="80"/>
      </w:pPr>
      <w:r>
        <w:t xml:space="preserve">3   Sensitivity of the MM/GBSA energies to the snapshot relaxation protocol</w:t>
      </w:r>
    </w:p>
    <w:p w14:paraId="419C7BCD" w14:textId="77777777" w:rsidR="00AC700D" w:rsidRDefault="00000000">
      <w:pPr>
        <w:spacing w:after="200"/>
      </w:pPr>
      <w:r>
        <w:rPr>
          <w:color w:val="FF0000"/>
        </w:rP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pPr>
        <w:spacing w:after="80"/>
      </w:pPr>
      <w:r>
        <w:t xml:space="preserve">4   Conformation of the unliganded binding pocket</w:t>
      </w:r>
    </w:p>
    <w:p w14:paraId="234EB0A8" w14:textId="77777777" w:rsidR="00AC700D" w:rsidRDefault="00000000">
      <w:pPr>
        <w:spacing w:after="200"/>
      </w:pPr>
      <w:r>
        <w:rPr>
          <w:color w:val="FF0000"/>
        </w:rP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rPr>
          <w:color w:val="FF0000"/>
        </w:rP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p>
      <w:pPr>
        <w:spacing w:after="80"/>
      </w:pPr>
      <w:r>
        <w:t xml:space="preserve">5   Supplementary Figures</w:t>
      </w:r>
    </w:p>
    <w:p>
      <w:pPr>
        <w:jc w:val="center"/>
      </w:pPr>
      <w:r>
        <w:drawing>
          <wp:inline xmlns:wp="http://schemas.openxmlformats.org/drawingml/2006/wordprocessingDrawing" distT="0" distB="0" distL="0" distR="0">
            <wp:extent cx="5943600" cy="5979661"/>
            <wp:docPr id="914" name="suppfig1b"/>
            <a:graphic xmlns:a="http://schemas.openxmlformats.org/drawingml/2006/main">
              <a:graphicData uri="http://schemas.openxmlformats.org/drawingml/2006/picture">
                <pic:pic xmlns:pic="http://schemas.openxmlformats.org/drawingml/2006/picture">
                  <pic:nvPicPr>
                    <pic:cNvPr id="914" name="suppfig1b"/>
                    <pic:cNvPicPr/>
                  </pic:nvPicPr>
                  <pic:blipFill>
                    <a:blip xmlns:r="http://schemas.openxmlformats.org/officeDocument/2006/relationships" r:embed="rId14"/>
                    <a:stretch>
                      <a:fillRect/>
                    </a:stretch>
                  </pic:blipFill>
                  <pic:spPr>
                    <a:xfrm>
                      <a:off x="0" y="0"/>
                      <a:ext cx="5943600" cy="5979661"/>
                    </a:xfrm>
                    <a:prstGeom prst="rect">
                      <a:avLst/>
                    </a:prstGeom>
                  </pic:spPr>
                </pic:pic>
              </a:graphicData>
            </a:graphic>
          </wp:inline>
        </w:drawing>
      </w:r>
    </w:p>
    <w:p>
      <w:pPr>
        <w:pStyle w:val="Heading1"/>
      </w:pPr>
      <w:r>
        <w:rPr>
          <w:color w:val="FF0000"/>
        </w:rPr>
        <w:t xml:space="preserve">Supplementary Figure 1. DOR Root Mean Squared Deviation (RMSD) and distance between centers of mass (COM) of DOR and RT indicate 100ns runtime is sufficient for DOR-RT interactions to stabilize. (A) Each solid line provides the average RMSD of the DOR heavy atoms vs the minimized structure within the NNIBP (at t =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(C, D) Normalised autocorrelation functions of the quantities in (A) and (B), computed for each replicate and averaged within each genotype, with the shaded region the SEM across replicates. (E, F) Blocked standard error of the same two quantities against block length. This is the standard error of the mean implied by blocks of that length, and the value at which it levels off is the standard error once correlation between successive frames is accounted for. DOR RMSD decorrelates within about 5 ns and its blocked error is nearly flat beyond 10 ns, so the ligand pose is well sampled over 100 ns; the COM distance decorrelates over roughly 20 ns and its blocked error is still rising at 50 ns. Block lengths are converted to a frame count separately for each replicate and block means are pooled across the three replicates, so the longest block shown, 50 ns, rests on six blocks. Definitions are given in Methods.</w:t>
      </w: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pPr>
        <w:jc w:val="center"/>
      </w:pPr>
      <w:r>
        <w:drawing>
          <wp:inline xmlns:wp="http://schemas.openxmlformats.org/drawingml/2006/wordprocessingDrawing" distT="0" distB="0" distL="0" distR="0">
            <wp:extent cx="5943600" cy="2371352"/>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2371352"/>
                    </a:xfrm>
                    <a:prstGeom prst="rect">
                      <a:avLst/>
                    </a:prstGeom>
                  </pic:spPr>
                </pic:pic>
              </a:graphicData>
            </a:graphic>
          </wp:inline>
        </w:drawing>
      </w:r>
    </w:p>
    <w:p w14:paraId="51B21422" w14:textId="77777777" w:rsidR="00AC700D" w:rsidRDefault="00000000">
      <w:pPr>
        <w:spacing w:after="200"/>
      </w:pPr>
      <w:r>
        <w:rPr>
          <w:color w:val="FF0000"/>
        </w:rPr>
        <w:lastRenderedPageBreak/>
        <w:t>Supplementary Figure 3.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rPr>
          <w:color w:val="FF0000"/>
        </w:rPr>
        <w:t>Supplementary Figure 4.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 Id="rId13" Type="http://schemas.openxmlformats.org/officeDocument/2006/relationships/image" Target="media/suppfig1.png"/><Relationship Id="rId14" Type="http://schemas.openxmlformats.org/officeDocument/2006/relationships/image" Target="media/suppfig1b.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