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BF5" w14:textId="34461E29" w:rsidR="00936881" w:rsidRDefault="008D424E">
      <w:pPr>
        <w:rPr>
          <w:rFonts w:ascii="Times New Roman" w:hAnsi="Times New Roman" w:cs="Times New Roman"/>
          <w:b/>
          <w:bCs/>
          <w:sz w:val="28"/>
          <w:szCs w:val="28"/>
        </w:rPr>
      </w:pPr>
      <w:r>
        <w:rPr>
          <w:rFonts w:ascii="Times New Roman" w:hAnsi="Times New Roman" w:cs="Times New Roman"/>
          <w:b/>
          <w:bCs/>
          <w:sz w:val="28"/>
          <w:szCs w:val="28"/>
        </w:rPr>
        <w:t xml:space="preserve">Probing </w:t>
      </w:r>
      <w:r w:rsidR="00936881">
        <w:rPr>
          <w:rFonts w:ascii="Times New Roman" w:hAnsi="Times New Roman" w:cs="Times New Roman"/>
          <w:b/>
          <w:bCs/>
          <w:sz w:val="28"/>
          <w:szCs w:val="28"/>
        </w:rPr>
        <w:t xml:space="preserve">Doravirine Resistance Mechanisms in HIV-1 Reverse Transcriptase </w:t>
      </w:r>
      <w:r w:rsidR="002902D1">
        <w:rPr>
          <w:rFonts w:ascii="Times New Roman" w:hAnsi="Times New Roman" w:cs="Times New Roman"/>
          <w:b/>
          <w:bCs/>
          <w:sz w:val="28"/>
          <w:szCs w:val="28"/>
        </w:rPr>
        <w:t>Using</w:t>
      </w:r>
      <w:r w:rsidR="00936881">
        <w:rPr>
          <w:rFonts w:ascii="Times New Roman" w:hAnsi="Times New Roman" w:cs="Times New Roman"/>
          <w:b/>
          <w:bCs/>
          <w:sz w:val="28"/>
          <w:szCs w:val="28"/>
        </w:rPr>
        <w:t xml:space="preserve"> Molecular Dynamics Simulations</w:t>
      </w:r>
    </w:p>
    <w:p w14:paraId="50F2D74E" w14:textId="77777777" w:rsidR="00936881" w:rsidRDefault="00936881">
      <w:pPr>
        <w:rPr>
          <w:rFonts w:ascii="Times New Roman" w:hAnsi="Times New Roman" w:cs="Times New Roman"/>
          <w:b/>
          <w:bCs/>
          <w:sz w:val="28"/>
          <w:szCs w:val="28"/>
        </w:rPr>
      </w:pPr>
    </w:p>
    <w:p w14:paraId="59918D7D" w14:textId="0E6FCC53" w:rsidR="00936881" w:rsidRDefault="00936881">
      <w:pPr>
        <w:rPr>
          <w:rFonts w:ascii="Times New Roman" w:hAnsi="Times New Roman" w:cs="Times New Roman"/>
          <w:b/>
          <w:bCs/>
          <w:sz w:val="28"/>
          <w:szCs w:val="28"/>
        </w:rPr>
      </w:pPr>
      <w:r>
        <w:rPr>
          <w:rFonts w:ascii="Times New Roman" w:hAnsi="Times New Roman" w:cs="Times New Roman"/>
          <w:b/>
          <w:bCs/>
          <w:sz w:val="28"/>
          <w:szCs w:val="28"/>
        </w:rPr>
        <w:t>Abstract</w:t>
      </w:r>
    </w:p>
    <w:p w14:paraId="3FFBCAC2" w14:textId="317256C9" w:rsidR="00936881" w:rsidRDefault="00936881">
      <w:pPr>
        <w:rPr>
          <w:rFonts w:ascii="Times New Roman" w:hAnsi="Times New Roman" w:cs="Times New Roman"/>
          <w:szCs w:val="24"/>
        </w:rPr>
      </w:pPr>
      <w:r w:rsidRPr="00936881">
        <w:rPr>
          <w:rFonts w:ascii="Times New Roman" w:hAnsi="Times New Roman" w:cs="Times New Roman"/>
          <w:szCs w:val="24"/>
        </w:rPr>
        <w:t xml:space="preserve">Doravirine (DOR) is a next-generation Non-Nucleotide Reverse Transcriptase Inhibitor (NNRTI) with durable clinical activity and a unique resistance profile, but publicly available phenotypic susceptibility data for DOR-associated resistance mutations remains limited. Here, we performed all-atom explicit-solvent molecular dynamics (MD) simulations of </w:t>
      </w:r>
      <w:r w:rsidR="00CC5E6F">
        <w:rPr>
          <w:rFonts w:ascii="Times New Roman" w:hAnsi="Times New Roman" w:cs="Times New Roman"/>
          <w:szCs w:val="24"/>
        </w:rPr>
        <w:t xml:space="preserve">DOR-bound </w:t>
      </w:r>
      <w:r w:rsidRPr="00936881">
        <w:rPr>
          <w:rFonts w:ascii="Times New Roman" w:hAnsi="Times New Roman" w:cs="Times New Roman"/>
          <w:szCs w:val="24"/>
        </w:rPr>
        <w:t xml:space="preserve">wild-type (WT) HIV-1 reverse transcriptase (RT) and 18 mutant genotypes </w:t>
      </w:r>
      <w:r w:rsidR="00276BFB">
        <w:rPr>
          <w:rFonts w:ascii="Times New Roman" w:hAnsi="Times New Roman" w:cs="Times New Roman"/>
          <w:szCs w:val="24"/>
        </w:rPr>
        <w:t xml:space="preserve">in an attempt </w:t>
      </w:r>
      <w:r w:rsidRPr="00936881">
        <w:rPr>
          <w:rFonts w:ascii="Times New Roman" w:hAnsi="Times New Roman" w:cs="Times New Roman"/>
          <w:szCs w:val="24"/>
        </w:rPr>
        <w:t>to fill this gap.</w:t>
      </w:r>
      <w:r>
        <w:rPr>
          <w:rFonts w:ascii="Times New Roman" w:hAnsi="Times New Roman" w:cs="Times New Roman"/>
          <w:szCs w:val="24"/>
        </w:rPr>
        <w:t xml:space="preserve"> </w:t>
      </w:r>
      <w:r w:rsidRPr="00936881">
        <w:rPr>
          <w:rFonts w:ascii="Times New Roman" w:hAnsi="Times New Roman" w:cs="Times New Roman"/>
          <w:szCs w:val="24"/>
        </w:rPr>
        <w:t>We observed that the relative RT-DOR binding energy</w:t>
      </w:r>
      <w:r w:rsidR="00B11FD5">
        <w:rPr>
          <w:rFonts w:ascii="Times New Roman" w:hAnsi="Times New Roman" w:cs="Times New Roman"/>
          <w:szCs w:val="24"/>
        </w:rPr>
        <w:t xml:space="preserve"> </w:t>
      </w:r>
      <w:r w:rsidR="0069357F">
        <w:rPr>
          <w:rFonts w:ascii="Times New Roman" w:hAnsi="Times New Roman" w:cs="Times New Roman"/>
          <w:szCs w:val="24"/>
        </w:rPr>
        <w:t>or its individual components</w:t>
      </w:r>
      <w:r w:rsidRPr="00936881">
        <w:rPr>
          <w:rFonts w:ascii="Times New Roman" w:hAnsi="Times New Roman" w:cs="Times New Roman"/>
          <w:szCs w:val="24"/>
        </w:rPr>
        <w:t xml:space="preserve">, computed from </w:t>
      </w:r>
      <w:r w:rsidR="009D5DAB">
        <w:rPr>
          <w:rFonts w:ascii="Times New Roman" w:hAnsi="Times New Roman" w:cs="Times New Roman"/>
          <w:szCs w:val="24"/>
        </w:rPr>
        <w:t>these</w:t>
      </w:r>
      <w:r w:rsidRPr="00936881">
        <w:rPr>
          <w:rFonts w:ascii="Times New Roman" w:hAnsi="Times New Roman" w:cs="Times New Roman"/>
          <w:szCs w:val="24"/>
        </w:rPr>
        <w:t xml:space="preserve"> simulations, </w:t>
      </w:r>
      <w:r w:rsidR="002902D1">
        <w:rPr>
          <w:rFonts w:ascii="Times New Roman" w:hAnsi="Times New Roman" w:cs="Times New Roman"/>
          <w:szCs w:val="24"/>
        </w:rPr>
        <w:t xml:space="preserve">generally </w:t>
      </w:r>
      <w:r w:rsidR="0069357F">
        <w:rPr>
          <w:rFonts w:ascii="Times New Roman" w:hAnsi="Times New Roman" w:cs="Times New Roman"/>
          <w:szCs w:val="24"/>
        </w:rPr>
        <w:t xml:space="preserve">do not correlate </w:t>
      </w:r>
      <w:r w:rsidRPr="00936881">
        <w:rPr>
          <w:rFonts w:ascii="Times New Roman" w:hAnsi="Times New Roman" w:cs="Times New Roman"/>
          <w:szCs w:val="24"/>
        </w:rPr>
        <w:t xml:space="preserve">with the available phenotypic DOR susceptibility changes </w:t>
      </w:r>
      <w:r w:rsidRPr="00936881">
        <w:rPr>
          <w:rFonts w:ascii="Times New Roman" w:hAnsi="Times New Roman" w:cs="Times New Roman"/>
          <w:i/>
          <w:iCs/>
          <w:szCs w:val="24"/>
        </w:rPr>
        <w:t>in vitro</w:t>
      </w:r>
      <w:r w:rsidRPr="00936881">
        <w:rPr>
          <w:rFonts w:ascii="Times New Roman" w:hAnsi="Times New Roman" w:cs="Times New Roman"/>
          <w:szCs w:val="24"/>
        </w:rPr>
        <w:t xml:space="preserve">. </w:t>
      </w:r>
      <w:r w:rsidR="0069357F">
        <w:rPr>
          <w:rFonts w:ascii="Times New Roman" w:hAnsi="Times New Roman" w:cs="Times New Roman"/>
          <w:szCs w:val="24"/>
        </w:rPr>
        <w:t>However</w:t>
      </w:r>
      <w:r w:rsidRPr="00936881">
        <w:rPr>
          <w:rFonts w:ascii="Times New Roman" w:hAnsi="Times New Roman" w:cs="Times New Roman"/>
          <w:szCs w:val="24"/>
        </w:rPr>
        <w:t xml:space="preserve">, local trajectory-level analyses identified mutation-specific structural </w:t>
      </w:r>
      <w:r w:rsidR="002902D1">
        <w:rPr>
          <w:rFonts w:ascii="Times New Roman" w:hAnsi="Times New Roman" w:cs="Times New Roman"/>
          <w:szCs w:val="24"/>
        </w:rPr>
        <w:t xml:space="preserve">changes </w:t>
      </w:r>
      <w:r w:rsidR="007E41BA">
        <w:rPr>
          <w:rFonts w:ascii="Times New Roman" w:hAnsi="Times New Roman" w:cs="Times New Roman"/>
          <w:szCs w:val="24"/>
        </w:rPr>
        <w:t>associated with</w:t>
      </w:r>
      <w:r w:rsidR="002902D1">
        <w:rPr>
          <w:rFonts w:ascii="Times New Roman" w:hAnsi="Times New Roman" w:cs="Times New Roman"/>
          <w:szCs w:val="24"/>
        </w:rPr>
        <w:t xml:space="preserve"> DOR resistance</w:t>
      </w:r>
      <w:r w:rsidR="00C427E7">
        <w:rPr>
          <w:rFonts w:ascii="Times New Roman" w:hAnsi="Times New Roman" w:cs="Times New Roman"/>
          <w:szCs w:val="24"/>
        </w:rPr>
        <w:t>. For example,</w:t>
      </w:r>
      <w:r w:rsidRPr="00936881">
        <w:rPr>
          <w:rFonts w:ascii="Times New Roman" w:hAnsi="Times New Roman" w:cs="Times New Roman"/>
          <w:szCs w:val="24"/>
        </w:rPr>
        <w:t xml:space="preserve"> </w:t>
      </w:r>
      <w:r w:rsidR="00277ED3">
        <w:rPr>
          <w:rFonts w:ascii="Times New Roman" w:hAnsi="Times New Roman" w:cs="Times New Roman"/>
          <w:szCs w:val="24"/>
        </w:rPr>
        <w:t xml:space="preserve">simulations with </w:t>
      </w:r>
      <w:r w:rsidRPr="00936881">
        <w:rPr>
          <w:rFonts w:ascii="Times New Roman" w:hAnsi="Times New Roman" w:cs="Times New Roman"/>
          <w:szCs w:val="24"/>
        </w:rPr>
        <w:t>V106A-containing genotypes</w:t>
      </w:r>
      <w:r w:rsidR="00277ED3">
        <w:rPr>
          <w:rFonts w:ascii="Times New Roman" w:hAnsi="Times New Roman" w:cs="Times New Roman"/>
          <w:szCs w:val="24"/>
        </w:rPr>
        <w:t xml:space="preserve"> consistently</w:t>
      </w:r>
      <w:r w:rsidRPr="00936881">
        <w:rPr>
          <w:rFonts w:ascii="Times New Roman" w:hAnsi="Times New Roman" w:cs="Times New Roman"/>
          <w:szCs w:val="24"/>
        </w:rPr>
        <w:t xml:space="preserve"> shift DOR toward the </w:t>
      </w:r>
      <w:r w:rsidR="00C76E0F">
        <w:rPr>
          <w:rFonts w:ascii="Times New Roman" w:hAnsi="Times New Roman" w:cs="Times New Roman"/>
          <w:szCs w:val="24"/>
        </w:rPr>
        <w:t>103-108 loop</w:t>
      </w:r>
      <w:r w:rsidRPr="00936881">
        <w:rPr>
          <w:rFonts w:ascii="Times New Roman" w:hAnsi="Times New Roman" w:cs="Times New Roman"/>
          <w:szCs w:val="24"/>
        </w:rPr>
        <w:t xml:space="preserve">, leading to compensatory interactions with Lys104 and Ser105; V106I+F227C </w:t>
      </w:r>
      <w:r w:rsidR="00277ED3">
        <w:rPr>
          <w:rFonts w:ascii="Times New Roman" w:hAnsi="Times New Roman" w:cs="Times New Roman"/>
          <w:szCs w:val="24"/>
        </w:rPr>
        <w:t xml:space="preserve">simulations </w:t>
      </w:r>
      <w:r w:rsidRPr="00936881">
        <w:rPr>
          <w:rFonts w:ascii="Times New Roman" w:hAnsi="Times New Roman" w:cs="Times New Roman"/>
          <w:szCs w:val="24"/>
        </w:rPr>
        <w:t xml:space="preserve">sample distinct DOR poses from V106A+F227L despite </w:t>
      </w:r>
      <w:r w:rsidR="003F74A7">
        <w:rPr>
          <w:rFonts w:ascii="Times New Roman" w:hAnsi="Times New Roman" w:cs="Times New Roman"/>
          <w:szCs w:val="24"/>
        </w:rPr>
        <w:t>mutations at the same positions and similar</w:t>
      </w:r>
      <w:r w:rsidRPr="00936881">
        <w:rPr>
          <w:rFonts w:ascii="Times New Roman" w:hAnsi="Times New Roman" w:cs="Times New Roman"/>
          <w:szCs w:val="24"/>
        </w:rPr>
        <w:t xml:space="preserve"> phenotypic resistance; and G190E perturbs the </w:t>
      </w:r>
      <w:r w:rsidR="00C76E0F">
        <w:rPr>
          <w:rFonts w:ascii="Times New Roman" w:hAnsi="Times New Roman" w:cs="Times New Roman"/>
          <w:szCs w:val="24"/>
        </w:rPr>
        <w:t>pocket entrance</w:t>
      </w:r>
      <w:r w:rsidRPr="00936881">
        <w:rPr>
          <w:rFonts w:ascii="Times New Roman" w:hAnsi="Times New Roman" w:cs="Times New Roman"/>
          <w:szCs w:val="24"/>
        </w:rPr>
        <w:t xml:space="preserve">, </w:t>
      </w:r>
      <w:r w:rsidR="00EE65AE">
        <w:rPr>
          <w:rFonts w:ascii="Times New Roman" w:hAnsi="Times New Roman" w:cs="Times New Roman"/>
          <w:szCs w:val="24"/>
        </w:rPr>
        <w:t>disrupting</w:t>
      </w:r>
      <w:r w:rsidRPr="00936881">
        <w:rPr>
          <w:rFonts w:ascii="Times New Roman" w:hAnsi="Times New Roman" w:cs="Times New Roman"/>
          <w:szCs w:val="24"/>
        </w:rPr>
        <w:t xml:space="preserve"> </w:t>
      </w:r>
      <w:r w:rsidR="00EE65AE">
        <w:rPr>
          <w:rFonts w:ascii="Times New Roman" w:hAnsi="Times New Roman" w:cs="Times New Roman"/>
          <w:szCs w:val="24"/>
        </w:rPr>
        <w:t xml:space="preserve">DOR </w:t>
      </w:r>
      <w:r w:rsidRPr="00936881">
        <w:rPr>
          <w:rFonts w:ascii="Times New Roman" w:hAnsi="Times New Roman" w:cs="Times New Roman"/>
          <w:szCs w:val="24"/>
        </w:rPr>
        <w:t xml:space="preserve">contact with Val179. A custom logistic regression model trained on </w:t>
      </w:r>
      <w:r w:rsidR="00AD031C">
        <w:rPr>
          <w:rFonts w:ascii="Times New Roman" w:hAnsi="Times New Roman" w:cs="Times New Roman"/>
          <w:szCs w:val="24"/>
        </w:rPr>
        <w:t xml:space="preserve">select </w:t>
      </w:r>
      <w:r w:rsidRPr="00936881">
        <w:rPr>
          <w:rFonts w:ascii="Times New Roman" w:hAnsi="Times New Roman" w:cs="Times New Roman"/>
          <w:szCs w:val="24"/>
        </w:rPr>
        <w:t xml:space="preserve">MD-derived structural features is able to segregate low- and high-resistance genotypes, producing probabilities that correlate well with </w:t>
      </w:r>
      <w:r w:rsidR="00230A01">
        <w:rPr>
          <w:rFonts w:ascii="Times New Roman" w:hAnsi="Times New Roman" w:cs="Times New Roman"/>
          <w:szCs w:val="24"/>
        </w:rPr>
        <w:t xml:space="preserve">the </w:t>
      </w:r>
      <w:r w:rsidRPr="00936881">
        <w:rPr>
          <w:rFonts w:ascii="Times New Roman" w:hAnsi="Times New Roman" w:cs="Times New Roman"/>
          <w:szCs w:val="24"/>
        </w:rPr>
        <w:t xml:space="preserve">available </w:t>
      </w:r>
      <w:r w:rsidRPr="00230A01">
        <w:rPr>
          <w:rFonts w:ascii="Times New Roman" w:hAnsi="Times New Roman" w:cs="Times New Roman"/>
          <w:i/>
          <w:iCs/>
          <w:szCs w:val="24"/>
        </w:rPr>
        <w:t>in vitro</w:t>
      </w:r>
      <w:r w:rsidRPr="00936881">
        <w:rPr>
          <w:rFonts w:ascii="Times New Roman" w:hAnsi="Times New Roman" w:cs="Times New Roman"/>
          <w:szCs w:val="24"/>
        </w:rPr>
        <w:t xml:space="preserve"> DOR susceptibility data. Together, these results support a structurally grounded framework for interpreting DOR resistance, </w:t>
      </w:r>
      <w:r w:rsidR="00230A01" w:rsidRPr="00230A01">
        <w:rPr>
          <w:rFonts w:ascii="Times New Roman" w:hAnsi="Times New Roman" w:cs="Times New Roman"/>
          <w:szCs w:val="24"/>
        </w:rPr>
        <w:t xml:space="preserve">estimating the risk of DOR use in people living with HIV who carry pre-existing NNRTI mutations, and </w:t>
      </w:r>
      <w:r w:rsidR="00276BFB">
        <w:rPr>
          <w:rFonts w:ascii="Times New Roman" w:hAnsi="Times New Roman" w:cs="Times New Roman"/>
          <w:szCs w:val="24"/>
        </w:rPr>
        <w:t xml:space="preserve">possibly </w:t>
      </w:r>
      <w:r w:rsidR="00230A01" w:rsidRPr="00230A01">
        <w:rPr>
          <w:rFonts w:ascii="Times New Roman" w:hAnsi="Times New Roman" w:cs="Times New Roman"/>
          <w:szCs w:val="24"/>
        </w:rPr>
        <w:t>informing the design of future NNRTIs.</w:t>
      </w:r>
    </w:p>
    <w:p w14:paraId="26E8043D" w14:textId="77777777" w:rsidR="00230A01" w:rsidRDefault="00230A01">
      <w:pPr>
        <w:rPr>
          <w:rFonts w:ascii="Times New Roman" w:hAnsi="Times New Roman" w:cs="Times New Roman"/>
          <w:szCs w:val="24"/>
        </w:rPr>
      </w:pPr>
    </w:p>
    <w:p w14:paraId="03DB355B" w14:textId="047CBC43" w:rsidR="00230A01" w:rsidRDefault="000366F8">
      <w:pPr>
        <w:rPr>
          <w:rFonts w:ascii="Times New Roman" w:hAnsi="Times New Roman" w:cs="Times New Roman"/>
          <w:b/>
          <w:bCs/>
          <w:sz w:val="28"/>
          <w:szCs w:val="28"/>
        </w:rPr>
      </w:pPr>
      <w:r>
        <w:rPr>
          <w:rFonts w:ascii="Times New Roman" w:hAnsi="Times New Roman" w:cs="Times New Roman"/>
          <w:b/>
          <w:bCs/>
          <w:sz w:val="28"/>
          <w:szCs w:val="28"/>
        </w:rPr>
        <w:t>Introduction</w:t>
      </w:r>
    </w:p>
    <w:p w14:paraId="306F88AC" w14:textId="3BF333A0" w:rsidR="000366F8" w:rsidRPr="002B5128" w:rsidRDefault="002B5128">
      <w:pPr>
        <w:rPr>
          <w:rFonts w:ascii="Times New Roman" w:hAnsi="Times New Roman" w:cs="Times New Roman"/>
          <w:i/>
          <w:iCs/>
          <w:sz w:val="28"/>
          <w:szCs w:val="28"/>
        </w:rPr>
      </w:pPr>
      <w:r w:rsidRPr="002B5128">
        <w:rPr>
          <w:rFonts w:ascii="Times New Roman" w:hAnsi="Times New Roman" w:cs="Times New Roman"/>
          <w:i/>
          <w:iCs/>
          <w:sz w:val="28"/>
          <w:szCs w:val="28"/>
        </w:rPr>
        <w:t>Work in Progress</w:t>
      </w:r>
    </w:p>
    <w:p w14:paraId="4992AB1A" w14:textId="77777777" w:rsidR="002B5128" w:rsidRDefault="002B5128">
      <w:pPr>
        <w:rPr>
          <w:rFonts w:ascii="Times New Roman" w:hAnsi="Times New Roman" w:cs="Times New Roman"/>
          <w:b/>
          <w:bCs/>
          <w:sz w:val="28"/>
          <w:szCs w:val="28"/>
        </w:rPr>
      </w:pPr>
    </w:p>
    <w:p w14:paraId="08B90266" w14:textId="01923F86" w:rsidR="000366F8" w:rsidRDefault="000366F8">
      <w:pPr>
        <w:rPr>
          <w:rFonts w:ascii="Times New Roman" w:hAnsi="Times New Roman" w:cs="Times New Roman"/>
          <w:b/>
          <w:bCs/>
          <w:sz w:val="28"/>
          <w:szCs w:val="28"/>
        </w:rPr>
      </w:pPr>
      <w:r>
        <w:rPr>
          <w:rFonts w:ascii="Times New Roman" w:hAnsi="Times New Roman" w:cs="Times New Roman"/>
          <w:b/>
          <w:bCs/>
          <w:sz w:val="28"/>
          <w:szCs w:val="28"/>
        </w:rPr>
        <w:t>Results</w:t>
      </w:r>
    </w:p>
    <w:p w14:paraId="08682620" w14:textId="77777777" w:rsidR="000366F8" w:rsidRDefault="000366F8">
      <w:pPr>
        <w:rPr>
          <w:rFonts w:ascii="Times New Roman" w:hAnsi="Times New Roman" w:cs="Times New Roman"/>
          <w:szCs w:val="24"/>
        </w:rPr>
      </w:pPr>
    </w:p>
    <w:p w14:paraId="0B0FAE87" w14:textId="60780523" w:rsidR="00C965EE" w:rsidRDefault="00C965EE">
      <w:pPr>
        <w:rPr>
          <w:rFonts w:ascii="Times New Roman" w:hAnsi="Times New Roman" w:cs="Times New Roman"/>
          <w:b/>
          <w:bCs/>
          <w:szCs w:val="24"/>
          <w:u w:val="single"/>
        </w:rPr>
      </w:pPr>
      <w:r w:rsidRPr="00D55273">
        <w:rPr>
          <w:rFonts w:ascii="Times New Roman" w:hAnsi="Times New Roman" w:cs="Times New Roman"/>
          <w:b/>
          <w:bCs/>
          <w:szCs w:val="24"/>
          <w:u w:val="single"/>
        </w:rPr>
        <w:t>DOR Phenotypic susceptibility landscape</w:t>
      </w:r>
    </w:p>
    <w:p w14:paraId="3F74EA6C" w14:textId="77777777" w:rsidR="0061294B" w:rsidRPr="00747450" w:rsidRDefault="0061294B" w:rsidP="0061294B">
      <w:pPr>
        <w:rPr>
          <w:rFonts w:ascii="Arial" w:hAnsi="Arial" w:cs="Arial"/>
          <w:b/>
          <w:bCs/>
          <w:szCs w:val="24"/>
        </w:rPr>
      </w:pPr>
      <w:r>
        <w:rPr>
          <w:rFonts w:ascii="Times New Roman" w:hAnsi="Times New Roman" w:cs="Times New Roman"/>
          <w:noProof/>
          <w:szCs w:val="24"/>
        </w:rPr>
        <w:drawing>
          <wp:inline distT="0" distB="0" distL="0" distR="0" wp14:anchorId="7F31B60B" wp14:editId="3121BB49">
            <wp:extent cx="5943600" cy="2485390"/>
            <wp:effectExtent l="0" t="0" r="0" b="3810"/>
            <wp:docPr id="157788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80575" name="Picture 157788057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485390"/>
                    </a:xfrm>
                    <a:prstGeom prst="rect">
                      <a:avLst/>
                    </a:prstGeom>
                  </pic:spPr>
                </pic:pic>
              </a:graphicData>
            </a:graphic>
          </wp:inline>
        </w:drawing>
      </w:r>
    </w:p>
    <w:p w14:paraId="03521664" w14:textId="77777777" w:rsidR="0061294B" w:rsidRDefault="0061294B" w:rsidP="0061294B">
      <w:pPr>
        <w:rPr>
          <w:rFonts w:ascii="Times New Roman" w:hAnsi="Times New Roman" w:cs="Times New Roman"/>
          <w:sz w:val="20"/>
          <w:szCs w:val="20"/>
        </w:rPr>
      </w:pPr>
      <w:r w:rsidRPr="00AF30BF">
        <w:rPr>
          <w:rFonts w:ascii="Times New Roman" w:hAnsi="Times New Roman" w:cs="Times New Roman"/>
          <w:b/>
          <w:bCs/>
          <w:sz w:val="20"/>
          <w:szCs w:val="20"/>
        </w:rPr>
        <w:lastRenderedPageBreak/>
        <w:t>Figure 1: Fold-change in DOR susceptibility associated with selected genotypes.</w:t>
      </w:r>
      <w:r w:rsidRPr="00AF30BF">
        <w:rPr>
          <w:rFonts w:ascii="Times New Roman" w:hAnsi="Times New Roman" w:cs="Times New Roman"/>
          <w:sz w:val="20"/>
          <w:szCs w:val="20"/>
        </w:rPr>
        <w:t xml:space="preserve"> Values represent median fold reductions in susceptibility relative to wild-type control viruses.</w:t>
      </w:r>
    </w:p>
    <w:p w14:paraId="522B79D4" w14:textId="77777777" w:rsidR="002F6EA2" w:rsidRPr="00AF30BF" w:rsidRDefault="002F6EA2" w:rsidP="0061294B">
      <w:pPr>
        <w:rPr>
          <w:rFonts w:ascii="Times New Roman" w:hAnsi="Times New Roman" w:cs="Times New Roman"/>
          <w:sz w:val="20"/>
          <w:szCs w:val="20"/>
        </w:rPr>
      </w:pPr>
    </w:p>
    <w:p w14:paraId="166AC4BA" w14:textId="77777777" w:rsidR="00471553" w:rsidRDefault="00C965EE" w:rsidP="00C965EE">
      <w:pPr>
        <w:rPr>
          <w:rFonts w:ascii="Times New Roman" w:hAnsi="Times New Roman" w:cs="Times New Roman"/>
          <w:szCs w:val="24"/>
        </w:rPr>
      </w:pPr>
      <w:r w:rsidRPr="00C965EE">
        <w:rPr>
          <w:rFonts w:ascii="Times New Roman" w:hAnsi="Times New Roman" w:cs="Times New Roman"/>
          <w:szCs w:val="24"/>
        </w:rPr>
        <w:t xml:space="preserve">We assembled a panel of 18 DOR-associated genotypes for simulation together with WT RT. These genotypes were selected to cover three distinct categories: </w:t>
      </w:r>
    </w:p>
    <w:p w14:paraId="2D4A7C4B" w14:textId="1D8F051E" w:rsidR="00471553" w:rsidRPr="00471553" w:rsidRDefault="00FD5AE8"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Negative controls</w:t>
      </w:r>
      <w:r w:rsidRPr="00471553">
        <w:rPr>
          <w:rFonts w:ascii="Times New Roman" w:hAnsi="Times New Roman" w:cs="Times New Roman"/>
          <w:szCs w:val="24"/>
        </w:rPr>
        <w:t xml:space="preserve">: </w:t>
      </w:r>
      <w:r w:rsidR="00C965EE" w:rsidRPr="00471553">
        <w:rPr>
          <w:rFonts w:ascii="Times New Roman" w:hAnsi="Times New Roman" w:cs="Times New Roman"/>
          <w:szCs w:val="24"/>
        </w:rPr>
        <w:t>well-established low-impact control mutations</w:t>
      </w:r>
      <w:r w:rsidR="00BF3DF7" w:rsidRPr="00471553">
        <w:rPr>
          <w:rFonts w:ascii="Times New Roman" w:hAnsi="Times New Roman" w:cs="Times New Roman"/>
          <w:szCs w:val="24"/>
        </w:rPr>
        <w:t xml:space="preserve"> associated with little, if any, reduction in DOR susceptibility</w:t>
      </w:r>
      <w:r w:rsidR="00471553" w:rsidRPr="00471553">
        <w:rPr>
          <w:rFonts w:ascii="Times New Roman" w:hAnsi="Times New Roman" w:cs="Times New Roman"/>
          <w:szCs w:val="24"/>
        </w:rPr>
        <w:t>.</w:t>
      </w:r>
      <w:r w:rsidR="00C965EE" w:rsidRPr="00471553">
        <w:rPr>
          <w:rFonts w:ascii="Times New Roman" w:hAnsi="Times New Roman" w:cs="Times New Roman"/>
          <w:szCs w:val="24"/>
        </w:rPr>
        <w:t xml:space="preserve"> </w:t>
      </w:r>
      <w:r w:rsidR="00471553" w:rsidRPr="00471553">
        <w:rPr>
          <w:rFonts w:ascii="Times New Roman" w:hAnsi="Times New Roman" w:cs="Times New Roman"/>
          <w:szCs w:val="24"/>
        </w:rPr>
        <w:t xml:space="preserve">These include K103N, V106I, Y181C, and G190A. </w:t>
      </w:r>
    </w:p>
    <w:p w14:paraId="413287BE" w14:textId="77777777" w:rsidR="00471553" w:rsidRDefault="00FD5AE8"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Positive controls</w:t>
      </w:r>
      <w:r w:rsidRPr="00471553">
        <w:rPr>
          <w:rFonts w:ascii="Times New Roman" w:hAnsi="Times New Roman" w:cs="Times New Roman"/>
          <w:szCs w:val="24"/>
        </w:rPr>
        <w:t xml:space="preserve">: </w:t>
      </w:r>
      <w:r w:rsidR="00C965EE" w:rsidRPr="00471553">
        <w:rPr>
          <w:rFonts w:ascii="Times New Roman" w:hAnsi="Times New Roman" w:cs="Times New Roman"/>
          <w:szCs w:val="24"/>
        </w:rPr>
        <w:t xml:space="preserve">canonical DOR-associated resistance </w:t>
      </w:r>
      <w:r w:rsidR="00BF3DF7" w:rsidRPr="00471553">
        <w:rPr>
          <w:rFonts w:ascii="Times New Roman" w:hAnsi="Times New Roman" w:cs="Times New Roman"/>
          <w:szCs w:val="24"/>
        </w:rPr>
        <w:t>mutations and mutation patterns, consistently associated with reduced susceptibility</w:t>
      </w:r>
      <w:r w:rsidR="00471553">
        <w:rPr>
          <w:rFonts w:ascii="Times New Roman" w:hAnsi="Times New Roman" w:cs="Times New Roman"/>
          <w:szCs w:val="24"/>
        </w:rPr>
        <w:t xml:space="preserve">. These were chosen to be </w:t>
      </w:r>
      <w:r w:rsidR="00471553" w:rsidRPr="00C965EE">
        <w:rPr>
          <w:rFonts w:ascii="Times New Roman" w:hAnsi="Times New Roman" w:cs="Times New Roman"/>
          <w:szCs w:val="24"/>
        </w:rPr>
        <w:t>V106A, Y188L, Y318F, A98G+F227C, V106A+F227L, V106A+L234I, V106A+P225H, and V106I+F227C</w:t>
      </w:r>
      <w:r w:rsidR="00471553">
        <w:rPr>
          <w:rFonts w:ascii="Times New Roman" w:hAnsi="Times New Roman" w:cs="Times New Roman"/>
          <w:szCs w:val="24"/>
        </w:rPr>
        <w:t>.</w:t>
      </w:r>
    </w:p>
    <w:p w14:paraId="490FEF2C" w14:textId="77777777" w:rsidR="00471553" w:rsidRDefault="00BF3DF7" w:rsidP="00471553">
      <w:pPr>
        <w:pStyle w:val="ListParagraph"/>
        <w:numPr>
          <w:ilvl w:val="0"/>
          <w:numId w:val="1"/>
        </w:numPr>
        <w:rPr>
          <w:rFonts w:ascii="Times New Roman" w:hAnsi="Times New Roman" w:cs="Times New Roman"/>
          <w:szCs w:val="24"/>
        </w:rPr>
      </w:pPr>
      <w:r w:rsidRPr="00471553">
        <w:rPr>
          <w:rFonts w:ascii="Times New Roman" w:hAnsi="Times New Roman" w:cs="Times New Roman"/>
          <w:i/>
          <w:iCs/>
          <w:szCs w:val="24"/>
        </w:rPr>
        <w:t>Uncertain phenotype</w:t>
      </w:r>
      <w:r w:rsidR="00FD5AE8" w:rsidRPr="00471553">
        <w:rPr>
          <w:rFonts w:ascii="Times New Roman" w:hAnsi="Times New Roman" w:cs="Times New Roman"/>
          <w:szCs w:val="24"/>
        </w:rPr>
        <w:t xml:space="preserve">: </w:t>
      </w:r>
      <w:r w:rsidRPr="00471553">
        <w:rPr>
          <w:rFonts w:ascii="Times New Roman" w:hAnsi="Times New Roman" w:cs="Times New Roman"/>
          <w:szCs w:val="24"/>
        </w:rPr>
        <w:t>mutations and mutation patterns associated</w:t>
      </w:r>
      <w:r w:rsidR="00C965EE" w:rsidRPr="00471553">
        <w:rPr>
          <w:rFonts w:ascii="Times New Roman" w:hAnsi="Times New Roman" w:cs="Times New Roman"/>
          <w:szCs w:val="24"/>
        </w:rPr>
        <w:t xml:space="preserve"> with limited or </w:t>
      </w:r>
      <w:r w:rsidRPr="00471553">
        <w:rPr>
          <w:rFonts w:ascii="Times New Roman" w:hAnsi="Times New Roman" w:cs="Times New Roman"/>
          <w:szCs w:val="24"/>
        </w:rPr>
        <w:t>inconsistent reductions in</w:t>
      </w:r>
      <w:r w:rsidR="00C965EE" w:rsidRPr="00471553">
        <w:rPr>
          <w:rFonts w:ascii="Times New Roman" w:hAnsi="Times New Roman" w:cs="Times New Roman"/>
          <w:szCs w:val="24"/>
        </w:rPr>
        <w:t xml:space="preserve"> susceptibility. </w:t>
      </w:r>
      <w:r w:rsidR="00471553">
        <w:rPr>
          <w:rFonts w:ascii="Times New Roman" w:hAnsi="Times New Roman" w:cs="Times New Roman"/>
          <w:szCs w:val="24"/>
        </w:rPr>
        <w:t xml:space="preserve">These were </w:t>
      </w:r>
      <w:r w:rsidR="00471553" w:rsidRPr="00C965EE">
        <w:rPr>
          <w:rFonts w:ascii="Times New Roman" w:hAnsi="Times New Roman" w:cs="Times New Roman"/>
          <w:szCs w:val="24"/>
        </w:rPr>
        <w:t>K103N+L100I, K103N+P225H, K103N+M230L, V106I, V106M, G190E, and G190S</w:t>
      </w:r>
      <w:r w:rsidR="00471553">
        <w:rPr>
          <w:rFonts w:ascii="Times New Roman" w:hAnsi="Times New Roman" w:cs="Times New Roman"/>
          <w:szCs w:val="24"/>
        </w:rPr>
        <w:t>.</w:t>
      </w:r>
      <w:r w:rsidR="00471553" w:rsidRPr="00C965EE">
        <w:rPr>
          <w:rFonts w:ascii="Times New Roman" w:hAnsi="Times New Roman" w:cs="Times New Roman"/>
          <w:szCs w:val="24"/>
        </w:rPr>
        <w:t xml:space="preserve"> </w:t>
      </w:r>
    </w:p>
    <w:p w14:paraId="58174DC4" w14:textId="77777777" w:rsidR="00471553" w:rsidRPr="00471553" w:rsidRDefault="00471553" w:rsidP="00471553">
      <w:pPr>
        <w:rPr>
          <w:rFonts w:ascii="Times New Roman" w:hAnsi="Times New Roman" w:cs="Times New Roman"/>
          <w:szCs w:val="24"/>
        </w:rPr>
      </w:pPr>
    </w:p>
    <w:p w14:paraId="5ED72A6E" w14:textId="754CBA1F" w:rsidR="00AF30BF" w:rsidRDefault="00C965EE" w:rsidP="00C965EE">
      <w:pPr>
        <w:rPr>
          <w:rFonts w:ascii="Times New Roman" w:hAnsi="Times New Roman" w:cs="Times New Roman"/>
          <w:szCs w:val="24"/>
        </w:rPr>
      </w:pPr>
      <w:r w:rsidRPr="00471553">
        <w:rPr>
          <w:rFonts w:ascii="Times New Roman" w:hAnsi="Times New Roman" w:cs="Times New Roman"/>
          <w:szCs w:val="24"/>
        </w:rPr>
        <w:t xml:space="preserve">Figure 1 summarizes the median fold-change in DOR susceptibility used to define the panel, and Supplementary Table 1 traces each </w:t>
      </w:r>
      <w:r w:rsidR="00BF3DF7" w:rsidRPr="00471553">
        <w:rPr>
          <w:rFonts w:ascii="Times New Roman" w:hAnsi="Times New Roman" w:cs="Times New Roman"/>
          <w:szCs w:val="24"/>
        </w:rPr>
        <w:t>data point</w:t>
      </w:r>
      <w:r w:rsidRPr="00471553">
        <w:rPr>
          <w:rFonts w:ascii="Times New Roman" w:hAnsi="Times New Roman" w:cs="Times New Roman"/>
          <w:szCs w:val="24"/>
        </w:rPr>
        <w:t xml:space="preserve"> to its original published source</w:t>
      </w:r>
      <w:r w:rsidR="00BF3DF7" w:rsidRPr="00471553">
        <w:rPr>
          <w:rFonts w:ascii="Times New Roman" w:hAnsi="Times New Roman" w:cs="Times New Roman"/>
          <w:szCs w:val="24"/>
        </w:rPr>
        <w:t>s</w:t>
      </w:r>
      <w:r w:rsidRPr="00471553">
        <w:rPr>
          <w:rFonts w:ascii="Times New Roman" w:hAnsi="Times New Roman" w:cs="Times New Roman"/>
          <w:szCs w:val="24"/>
        </w:rPr>
        <w:t>.</w:t>
      </w:r>
      <w:r w:rsidR="00471553">
        <w:rPr>
          <w:rFonts w:ascii="Times New Roman" w:hAnsi="Times New Roman" w:cs="Times New Roman"/>
          <w:szCs w:val="24"/>
        </w:rPr>
        <w:t xml:space="preserve"> </w:t>
      </w:r>
      <w:r w:rsidR="005F6D6C">
        <w:rPr>
          <w:rFonts w:ascii="Times New Roman" w:hAnsi="Times New Roman" w:cs="Times New Roman"/>
          <w:szCs w:val="24"/>
        </w:rPr>
        <w:t>The susceptibility data were derived from assays performed using the</w:t>
      </w:r>
      <w:r w:rsidRPr="00C965EE">
        <w:rPr>
          <w:rFonts w:ascii="Times New Roman" w:hAnsi="Times New Roman" w:cs="Times New Roman"/>
          <w:szCs w:val="24"/>
        </w:rPr>
        <w:t xml:space="preserve"> Monogram </w:t>
      </w:r>
      <w:proofErr w:type="spellStart"/>
      <w:r w:rsidRPr="00C965EE">
        <w:rPr>
          <w:rFonts w:ascii="Times New Roman" w:hAnsi="Times New Roman" w:cs="Times New Roman"/>
          <w:szCs w:val="24"/>
        </w:rPr>
        <w:t>PhenoSense</w:t>
      </w:r>
      <w:proofErr w:type="spellEnd"/>
      <w:r w:rsidRPr="00C965EE">
        <w:rPr>
          <w:rFonts w:ascii="Times New Roman" w:hAnsi="Times New Roman" w:cs="Times New Roman"/>
          <w:szCs w:val="24"/>
        </w:rPr>
        <w:t xml:space="preserve"> </w:t>
      </w:r>
      <w:r w:rsidR="005F6D6C">
        <w:rPr>
          <w:rFonts w:ascii="Times New Roman" w:hAnsi="Times New Roman" w:cs="Times New Roman"/>
          <w:szCs w:val="24"/>
        </w:rPr>
        <w:t>assay and the relatively similar</w:t>
      </w:r>
      <w:r w:rsidRPr="00C965EE">
        <w:rPr>
          <w:rFonts w:ascii="Times New Roman" w:hAnsi="Times New Roman" w:cs="Times New Roman"/>
          <w:szCs w:val="24"/>
        </w:rPr>
        <w:t xml:space="preserve"> Merck reporter-gene </w:t>
      </w:r>
      <w:r w:rsidR="005F6D6C">
        <w:rPr>
          <w:rFonts w:ascii="Times New Roman" w:hAnsi="Times New Roman" w:cs="Times New Roman"/>
          <w:szCs w:val="24"/>
        </w:rPr>
        <w:t>assay. Isolates undergoing testing were either</w:t>
      </w:r>
      <w:r w:rsidRPr="00C965EE">
        <w:rPr>
          <w:rFonts w:ascii="Times New Roman" w:hAnsi="Times New Roman" w:cs="Times New Roman"/>
          <w:szCs w:val="24"/>
        </w:rPr>
        <w:t xml:space="preserve"> site-directed mutant</w:t>
      </w:r>
      <w:r w:rsidR="005F6D6C">
        <w:rPr>
          <w:rFonts w:ascii="Times New Roman" w:hAnsi="Times New Roman" w:cs="Times New Roman"/>
          <w:szCs w:val="24"/>
        </w:rPr>
        <w:t>s or clinical isolates for which known NNRTI-resistance mutations were specified.</w:t>
      </w:r>
    </w:p>
    <w:p w14:paraId="79FE1BA1" w14:textId="77777777" w:rsidR="00AF30BF" w:rsidRDefault="00AF30BF" w:rsidP="00C965EE">
      <w:pPr>
        <w:rPr>
          <w:rFonts w:ascii="Times New Roman" w:hAnsi="Times New Roman" w:cs="Times New Roman"/>
          <w:szCs w:val="24"/>
        </w:rPr>
      </w:pPr>
    </w:p>
    <w:p w14:paraId="50A91F5B" w14:textId="088F6B5D" w:rsidR="00D55273" w:rsidRPr="00D55273" w:rsidRDefault="00D55273" w:rsidP="00D55273">
      <w:pPr>
        <w:rPr>
          <w:rFonts w:ascii="Times New Roman" w:hAnsi="Times New Roman" w:cs="Times New Roman"/>
          <w:b/>
          <w:bCs/>
          <w:szCs w:val="24"/>
          <w:u w:val="single"/>
        </w:rPr>
      </w:pPr>
      <w:r w:rsidRPr="00D55273">
        <w:rPr>
          <w:rFonts w:ascii="Times New Roman" w:hAnsi="Times New Roman" w:cs="Times New Roman"/>
          <w:b/>
          <w:bCs/>
          <w:szCs w:val="24"/>
          <w:u w:val="single"/>
        </w:rPr>
        <w:t xml:space="preserve">Global RT-DOR energetic analysis </w:t>
      </w:r>
      <w:r w:rsidR="008869E6">
        <w:rPr>
          <w:rFonts w:ascii="Times New Roman" w:hAnsi="Times New Roman" w:cs="Times New Roman"/>
          <w:b/>
          <w:bCs/>
          <w:szCs w:val="24"/>
          <w:u w:val="single"/>
        </w:rPr>
        <w:t xml:space="preserve">fails to </w:t>
      </w:r>
      <w:r w:rsidRPr="00D55273">
        <w:rPr>
          <w:rFonts w:ascii="Times New Roman" w:hAnsi="Times New Roman" w:cs="Times New Roman"/>
          <w:b/>
          <w:bCs/>
          <w:szCs w:val="24"/>
          <w:u w:val="single"/>
        </w:rPr>
        <w:t>capture the DOR phenotypic susceptibility landscape</w:t>
      </w:r>
    </w:p>
    <w:p w14:paraId="4F91A035" w14:textId="77777777" w:rsidR="0061294B" w:rsidRDefault="0061294B" w:rsidP="0061294B">
      <w:pPr>
        <w:rPr>
          <w:rFonts w:ascii="Times New Roman" w:hAnsi="Times New Roman" w:cs="Times New Roman"/>
          <w:szCs w:val="24"/>
        </w:rPr>
      </w:pPr>
      <w:r>
        <w:rPr>
          <w:rFonts w:ascii="Times New Roman" w:hAnsi="Times New Roman" w:cs="Times New Roman"/>
          <w:noProof/>
          <w:szCs w:val="24"/>
        </w:rPr>
        <w:drawing>
          <wp:inline distT="0" distB="0" distL="0" distR="0" wp14:anchorId="63CF4E0B" wp14:editId="22F1F6A8">
            <wp:extent cx="5943600" cy="3860165"/>
            <wp:effectExtent l="0" t="0" r="0" b="635"/>
            <wp:docPr id="109844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49889" name="Picture 10984498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20BBE866" w14:textId="77777777" w:rsidR="0061294B" w:rsidRPr="005478F3" w:rsidRDefault="0061294B" w:rsidP="0061294B">
      <w:pPr>
        <w:rPr>
          <w:rFonts w:ascii="Times New Roman" w:hAnsi="Times New Roman" w:cs="Times New Roman"/>
          <w:sz w:val="20"/>
          <w:szCs w:val="20"/>
        </w:rPr>
      </w:pPr>
      <w:r w:rsidRPr="005478F3">
        <w:rPr>
          <w:rFonts w:ascii="Times New Roman" w:hAnsi="Times New Roman" w:cs="Times New Roman"/>
          <w:b/>
          <w:bCs/>
          <w:sz w:val="20"/>
          <w:szCs w:val="20"/>
        </w:rPr>
        <w:lastRenderedPageBreak/>
        <w:t>Figure 2: Changes in electrostatic component of the RT-DOR binding energy vs WT weakly correlates with phenotypic DOR susceptibility data</w:t>
      </w:r>
      <w:r>
        <w:rPr>
          <w:rFonts w:ascii="Times New Roman" w:hAnsi="Times New Roman" w:cs="Times New Roman"/>
          <w:b/>
          <w:bCs/>
          <w:sz w:val="20"/>
          <w:szCs w:val="20"/>
        </w:rPr>
        <w:t xml:space="preserve"> of the control mutations</w:t>
      </w:r>
      <w:r w:rsidRPr="005478F3">
        <w:rPr>
          <w:rFonts w:ascii="Times New Roman" w:hAnsi="Times New Roman" w:cs="Times New Roman"/>
          <w:sz w:val="20"/>
          <w:szCs w:val="20"/>
        </w:rPr>
        <w:t xml:space="preserve">. Data </w:t>
      </w:r>
      <w:r>
        <w:rPr>
          <w:rFonts w:ascii="Times New Roman" w:hAnsi="Times New Roman" w:cs="Times New Roman"/>
          <w:sz w:val="20"/>
          <w:szCs w:val="20"/>
        </w:rPr>
        <w:t>correspond to</w:t>
      </w:r>
      <w:r w:rsidRPr="005478F3">
        <w:rPr>
          <w:rFonts w:ascii="Times New Roman" w:hAnsi="Times New Roman" w:cs="Times New Roman"/>
          <w:sz w:val="20"/>
          <w:szCs w:val="20"/>
        </w:rPr>
        <w:t xml:space="preserve"> the average MM/GBSA electrostatic </w:t>
      </w:r>
      <w:r>
        <w:rPr>
          <w:rFonts w:ascii="Times New Roman" w:hAnsi="Times New Roman" w:cs="Times New Roman"/>
          <w:sz w:val="20"/>
          <w:szCs w:val="20"/>
        </w:rPr>
        <w:t>components</w:t>
      </w:r>
      <w:r w:rsidRPr="005478F3">
        <w:rPr>
          <w:rFonts w:ascii="Times New Roman" w:hAnsi="Times New Roman" w:cs="Times New Roman"/>
          <w:sz w:val="20"/>
          <w:szCs w:val="20"/>
        </w:rPr>
        <w:t xml:space="preserve"> over </w:t>
      </w:r>
      <w:r>
        <w:rPr>
          <w:rFonts w:ascii="Times New Roman" w:hAnsi="Times New Roman" w:cs="Times New Roman"/>
          <w:sz w:val="20"/>
          <w:szCs w:val="20"/>
        </w:rPr>
        <w:t>the last 20</w:t>
      </w:r>
      <w:r w:rsidRPr="005478F3">
        <w:rPr>
          <w:rFonts w:ascii="Times New Roman" w:hAnsi="Times New Roman" w:cs="Times New Roman"/>
          <w:sz w:val="20"/>
          <w:szCs w:val="20"/>
        </w:rPr>
        <w:t xml:space="preserve"> frames</w:t>
      </w:r>
      <w:r>
        <w:rPr>
          <w:rFonts w:ascii="Times New Roman" w:hAnsi="Times New Roman" w:cs="Times New Roman"/>
          <w:sz w:val="20"/>
          <w:szCs w:val="20"/>
        </w:rPr>
        <w:t xml:space="preserve"> (~10ns)</w:t>
      </w:r>
      <w:r w:rsidRPr="005478F3">
        <w:rPr>
          <w:rFonts w:ascii="Times New Roman" w:hAnsi="Times New Roman" w:cs="Times New Roman"/>
          <w:sz w:val="20"/>
          <w:szCs w:val="20"/>
        </w:rPr>
        <w:t xml:space="preserve"> sampled from 100ns all-atom MD simulations of each system. Error bars represent the standard error of the mean over </w:t>
      </w:r>
      <w:r w:rsidRPr="005478F3">
        <w:rPr>
          <w:rFonts w:ascii="Times New Roman" w:hAnsi="Times New Roman" w:cs="Times New Roman"/>
          <w:i/>
          <w:iCs/>
          <w:sz w:val="20"/>
          <w:szCs w:val="20"/>
        </w:rPr>
        <w:t>N</w:t>
      </w:r>
      <w:r w:rsidRPr="005478F3">
        <w:rPr>
          <w:rFonts w:ascii="Times New Roman" w:hAnsi="Times New Roman" w:cs="Times New Roman"/>
          <w:sz w:val="20"/>
          <w:szCs w:val="20"/>
        </w:rPr>
        <w:t xml:space="preserve"> = 3 replicates. Dashed trend line shows an ordinary least-squares linear regression between electrostatic </w:t>
      </w:r>
      <w:r>
        <w:rPr>
          <w:rFonts w:ascii="Times New Roman" w:hAnsi="Times New Roman" w:cs="Times New Roman"/>
          <w:sz w:val="20"/>
          <w:szCs w:val="20"/>
        </w:rPr>
        <w:t>energy shift</w:t>
      </w:r>
      <w:r w:rsidRPr="005478F3">
        <w:rPr>
          <w:rFonts w:ascii="Times New Roman" w:hAnsi="Times New Roman" w:cs="Times New Roman"/>
          <w:sz w:val="20"/>
          <w:szCs w:val="20"/>
        </w:rPr>
        <w:t xml:space="preserve"> and resistance fold-change on a log scale. R</w:t>
      </w:r>
      <w:r>
        <w:rPr>
          <w:rFonts w:ascii="Times New Roman" w:hAnsi="Times New Roman" w:cs="Times New Roman"/>
          <w:sz w:val="20"/>
          <w:szCs w:val="20"/>
          <w:vertAlign w:val="superscript"/>
        </w:rPr>
        <w:t>2</w:t>
      </w:r>
      <w:r w:rsidRPr="005478F3">
        <w:rPr>
          <w:rFonts w:ascii="Times New Roman" w:hAnsi="Times New Roman" w:cs="Times New Roman"/>
          <w:sz w:val="20"/>
          <w:szCs w:val="20"/>
        </w:rPr>
        <w:t xml:space="preserve"> is the coefficient of determination for this fit and the p-value tests whether the regression slope differs from zero using the standard two-tailed t-test.</w:t>
      </w:r>
    </w:p>
    <w:p w14:paraId="3BE4B21C" w14:textId="77777777" w:rsidR="0061294B" w:rsidRDefault="0061294B" w:rsidP="00C965EE">
      <w:pPr>
        <w:rPr>
          <w:rFonts w:ascii="Times New Roman" w:hAnsi="Times New Roman" w:cs="Times New Roman"/>
          <w:szCs w:val="24"/>
        </w:rPr>
      </w:pPr>
    </w:p>
    <w:p w14:paraId="0F71078B" w14:textId="2F8C705C" w:rsidR="00085D4C" w:rsidRDefault="00985CF1" w:rsidP="00C965EE">
      <w:pPr>
        <w:rPr>
          <w:rFonts w:ascii="Times New Roman" w:hAnsi="Times New Roman" w:cs="Times New Roman"/>
          <w:szCs w:val="24"/>
        </w:rPr>
      </w:pPr>
      <w:r w:rsidRPr="00985CF1">
        <w:rPr>
          <w:rFonts w:ascii="Times New Roman" w:hAnsi="Times New Roman" w:cs="Times New Roman"/>
          <w:szCs w:val="24"/>
        </w:rPr>
        <w:t>We first asked whether short MD simulations could recapitulate the phenotypic DOR susceptibility landscape using a global destabilization metric derived from binding energy-like calculations. Starting from the published X-ray crystal structure of WT RT bound to DOR, we introduced each resistance-associated genotype in silico and applied restrained followed by unrestrained energy minimization to generate 18 mutant RT-DOR complex structures corresponding to the curated genotype panel described above. The RT variant sequences simulated in this study are provided in Supplementary Table 2. For each system, we ran three independent 100 ns all-atom, explicit-solvent production simulations and calculated the average MM/GBSA energy over the final 20 frames of each trajectory, corresponding to approximately the final 10 ns. For each mutant genotype, we then computed WT-referenced energetic changes, ΔΔG, for the total MM/GBSA energy and for four individual energy components: van der Waals, electrostatic, generalized Born polar solvation, and nonpolar surface area contributions.</w:t>
      </w:r>
    </w:p>
    <w:p w14:paraId="112F20B4" w14:textId="77777777" w:rsidR="00985CF1" w:rsidRDefault="00985CF1" w:rsidP="00C965EE">
      <w:pPr>
        <w:rPr>
          <w:rFonts w:ascii="Times New Roman" w:hAnsi="Times New Roman" w:cs="Times New Roman"/>
          <w:szCs w:val="24"/>
        </w:rPr>
      </w:pPr>
    </w:p>
    <w:p w14:paraId="1ADBFD58" w14:textId="4E8E3701" w:rsidR="00985CF1" w:rsidRPr="00985CF1" w:rsidRDefault="00985CF1" w:rsidP="0061294B">
      <w:pPr>
        <w:rPr>
          <w:rFonts w:ascii="Times New Roman" w:hAnsi="Times New Roman" w:cs="Times New Roman"/>
          <w:szCs w:val="24"/>
        </w:rPr>
      </w:pPr>
      <w:r w:rsidRPr="00985CF1">
        <w:rPr>
          <w:rFonts w:ascii="Times New Roman" w:hAnsi="Times New Roman" w:cs="Times New Roman"/>
          <w:szCs w:val="24"/>
        </w:rPr>
        <w:t>Overall, neither the total WT-referenced energetic shifts nor most individual energy components correlated with the available phenotypic fold-change data (Supplementary Table 3). The main exception was the electrostatic component, which showed a weak but statistically significant correlation with fold-change values among the negative and positive control mutations (Figure 2). From the perspective of WT-referenced electrostatic shifts, all negative control mutations showed little to no destabilization, with K103N appearing slightly more stable than WT</w:t>
      </w:r>
      <w:r>
        <w:rPr>
          <w:rFonts w:ascii="Times New Roman" w:hAnsi="Times New Roman" w:cs="Times New Roman"/>
          <w:szCs w:val="24"/>
        </w:rPr>
        <w:t xml:space="preserve"> (∆∆</w:t>
      </w:r>
      <w:proofErr w:type="spellStart"/>
      <w:r>
        <w:rPr>
          <w:rFonts w:ascii="Times New Roman" w:hAnsi="Times New Roman" w:cs="Times New Roman"/>
          <w:szCs w:val="24"/>
        </w:rPr>
        <w:t>G</w:t>
      </w:r>
      <w:r w:rsidRPr="003D40B4">
        <w:rPr>
          <w:rFonts w:ascii="Times New Roman" w:hAnsi="Times New Roman" w:cs="Times New Roman"/>
          <w:szCs w:val="24"/>
          <w:vertAlign w:val="subscript"/>
        </w:rPr>
        <w:t>elec</w:t>
      </w:r>
      <w:proofErr w:type="spellEnd"/>
      <w:r>
        <w:rPr>
          <w:rFonts w:ascii="Times New Roman" w:hAnsi="Times New Roman" w:cs="Times New Roman"/>
          <w:szCs w:val="24"/>
        </w:rPr>
        <w:t xml:space="preserve"> ~ -7.9 kJ/mol). </w:t>
      </w:r>
      <w:r w:rsidRPr="00985CF1">
        <w:rPr>
          <w:rFonts w:ascii="Times New Roman" w:hAnsi="Times New Roman" w:cs="Times New Roman"/>
          <w:szCs w:val="24"/>
        </w:rPr>
        <w:t>In contrast, four of the eight positive control mutations—V106I+F227C, V106A+F227L, Y188L, and V106A+P225H—had positive</w:t>
      </w:r>
      <w:r>
        <w:rPr>
          <w:rFonts w:ascii="Times New Roman" w:hAnsi="Times New Roman" w:cs="Times New Roman"/>
          <w:szCs w:val="24"/>
        </w:rPr>
        <w:t xml:space="preserve"> ∆∆</w:t>
      </w:r>
      <w:proofErr w:type="spellStart"/>
      <w:r>
        <w:rPr>
          <w:rFonts w:ascii="Times New Roman" w:hAnsi="Times New Roman" w:cs="Times New Roman"/>
          <w:szCs w:val="24"/>
        </w:rPr>
        <w:t>G</w:t>
      </w:r>
      <w:r w:rsidRPr="003D40B4">
        <w:rPr>
          <w:rFonts w:ascii="Times New Roman" w:hAnsi="Times New Roman" w:cs="Times New Roman"/>
          <w:szCs w:val="24"/>
          <w:vertAlign w:val="subscript"/>
        </w:rPr>
        <w:t>elec</w:t>
      </w:r>
      <w:proofErr w:type="spellEnd"/>
      <w:r>
        <w:rPr>
          <w:rFonts w:ascii="Times New Roman" w:hAnsi="Times New Roman" w:cs="Times New Roman"/>
          <w:szCs w:val="24"/>
        </w:rPr>
        <w:t xml:space="preserve"> </w:t>
      </w:r>
      <w:r w:rsidRPr="00985CF1">
        <w:rPr>
          <w:rFonts w:ascii="Times New Roman" w:hAnsi="Times New Roman" w:cs="Times New Roman"/>
          <w:szCs w:val="24"/>
        </w:rPr>
        <w:t>values within error, consistent with reduced electrostatic stability relative to WT. Among the six mutations with uncertain phenotype, G190S and G190E were also electrostatically less stable than WT, whereas K103N+L100I and K103N+M230L were more stable than WT.</w:t>
      </w:r>
    </w:p>
    <w:p w14:paraId="129116DC" w14:textId="77777777" w:rsidR="00985CF1" w:rsidRDefault="00985CF1" w:rsidP="0061294B">
      <w:pPr>
        <w:rPr>
          <w:rFonts w:ascii="Times New Roman" w:hAnsi="Times New Roman" w:cs="Times New Roman"/>
          <w:szCs w:val="24"/>
        </w:rPr>
      </w:pPr>
    </w:p>
    <w:p w14:paraId="7695B548" w14:textId="1DF9FFEE" w:rsidR="0061294B" w:rsidRDefault="00985CF1" w:rsidP="0061294B">
      <w:pPr>
        <w:rPr>
          <w:rFonts w:ascii="Times New Roman" w:hAnsi="Times New Roman" w:cs="Times New Roman"/>
          <w:szCs w:val="24"/>
        </w:rPr>
      </w:pPr>
      <w:r>
        <w:rPr>
          <w:rFonts w:ascii="Times New Roman" w:hAnsi="Times New Roman" w:cs="Times New Roman"/>
          <w:szCs w:val="24"/>
        </w:rPr>
        <w:t xml:space="preserve"> </w:t>
      </w:r>
      <w:r w:rsidR="0061294B">
        <w:rPr>
          <w:rFonts w:ascii="Times New Roman" w:hAnsi="Times New Roman" w:cs="Times New Roman"/>
          <w:noProof/>
          <w:szCs w:val="24"/>
        </w:rPr>
        <w:drawing>
          <wp:inline distT="0" distB="0" distL="0" distR="0" wp14:anchorId="245DA2D5" wp14:editId="373C988D">
            <wp:extent cx="2968730" cy="2334410"/>
            <wp:effectExtent l="0" t="0" r="0" b="0"/>
            <wp:docPr id="134102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28908" name="Picture 1341028908"/>
                    <pic:cNvPicPr/>
                  </pic:nvPicPr>
                  <pic:blipFill rotWithShape="1">
                    <a:blip r:embed="rId7" cstate="print">
                      <a:extLst>
                        <a:ext uri="{28A0092B-C50C-407E-A947-70E740481C1C}">
                          <a14:useLocalDpi xmlns:a14="http://schemas.microsoft.com/office/drawing/2010/main" val="0"/>
                        </a:ext>
                      </a:extLst>
                    </a:blip>
                    <a:srcRect l="14480" t="5797" r="18184"/>
                    <a:stretch>
                      <a:fillRect/>
                    </a:stretch>
                  </pic:blipFill>
                  <pic:spPr bwMode="auto">
                    <a:xfrm>
                      <a:off x="0" y="0"/>
                      <a:ext cx="2978620" cy="2342186"/>
                    </a:xfrm>
                    <a:prstGeom prst="rect">
                      <a:avLst/>
                    </a:prstGeom>
                    <a:ln>
                      <a:noFill/>
                    </a:ln>
                    <a:extLst>
                      <a:ext uri="{53640926-AAD7-44D8-BBD7-CCE9431645EC}">
                        <a14:shadowObscured xmlns:a14="http://schemas.microsoft.com/office/drawing/2010/main"/>
                      </a:ext>
                    </a:extLst>
                  </pic:spPr>
                </pic:pic>
              </a:graphicData>
            </a:graphic>
          </wp:inline>
        </w:drawing>
      </w:r>
      <w:r w:rsidR="0061294B">
        <w:rPr>
          <w:rFonts w:ascii="Times New Roman" w:hAnsi="Times New Roman" w:cs="Times New Roman"/>
          <w:noProof/>
          <w:szCs w:val="24"/>
        </w:rPr>
        <w:drawing>
          <wp:inline distT="0" distB="0" distL="0" distR="0" wp14:anchorId="2AB52487" wp14:editId="02471794">
            <wp:extent cx="2759242" cy="2306013"/>
            <wp:effectExtent l="0" t="0" r="0" b="5715"/>
            <wp:docPr id="1708111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11438" name="Picture 1708111438"/>
                    <pic:cNvPicPr/>
                  </pic:nvPicPr>
                  <pic:blipFill rotWithShape="1">
                    <a:blip r:embed="rId8" cstate="print">
                      <a:extLst>
                        <a:ext uri="{28A0092B-C50C-407E-A947-70E740481C1C}">
                          <a14:useLocalDpi xmlns:a14="http://schemas.microsoft.com/office/drawing/2010/main" val="0"/>
                        </a:ext>
                      </a:extLst>
                    </a:blip>
                    <a:srcRect l="10268" t="3121" r="12452"/>
                    <a:stretch>
                      <a:fillRect/>
                    </a:stretch>
                  </pic:blipFill>
                  <pic:spPr bwMode="auto">
                    <a:xfrm>
                      <a:off x="0" y="0"/>
                      <a:ext cx="2783109" cy="2325960"/>
                    </a:xfrm>
                    <a:prstGeom prst="rect">
                      <a:avLst/>
                    </a:prstGeom>
                    <a:ln>
                      <a:noFill/>
                    </a:ln>
                    <a:extLst>
                      <a:ext uri="{53640926-AAD7-44D8-BBD7-CCE9431645EC}">
                        <a14:shadowObscured xmlns:a14="http://schemas.microsoft.com/office/drawing/2010/main"/>
                      </a:ext>
                    </a:extLst>
                  </pic:spPr>
                </pic:pic>
              </a:graphicData>
            </a:graphic>
          </wp:inline>
        </w:drawing>
      </w:r>
    </w:p>
    <w:p w14:paraId="685873C1" w14:textId="77777777" w:rsidR="0061294B" w:rsidRPr="005478F3" w:rsidRDefault="0061294B" w:rsidP="0061294B">
      <w:pPr>
        <w:rPr>
          <w:rFonts w:ascii="Times New Roman" w:hAnsi="Times New Roman" w:cs="Times New Roman"/>
          <w:sz w:val="20"/>
          <w:szCs w:val="20"/>
        </w:rPr>
      </w:pPr>
      <w:r w:rsidRPr="005478F3">
        <w:rPr>
          <w:rFonts w:ascii="Times New Roman" w:hAnsi="Times New Roman" w:cs="Times New Roman"/>
          <w:b/>
          <w:bCs/>
          <w:sz w:val="20"/>
          <w:szCs w:val="20"/>
        </w:rPr>
        <w:t>Figure 3: Crystal structure of DOR bound to WT RT (PDB ID: 4NCG).</w:t>
      </w:r>
      <w:r w:rsidRPr="005478F3">
        <w:rPr>
          <w:rFonts w:ascii="Times New Roman" w:hAnsi="Times New Roman" w:cs="Times New Roman"/>
          <w:sz w:val="20"/>
          <w:szCs w:val="20"/>
        </w:rPr>
        <w:t xml:space="preserve"> </w:t>
      </w:r>
      <w:r w:rsidRPr="005478F3">
        <w:rPr>
          <w:rFonts w:ascii="Times New Roman" w:hAnsi="Times New Roman" w:cs="Times New Roman"/>
          <w:i/>
          <w:iCs/>
          <w:sz w:val="20"/>
          <w:szCs w:val="20"/>
        </w:rPr>
        <w:t xml:space="preserve">Left panel: </w:t>
      </w:r>
      <w:r w:rsidRPr="005478F3">
        <w:rPr>
          <w:rFonts w:ascii="Times New Roman" w:hAnsi="Times New Roman" w:cs="Times New Roman"/>
          <w:sz w:val="20"/>
          <w:szCs w:val="20"/>
        </w:rPr>
        <w:t xml:space="preserve">Minimum heavy atom distances </w:t>
      </w:r>
      <w:r>
        <w:rPr>
          <w:rFonts w:ascii="Times New Roman" w:hAnsi="Times New Roman" w:cs="Times New Roman"/>
          <w:sz w:val="20"/>
          <w:szCs w:val="20"/>
        </w:rPr>
        <w:t>between</w:t>
      </w:r>
      <w:r w:rsidRPr="005478F3">
        <w:rPr>
          <w:rFonts w:ascii="Times New Roman" w:hAnsi="Times New Roman" w:cs="Times New Roman"/>
          <w:sz w:val="20"/>
          <w:szCs w:val="20"/>
        </w:rPr>
        <w:t xml:space="preserve"> DOR (yellow) </w:t>
      </w:r>
      <w:r>
        <w:rPr>
          <w:rFonts w:ascii="Times New Roman" w:hAnsi="Times New Roman" w:cs="Times New Roman"/>
          <w:sz w:val="20"/>
          <w:szCs w:val="20"/>
        </w:rPr>
        <w:t>and</w:t>
      </w:r>
      <w:r w:rsidRPr="005478F3">
        <w:rPr>
          <w:rFonts w:ascii="Times New Roman" w:hAnsi="Times New Roman" w:cs="Times New Roman"/>
          <w:sz w:val="20"/>
          <w:szCs w:val="20"/>
        </w:rPr>
        <w:t xml:space="preserve"> eight key NNIBP residues (pink). </w:t>
      </w:r>
      <w:r w:rsidRPr="00AE6586">
        <w:rPr>
          <w:rFonts w:ascii="Times New Roman" w:hAnsi="Times New Roman" w:cs="Times New Roman"/>
          <w:i/>
          <w:iCs/>
          <w:sz w:val="20"/>
          <w:szCs w:val="20"/>
        </w:rPr>
        <w:t>Right panel</w:t>
      </w:r>
      <w:r w:rsidRPr="005478F3">
        <w:rPr>
          <w:rFonts w:ascii="Times New Roman" w:hAnsi="Times New Roman" w:cs="Times New Roman"/>
          <w:sz w:val="20"/>
          <w:szCs w:val="20"/>
        </w:rPr>
        <w:t xml:space="preserve">: </w:t>
      </w:r>
      <w:r>
        <w:rPr>
          <w:rFonts w:ascii="Times New Roman" w:hAnsi="Times New Roman" w:cs="Times New Roman"/>
          <w:sz w:val="20"/>
          <w:szCs w:val="20"/>
        </w:rPr>
        <w:t xml:space="preserve">Visualization of DOR within </w:t>
      </w:r>
      <w:r>
        <w:rPr>
          <w:rFonts w:ascii="Times New Roman" w:hAnsi="Times New Roman" w:cs="Times New Roman"/>
          <w:sz w:val="20"/>
          <w:szCs w:val="20"/>
        </w:rPr>
        <w:lastRenderedPageBreak/>
        <w:t xml:space="preserve">the NNIBP, segmented into seven regions: </w:t>
      </w:r>
      <w:r w:rsidRPr="00AE6586">
        <w:rPr>
          <w:rFonts w:ascii="Times New Roman" w:hAnsi="Times New Roman" w:cs="Times New Roman"/>
          <w:sz w:val="20"/>
          <w:szCs w:val="20"/>
        </w:rPr>
        <w:t>β</w:t>
      </w:r>
      <w:r>
        <w:rPr>
          <w:rFonts w:ascii="Times New Roman" w:hAnsi="Times New Roman" w:cs="Times New Roman"/>
          <w:sz w:val="20"/>
          <w:szCs w:val="20"/>
        </w:rPr>
        <w:t xml:space="preserve">6 strand (blue), Pocket entrance (orange), 103-108 loop (yellow), Hydrophobic tunnel (green), </w:t>
      </w:r>
      <w:r w:rsidRPr="00AE6586">
        <w:rPr>
          <w:rFonts w:ascii="Times New Roman" w:hAnsi="Times New Roman" w:cs="Times New Roman"/>
          <w:sz w:val="20"/>
          <w:szCs w:val="20"/>
        </w:rPr>
        <w:t>β</w:t>
      </w:r>
      <w:r>
        <w:rPr>
          <w:rFonts w:ascii="Times New Roman" w:hAnsi="Times New Roman" w:cs="Times New Roman"/>
          <w:sz w:val="20"/>
          <w:szCs w:val="20"/>
        </w:rPr>
        <w:t>9-</w:t>
      </w:r>
      <w:r w:rsidRPr="00AE6586">
        <w:rPr>
          <w:rFonts w:ascii="Times New Roman" w:hAnsi="Times New Roman" w:cs="Times New Roman"/>
          <w:sz w:val="20"/>
          <w:szCs w:val="20"/>
        </w:rPr>
        <w:t>β</w:t>
      </w:r>
      <w:r>
        <w:rPr>
          <w:rFonts w:ascii="Times New Roman" w:hAnsi="Times New Roman" w:cs="Times New Roman"/>
          <w:sz w:val="20"/>
          <w:szCs w:val="20"/>
        </w:rPr>
        <w:t xml:space="preserve">10 hairpin (red), </w:t>
      </w:r>
      <w:r w:rsidRPr="00AE6586">
        <w:rPr>
          <w:rFonts w:ascii="Times New Roman" w:hAnsi="Times New Roman" w:cs="Times New Roman"/>
          <w:sz w:val="20"/>
          <w:szCs w:val="20"/>
        </w:rPr>
        <w:t>β</w:t>
      </w:r>
      <w:r>
        <w:rPr>
          <w:rFonts w:ascii="Times New Roman" w:hAnsi="Times New Roman" w:cs="Times New Roman"/>
          <w:sz w:val="20"/>
          <w:szCs w:val="20"/>
        </w:rPr>
        <w:t>12-</w:t>
      </w:r>
      <w:r w:rsidRPr="00AE6586">
        <w:rPr>
          <w:rFonts w:ascii="Times New Roman" w:hAnsi="Times New Roman" w:cs="Times New Roman"/>
          <w:sz w:val="20"/>
          <w:szCs w:val="20"/>
        </w:rPr>
        <w:t>β</w:t>
      </w:r>
      <w:r>
        <w:rPr>
          <w:rFonts w:ascii="Times New Roman" w:hAnsi="Times New Roman" w:cs="Times New Roman"/>
          <w:sz w:val="20"/>
          <w:szCs w:val="20"/>
        </w:rPr>
        <w:t xml:space="preserve">13 primer grip (purple), Distal pocket wall (teal). </w:t>
      </w:r>
    </w:p>
    <w:p w14:paraId="32CF710F" w14:textId="77777777" w:rsidR="00985CF1" w:rsidRDefault="00985CF1" w:rsidP="00985CF1">
      <w:pPr>
        <w:pStyle w:val="NormalWeb"/>
      </w:pPr>
      <w:r w:rsidRPr="00985CF1">
        <w:t>Although these global energetic metrics did not fully explain the DOR susceptibility landscape, several mutation-specific patterns suggested possible links to local structural mechanisms of resistance. For example, Y188L showed large trajectory-to-trajectory variation in the van der Waals component, with a</w:t>
      </w:r>
      <w:r>
        <w:t xml:space="preserve"> (∆∆</w:t>
      </w:r>
      <w:proofErr w:type="spellStart"/>
      <w:r>
        <w:t>G</w:t>
      </w:r>
      <w:r>
        <w:rPr>
          <w:vertAlign w:val="subscript"/>
        </w:rPr>
        <w:t>vdW</w:t>
      </w:r>
      <w:proofErr w:type="spellEnd"/>
      <w:r>
        <w:t xml:space="preserve"> </w:t>
      </w:r>
      <w:r w:rsidRPr="00985CF1">
        <w:t>standard deviation of approximately 231 kJ/mol. Visual inspection indicated that this variation arose from alternate conformations of Leu188, which produced distinct DOR packing arrangements across simulations, some resembling WT and others deviating substantially from it. Similarly, V106A+F227L and V106I+F227C showed qualitatively different van der Waals shifts relative to WT, with</w:t>
      </w:r>
      <w:r>
        <w:t xml:space="preserve"> ∆∆</w:t>
      </w:r>
      <w:proofErr w:type="spellStart"/>
      <w:r>
        <w:t>G</w:t>
      </w:r>
      <w:r>
        <w:rPr>
          <w:vertAlign w:val="subscript"/>
        </w:rPr>
        <w:t>vdW</w:t>
      </w:r>
      <w:proofErr w:type="spellEnd"/>
      <w:r>
        <w:t xml:space="preserve"> values of −75.7 kJ/mol and +154.5 kJ/mol, respectively. Thus, mutations affecting the same positions and producing similar phenotypic resistance profiles may nevertheless perturb the RT-DOR complex through distinct local structural mechanisms.</w:t>
      </w:r>
    </w:p>
    <w:p w14:paraId="43BCC399" w14:textId="47D2B042" w:rsidR="00B11FD5" w:rsidRPr="00985CF1" w:rsidRDefault="00985CF1" w:rsidP="00985CF1">
      <w:pPr>
        <w:pStyle w:val="NormalWeb"/>
      </w:pPr>
      <w:r>
        <w:t>Together, these results suggest that a simple global destabilization model is insufficient to explain the DOR susceptibility landscape over the simulation timescales sampled here. However, the weak electrostatic association with phenotype, together with mutation-specific van der Waals signatures and heterogeneous local packing behavior, raised the possibility that DOR resistance is better captured by localized structural rearrangements than by aggregate binding energy shifts alone.</w:t>
      </w:r>
    </w:p>
    <w:p w14:paraId="4EC9C74B" w14:textId="7EF468F4" w:rsidR="00B11FD5" w:rsidRDefault="002B5128" w:rsidP="009E48E6">
      <w:pPr>
        <w:rPr>
          <w:rFonts w:ascii="Times New Roman" w:hAnsi="Times New Roman" w:cs="Times New Roman"/>
          <w:b/>
          <w:bCs/>
          <w:szCs w:val="24"/>
          <w:u w:val="single"/>
        </w:rPr>
      </w:pPr>
      <w:r>
        <w:rPr>
          <w:rFonts w:ascii="Times New Roman" w:hAnsi="Times New Roman" w:cs="Times New Roman"/>
          <w:b/>
          <w:bCs/>
          <w:szCs w:val="24"/>
          <w:u w:val="single"/>
        </w:rPr>
        <w:t>Local trajectory-level</w:t>
      </w:r>
      <w:r w:rsidR="00335759" w:rsidRPr="00335759">
        <w:rPr>
          <w:rFonts w:ascii="Times New Roman" w:hAnsi="Times New Roman" w:cs="Times New Roman"/>
          <w:b/>
          <w:bCs/>
          <w:szCs w:val="24"/>
          <w:u w:val="single"/>
        </w:rPr>
        <w:t xml:space="preserve"> analysis </w:t>
      </w:r>
      <w:r>
        <w:rPr>
          <w:rFonts w:ascii="Times New Roman" w:hAnsi="Times New Roman" w:cs="Times New Roman"/>
          <w:b/>
          <w:bCs/>
          <w:szCs w:val="24"/>
          <w:u w:val="single"/>
        </w:rPr>
        <w:t xml:space="preserve">reveals WT RT-DOR contact occupancy profile </w:t>
      </w:r>
    </w:p>
    <w:p w14:paraId="62C2F962" w14:textId="77777777" w:rsidR="0061294B" w:rsidRDefault="0061294B" w:rsidP="0061294B">
      <w:pPr>
        <w:rPr>
          <w:rFonts w:ascii="Times New Roman" w:hAnsi="Times New Roman" w:cs="Times New Roman"/>
          <w:b/>
          <w:bCs/>
          <w:sz w:val="20"/>
          <w:szCs w:val="20"/>
        </w:rPr>
      </w:pPr>
      <w:r>
        <w:rPr>
          <w:rFonts w:ascii="Times New Roman" w:hAnsi="Times New Roman" w:cs="Times New Roman"/>
          <w:b/>
          <w:bCs/>
          <w:noProof/>
          <w:sz w:val="20"/>
          <w:szCs w:val="20"/>
        </w:rPr>
        <w:drawing>
          <wp:inline distT="0" distB="0" distL="0" distR="0" wp14:anchorId="5380AB9F" wp14:editId="0A44C8B5">
            <wp:extent cx="5943600" cy="3837305"/>
            <wp:effectExtent l="0" t="0" r="0" b="0"/>
            <wp:docPr id="267673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3711" name="Picture 2676737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6CE620AE" w14:textId="77777777" w:rsidR="0061294B" w:rsidRPr="005478F3" w:rsidRDefault="0061294B" w:rsidP="0061294B">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4</w:t>
      </w:r>
      <w:r w:rsidRPr="005478F3">
        <w:rPr>
          <w:rFonts w:ascii="Times New Roman" w:hAnsi="Times New Roman" w:cs="Times New Roman"/>
          <w:b/>
          <w:bCs/>
          <w:sz w:val="20"/>
          <w:szCs w:val="20"/>
        </w:rPr>
        <w:t xml:space="preserve">: </w:t>
      </w:r>
      <w:r>
        <w:rPr>
          <w:rFonts w:ascii="Times New Roman" w:hAnsi="Times New Roman" w:cs="Times New Roman"/>
          <w:b/>
          <w:bCs/>
          <w:sz w:val="20"/>
          <w:szCs w:val="20"/>
        </w:rPr>
        <w:t>Local trajectory-level contact analysis between DOR and NNIBP residues in WT RT-DOR simulations</w:t>
      </w:r>
      <w:r w:rsidRPr="005478F3">
        <w:rPr>
          <w:rFonts w:ascii="Times New Roman" w:hAnsi="Times New Roman" w:cs="Times New Roman"/>
          <w:b/>
          <w:bCs/>
          <w:sz w:val="20"/>
          <w:szCs w:val="20"/>
        </w:rPr>
        <w:t>.</w:t>
      </w:r>
      <w:r w:rsidRPr="005478F3">
        <w:rPr>
          <w:rFonts w:ascii="Times New Roman" w:hAnsi="Times New Roman" w:cs="Times New Roman"/>
          <w:sz w:val="20"/>
          <w:szCs w:val="20"/>
        </w:rPr>
        <w:t xml:space="preserve"> </w:t>
      </w:r>
      <w:r>
        <w:rPr>
          <w:rFonts w:ascii="Times New Roman" w:hAnsi="Times New Roman" w:cs="Times New Roman"/>
          <w:i/>
          <w:iCs/>
          <w:sz w:val="20"/>
          <w:szCs w:val="20"/>
        </w:rPr>
        <w:t>Top</w:t>
      </w:r>
      <w:r w:rsidRPr="005478F3">
        <w:rPr>
          <w:rFonts w:ascii="Times New Roman" w:hAnsi="Times New Roman" w:cs="Times New Roman"/>
          <w:i/>
          <w:iCs/>
          <w:sz w:val="20"/>
          <w:szCs w:val="20"/>
        </w:rPr>
        <w:t xml:space="preserve"> panel: </w:t>
      </w:r>
      <w:r>
        <w:rPr>
          <w:rFonts w:ascii="Times New Roman" w:hAnsi="Times New Roman" w:cs="Times New Roman"/>
          <w:sz w:val="20"/>
          <w:szCs w:val="20"/>
        </w:rPr>
        <w:t xml:space="preserve">Trajectories of minimum heavy atom distances between DOR and two exemplary NNIBP </w:t>
      </w:r>
      <w:r>
        <w:rPr>
          <w:rFonts w:ascii="Times New Roman" w:hAnsi="Times New Roman" w:cs="Times New Roman"/>
          <w:sz w:val="20"/>
          <w:szCs w:val="20"/>
        </w:rPr>
        <w:lastRenderedPageBreak/>
        <w:t>residues, Pro95 and Tyr318, observed in 100ns MD simulations of the WT DOR-RT complex performed in triplicates.</w:t>
      </w:r>
      <w:r w:rsidRPr="002B5128">
        <w:t xml:space="preserve"> </w:t>
      </w:r>
      <w:r w:rsidRPr="002B5128">
        <w:rPr>
          <w:rFonts w:ascii="Times New Roman" w:hAnsi="Times New Roman" w:cs="Times New Roman"/>
          <w:sz w:val="20"/>
          <w:szCs w:val="20"/>
        </w:rPr>
        <w:t xml:space="preserve">Solid lines indicate the mean trajectory and lighter color bands show the standard error of the mean across </w:t>
      </w:r>
      <w:r w:rsidRPr="002B5128">
        <w:rPr>
          <w:rFonts w:ascii="Times New Roman" w:hAnsi="Times New Roman" w:cs="Times New Roman"/>
          <w:i/>
          <w:iCs/>
          <w:sz w:val="20"/>
          <w:szCs w:val="20"/>
        </w:rPr>
        <w:t>N</w:t>
      </w:r>
      <w:r w:rsidRPr="002B5128">
        <w:rPr>
          <w:rFonts w:ascii="Times New Roman" w:hAnsi="Times New Roman" w:cs="Times New Roman"/>
          <w:sz w:val="20"/>
          <w:szCs w:val="20"/>
        </w:rPr>
        <w:t xml:space="preserve"> = 3 replicates in this as well as other trajectory visualizations in this </w:t>
      </w:r>
      <w:r>
        <w:rPr>
          <w:rFonts w:ascii="Times New Roman" w:hAnsi="Times New Roman" w:cs="Times New Roman"/>
          <w:sz w:val="20"/>
          <w:szCs w:val="20"/>
        </w:rPr>
        <w:t>study</w:t>
      </w:r>
      <w:r w:rsidRPr="002B5128">
        <w:rPr>
          <w:rFonts w:ascii="Times New Roman" w:hAnsi="Times New Roman" w:cs="Times New Roman"/>
          <w:sz w:val="20"/>
          <w:szCs w:val="20"/>
        </w:rPr>
        <w:t xml:space="preserve">. The dotted line represents the 4.0 Å cutoff used to define each contact. </w:t>
      </w:r>
      <w:r>
        <w:rPr>
          <w:rFonts w:ascii="Times New Roman" w:hAnsi="Times New Roman" w:cs="Times New Roman"/>
          <w:i/>
          <w:iCs/>
          <w:sz w:val="20"/>
          <w:szCs w:val="20"/>
        </w:rPr>
        <w:t xml:space="preserve">Bottom panel: </w:t>
      </w:r>
      <w:r>
        <w:rPr>
          <w:rFonts w:ascii="Times New Roman" w:hAnsi="Times New Roman" w:cs="Times New Roman"/>
          <w:sz w:val="20"/>
          <w:szCs w:val="20"/>
        </w:rPr>
        <w:t xml:space="preserve">Mean occupancy computed for all RT residues that came in contact with DOR at any point during the simulations, segregated by NNIBP regions (cf. Figure 3).   </w:t>
      </w:r>
    </w:p>
    <w:p w14:paraId="737F6178" w14:textId="77777777" w:rsidR="0061294B" w:rsidRDefault="0061294B" w:rsidP="009E48E6">
      <w:pPr>
        <w:rPr>
          <w:rFonts w:ascii="Times New Roman" w:hAnsi="Times New Roman" w:cs="Times New Roman"/>
          <w:szCs w:val="24"/>
        </w:rPr>
      </w:pPr>
    </w:p>
    <w:p w14:paraId="7ABF0B23" w14:textId="6D7AB3EB" w:rsidR="00985CF1" w:rsidRDefault="00985CF1" w:rsidP="002B5128">
      <w:pPr>
        <w:rPr>
          <w:rFonts w:ascii="Times New Roman" w:hAnsi="Times New Roman" w:cs="Times New Roman"/>
          <w:szCs w:val="24"/>
        </w:rPr>
      </w:pPr>
      <w:r w:rsidRPr="00985CF1">
        <w:rPr>
          <w:rFonts w:ascii="Times New Roman" w:hAnsi="Times New Roman" w:cs="Times New Roman"/>
          <w:szCs w:val="24"/>
        </w:rPr>
        <w:t>We next asked whether DOR resistance might instead be reflected in mutation-specific redistribution of local binding-pocket interactions. This hypothesis was motivated by two considerations. First, the NNIBP is sufficiently compact that short MD simulations may resolve local contact rearrangements even if they do not accurately recover full binding thermodynamics. Second, prior structural studies of NNRTI resistance suggest that reduced susceptibility can arise from altered pocket geometry, shifted anchoring interactions, and increased ligand pose heterogeneity, without necessarily producing a simple global affinity signal</w:t>
      </w:r>
      <w:r w:rsidR="00B923F2">
        <w:rPr>
          <w:rFonts w:ascii="Times New Roman" w:hAnsi="Times New Roman" w:cs="Times New Roman"/>
          <w:szCs w:val="24"/>
        </w:rPr>
        <w:t>.</w:t>
      </w:r>
      <w:r w:rsidR="00B923F2">
        <w:rPr>
          <w:rFonts w:ascii="Times New Roman" w:hAnsi="Times New Roman" w:cs="Times New Roman"/>
          <w:szCs w:val="24"/>
        </w:rPr>
        <w:fldChar w:fldCharType="begin"/>
      </w:r>
      <w:r w:rsidR="00BC7757">
        <w:rPr>
          <w:rFonts w:ascii="Times New Roman" w:hAnsi="Times New Roman" w:cs="Times New Roman"/>
          <w:szCs w:val="24"/>
        </w:rPr>
        <w:instrText xml:space="preserve"> ADDIN ZOTERO_ITEM CSL_CITATION {"citationID":"cdbL7NMl","properties":{"unsorted":false,"formattedCitation":"\\super 1\\uc0\\u8211{}3\\nosupersub{}","plainCitation":"1–3","noteIndex":0},"citationItems":[{"id":92,"uris":["http://zotero.org/users/19404620/items/W528QLF7"],"itemData":{"id":92,"type":"article-journal","abstract":"Inhibitors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resistance1","title-short":"The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Helena"}],"issued":{"date-parts":[["2006",4,1]]}}},{"id":94,"uris":["http://zotero.org/users/19404620/items/3ID966ME"],"itemData":{"id":94,"type":"article-journal","container-title":"Biophysical Journal","DOI":"10.1016/j.bpj.2020.04.008","ISSN":"0006-3495, 1542-0086","issue":"10","journalAbbreviation":"Biophysical Journal","language":"English","page":"2489-2501","PMID":"32348721","publisher":"Elsevier","source":"www.cell.com","title":"Small Conformational Changes Underlie Evolution of Resistance to NNRTI in HIV Reverse Transcriptase","volume":"118","author":[{"family":"Srivastava","given":"Ashutosh"},{"family":"Birari","given":"Varun"},{"family":"Sinha","given":"Somdatta"}],"issued":{"date-parts":[["2020",5,19]]}}}],"schema":"https://github.com/citation-style-language/schema/raw/master/csl-citation.json"} </w:instrText>
      </w:r>
      <w:r w:rsidR="00B923F2">
        <w:rPr>
          <w:rFonts w:ascii="Times New Roman" w:hAnsi="Times New Roman" w:cs="Times New Roman"/>
          <w:szCs w:val="24"/>
        </w:rPr>
        <w:fldChar w:fldCharType="separate"/>
      </w:r>
      <w:r w:rsidR="00BC7757" w:rsidRPr="00BC7757">
        <w:rPr>
          <w:rFonts w:ascii="Times New Roman" w:hAnsi="Times New Roman" w:cs="Times New Roman"/>
          <w:szCs w:val="24"/>
          <w:vertAlign w:val="superscript"/>
        </w:rPr>
        <w:t>1–3</w:t>
      </w:r>
      <w:r w:rsidR="00B923F2">
        <w:rPr>
          <w:rFonts w:ascii="Times New Roman" w:hAnsi="Times New Roman" w:cs="Times New Roman"/>
          <w:szCs w:val="24"/>
        </w:rPr>
        <w:fldChar w:fldCharType="end"/>
      </w:r>
      <w:r w:rsidR="002B5128" w:rsidRPr="009E48E6">
        <w:rPr>
          <w:rFonts w:ascii="Times New Roman" w:hAnsi="Times New Roman" w:cs="Times New Roman"/>
          <w:szCs w:val="24"/>
        </w:rPr>
        <w:t xml:space="preserve"> We therefore shifted our </w:t>
      </w:r>
      <w:r w:rsidRPr="00985CF1">
        <w:rPr>
          <w:rFonts w:ascii="Times New Roman" w:hAnsi="Times New Roman" w:cs="Times New Roman"/>
          <w:szCs w:val="24"/>
        </w:rPr>
        <w:t>analysis from aggregate energetic metrics to systematic residue-level characterization of DOR contacts within the NNIBP.</w:t>
      </w:r>
    </w:p>
    <w:p w14:paraId="2DD7964A" w14:textId="77777777" w:rsidR="00985CF1" w:rsidRDefault="00985CF1" w:rsidP="00985CF1">
      <w:pPr>
        <w:pStyle w:val="NormalWeb"/>
      </w:pPr>
      <w:r>
        <w:t>To define the WT local interaction landscape, we quantified residue-level DOR contacts across WT RT-DOR simulations. A residue was classified as contacting DOR in a given frame if the minimum heavy-atom distance between that residue and DOR was less than 4.0 Å (Figure 3). For each residue, we then calculated mean contact occupancy, hereafter referred to as mean occupancy, as the fraction of analyzed simulation frames in which this contact criterion was satisfied. This analysis was performed for all residues that contacted DOR at any point in any WT RT-DOR trajectory, yielding a residue-level mean occupancy profile for the WT complex (Figure 4).</w:t>
      </w:r>
    </w:p>
    <w:p w14:paraId="320C0803" w14:textId="7B725D85" w:rsidR="007D1187" w:rsidRDefault="00985CF1" w:rsidP="00985CF1">
      <w:pPr>
        <w:pStyle w:val="NormalWeb"/>
      </w:pPr>
      <w:r>
        <w:t>The WT occupancy profile revealed three notable features. First, DOR maintained persistent contacts with many NNIBP residues: of the 27 residues that contacted DOR at least once during the WT simulations, 18 had mean occupancy &gt; 0.5, indicating contact for more than half of the simulation time. Second, several NNIBP regions showed consistently high occupancy, including the pocket entrance (5 residues), hydrophobic tunnel (4 residues), and distal pocket wall (1 residue), each with an average mean occupancy across residues within the region exceeding 0.9. Third, contact behavior was highly residue-specific, as neighboring positions could display markedly different mean occupancies, exemplified by positions 105 versus 106 and 180 versus 181. Together, these results establish a WT reference map of stable and heterogeneous DOR-pocket interactions against which mutation-associated local rearrangements can be evaluated.</w:t>
      </w:r>
    </w:p>
    <w:p w14:paraId="4452ABA2" w14:textId="31EA77BA" w:rsidR="002B5128" w:rsidRPr="002B5128" w:rsidRDefault="00A537ED" w:rsidP="001D0F7D">
      <w:pPr>
        <w:rPr>
          <w:rFonts w:ascii="Times New Roman" w:hAnsi="Times New Roman" w:cs="Times New Roman"/>
          <w:b/>
          <w:bCs/>
          <w:szCs w:val="24"/>
          <w:u w:val="single"/>
        </w:rPr>
      </w:pPr>
      <w:r>
        <w:rPr>
          <w:rFonts w:ascii="Times New Roman" w:hAnsi="Times New Roman" w:cs="Times New Roman"/>
          <w:b/>
          <w:bCs/>
          <w:szCs w:val="24"/>
          <w:u w:val="single"/>
        </w:rPr>
        <w:t>C</w:t>
      </w:r>
      <w:r w:rsidR="002B5128">
        <w:rPr>
          <w:rFonts w:ascii="Times New Roman" w:hAnsi="Times New Roman" w:cs="Times New Roman"/>
          <w:b/>
          <w:bCs/>
          <w:szCs w:val="24"/>
          <w:u w:val="single"/>
        </w:rPr>
        <w:t xml:space="preserve">ontact occupancy profiles encode mutation-sensitive structural signals of DOR resistance </w:t>
      </w:r>
    </w:p>
    <w:p w14:paraId="69CE5B55" w14:textId="77777777" w:rsidR="002C427F" w:rsidRDefault="002C427F" w:rsidP="002C427F">
      <w:pPr>
        <w:rPr>
          <w:rFonts w:ascii="Times New Roman" w:hAnsi="Times New Roman" w:cs="Times New Roman"/>
          <w:szCs w:val="24"/>
        </w:rPr>
      </w:pPr>
      <w:r w:rsidRPr="002C427F">
        <w:rPr>
          <w:rFonts w:ascii="Times New Roman" w:hAnsi="Times New Roman" w:cs="Times New Roman"/>
          <w:szCs w:val="24"/>
        </w:rPr>
        <w:t>We then extended the contact analysis across all trajectories in the genotype panel to identify residues whose DOR-contact behavior changed preferentially in specific mutation backgrounds (Figure 5). For each mutant genotype, we compared residue-level mean occupancy against the WT reference profile, thereby generating a mutation-associated occupancy shift map across the NNIBP.</w:t>
      </w:r>
    </w:p>
    <w:p w14:paraId="15196DA4" w14:textId="77777777" w:rsidR="002C427F" w:rsidRPr="002C427F" w:rsidRDefault="002C427F" w:rsidP="002C427F">
      <w:pPr>
        <w:rPr>
          <w:rFonts w:ascii="Times New Roman" w:hAnsi="Times New Roman" w:cs="Times New Roman"/>
          <w:szCs w:val="24"/>
        </w:rPr>
      </w:pPr>
    </w:p>
    <w:p w14:paraId="5B84166B" w14:textId="77777777" w:rsidR="007D445F" w:rsidRDefault="007D445F" w:rsidP="001D0F7D">
      <w:pPr>
        <w:rPr>
          <w:rFonts w:ascii="Times New Roman" w:hAnsi="Times New Roman" w:cs="Times New Roman"/>
          <w:b/>
          <w:bCs/>
          <w:sz w:val="20"/>
          <w:szCs w:val="20"/>
        </w:rPr>
      </w:pPr>
    </w:p>
    <w:p w14:paraId="08A6A677" w14:textId="77777777" w:rsidR="007D445F" w:rsidRDefault="007D445F" w:rsidP="001D0F7D">
      <w:pPr>
        <w:rPr>
          <w:rFonts w:ascii="Times New Roman" w:hAnsi="Times New Roman" w:cs="Times New Roman"/>
          <w:b/>
          <w:bCs/>
          <w:sz w:val="20"/>
          <w:szCs w:val="20"/>
        </w:rPr>
      </w:pPr>
    </w:p>
    <w:p w14:paraId="287FCA54" w14:textId="77777777" w:rsidR="007D445F" w:rsidRDefault="007D445F" w:rsidP="001D0F7D">
      <w:pPr>
        <w:rPr>
          <w:rFonts w:ascii="Times New Roman" w:hAnsi="Times New Roman" w:cs="Times New Roman"/>
          <w:b/>
          <w:bCs/>
          <w:sz w:val="20"/>
          <w:szCs w:val="20"/>
        </w:rPr>
      </w:pPr>
    </w:p>
    <w:p w14:paraId="1098AAF7" w14:textId="77777777" w:rsidR="007D445F" w:rsidRDefault="007D445F" w:rsidP="001D0F7D">
      <w:pPr>
        <w:rPr>
          <w:rFonts w:ascii="Times New Roman" w:hAnsi="Times New Roman" w:cs="Times New Roman"/>
          <w:b/>
          <w:bCs/>
          <w:sz w:val="20"/>
          <w:szCs w:val="20"/>
        </w:rPr>
      </w:pPr>
    </w:p>
    <w:p w14:paraId="6F1B4A07" w14:textId="77777777" w:rsidR="007D445F" w:rsidRDefault="007D445F" w:rsidP="001D0F7D">
      <w:pPr>
        <w:rPr>
          <w:rFonts w:ascii="Times New Roman" w:hAnsi="Times New Roman" w:cs="Times New Roman"/>
          <w:b/>
          <w:bCs/>
          <w:sz w:val="20"/>
          <w:szCs w:val="20"/>
        </w:rPr>
      </w:pPr>
    </w:p>
    <w:p w14:paraId="53BA3DC7" w14:textId="77777777" w:rsidR="0061294B" w:rsidRDefault="0061294B" w:rsidP="001D0F7D">
      <w:pPr>
        <w:rPr>
          <w:rFonts w:ascii="Times New Roman" w:hAnsi="Times New Roman" w:cs="Times New Roman"/>
          <w:b/>
          <w:bCs/>
          <w:sz w:val="20"/>
          <w:szCs w:val="20"/>
        </w:rPr>
        <w:sectPr w:rsidR="0061294B">
          <w:pgSz w:w="12240" w:h="15840"/>
          <w:pgMar w:top="1440" w:right="1440" w:bottom="1440" w:left="1440" w:header="720" w:footer="720" w:gutter="0"/>
          <w:cols w:space="720"/>
          <w:docGrid w:linePitch="360"/>
        </w:sectPr>
      </w:pPr>
    </w:p>
    <w:p w14:paraId="22C0407B" w14:textId="3803C044" w:rsidR="007D445F" w:rsidRDefault="004327D7" w:rsidP="001D0F7D">
      <w:pPr>
        <w:rPr>
          <w:rFonts w:ascii="Times New Roman" w:hAnsi="Times New Roman" w:cs="Times New Roman"/>
          <w:b/>
          <w:bCs/>
          <w:sz w:val="20"/>
          <w:szCs w:val="20"/>
        </w:rPr>
      </w:pPr>
      <w:r>
        <w:rPr>
          <w:rFonts w:ascii="Times New Roman" w:hAnsi="Times New Roman" w:cs="Times New Roman"/>
          <w:b/>
          <w:bCs/>
          <w:noProof/>
          <w:sz w:val="20"/>
          <w:szCs w:val="20"/>
        </w:rPr>
        <w:lastRenderedPageBreak/>
        <w:drawing>
          <wp:inline distT="0" distB="0" distL="0" distR="0" wp14:anchorId="02F3B425" wp14:editId="78CB4010">
            <wp:extent cx="9228907" cy="3822700"/>
            <wp:effectExtent l="0" t="0" r="4445" b="0"/>
            <wp:docPr id="28250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09083" name="Picture 2825090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339282" cy="3868419"/>
                    </a:xfrm>
                    <a:prstGeom prst="rect">
                      <a:avLst/>
                    </a:prstGeom>
                  </pic:spPr>
                </pic:pic>
              </a:graphicData>
            </a:graphic>
          </wp:inline>
        </w:drawing>
      </w:r>
    </w:p>
    <w:p w14:paraId="26A5D1C5" w14:textId="77777777" w:rsidR="007D445F" w:rsidRDefault="007D445F" w:rsidP="001D0F7D">
      <w:pPr>
        <w:rPr>
          <w:rFonts w:ascii="Times New Roman" w:hAnsi="Times New Roman" w:cs="Times New Roman"/>
          <w:b/>
          <w:bCs/>
          <w:sz w:val="20"/>
          <w:szCs w:val="20"/>
        </w:rPr>
      </w:pPr>
    </w:p>
    <w:p w14:paraId="11E037EE" w14:textId="2FC1534F" w:rsidR="00BE6784" w:rsidRPr="003919B1" w:rsidRDefault="003919B1" w:rsidP="001D0F7D">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5</w:t>
      </w:r>
      <w:r w:rsidRPr="005478F3">
        <w:rPr>
          <w:rFonts w:ascii="Times New Roman" w:hAnsi="Times New Roman" w:cs="Times New Roman"/>
          <w:b/>
          <w:bCs/>
          <w:sz w:val="20"/>
          <w:szCs w:val="20"/>
        </w:rPr>
        <w:t xml:space="preserve">: </w:t>
      </w:r>
      <w:r>
        <w:rPr>
          <w:rFonts w:ascii="Times New Roman" w:hAnsi="Times New Roman" w:cs="Times New Roman"/>
          <w:b/>
          <w:bCs/>
          <w:sz w:val="20"/>
          <w:szCs w:val="20"/>
        </w:rPr>
        <w:t>Mutation-associated changes in mean occupancy</w:t>
      </w:r>
      <w:r w:rsidRPr="005478F3">
        <w:rPr>
          <w:rFonts w:ascii="Times New Roman" w:hAnsi="Times New Roman" w:cs="Times New Roman"/>
          <w:b/>
          <w:bCs/>
          <w:sz w:val="20"/>
          <w:szCs w:val="20"/>
        </w:rPr>
        <w:t>.</w:t>
      </w:r>
      <w:r w:rsidRPr="005478F3">
        <w:rPr>
          <w:rFonts w:ascii="Times New Roman" w:hAnsi="Times New Roman" w:cs="Times New Roman"/>
          <w:sz w:val="20"/>
          <w:szCs w:val="20"/>
        </w:rPr>
        <w:t xml:space="preserve"> </w:t>
      </w:r>
      <w:r>
        <w:rPr>
          <w:rFonts w:ascii="Times New Roman" w:hAnsi="Times New Roman" w:cs="Times New Roman"/>
          <w:sz w:val="20"/>
          <w:szCs w:val="20"/>
        </w:rPr>
        <w:t xml:space="preserve">X-axis lists all the 27 residues that were ever in contact with DOR in WT RT-DOR simulations. Y-axis lists the 18 DOR-associated genotypes including negative controls, positive controls, and the </w:t>
      </w:r>
      <w:r w:rsidR="00862498">
        <w:rPr>
          <w:rFonts w:ascii="Times New Roman" w:hAnsi="Times New Roman" w:cs="Times New Roman"/>
          <w:sz w:val="20"/>
          <w:szCs w:val="20"/>
        </w:rPr>
        <w:t>uncertain phenotype</w:t>
      </w:r>
      <w:r w:rsidR="003E13C8">
        <w:rPr>
          <w:rFonts w:ascii="Times New Roman" w:hAnsi="Times New Roman" w:cs="Times New Roman"/>
          <w:sz w:val="20"/>
          <w:szCs w:val="20"/>
        </w:rPr>
        <w:t xml:space="preserve"> </w:t>
      </w:r>
      <w:r>
        <w:rPr>
          <w:rFonts w:ascii="Times New Roman" w:hAnsi="Times New Roman" w:cs="Times New Roman"/>
          <w:sz w:val="20"/>
          <w:szCs w:val="20"/>
        </w:rPr>
        <w:t>set. Values inside each cell in the heatmap represent the change in mean occupancy vs WT for each residue as observed in MD simulations for each genotype.</w:t>
      </w:r>
    </w:p>
    <w:p w14:paraId="2AE0E804" w14:textId="77777777" w:rsidR="0061294B" w:rsidRDefault="0061294B" w:rsidP="001D0F7D">
      <w:pPr>
        <w:rPr>
          <w:rFonts w:ascii="Times New Roman" w:hAnsi="Times New Roman" w:cs="Times New Roman"/>
          <w:szCs w:val="24"/>
        </w:rPr>
        <w:sectPr w:rsidR="0061294B" w:rsidSect="0061294B">
          <w:pgSz w:w="15840" w:h="12226" w:orient="landscape"/>
          <w:pgMar w:top="720" w:right="720" w:bottom="720" w:left="720" w:header="720" w:footer="720" w:gutter="0"/>
          <w:cols w:space="720"/>
          <w:docGrid w:linePitch="360"/>
        </w:sectPr>
      </w:pPr>
    </w:p>
    <w:p w14:paraId="210CCEFE" w14:textId="77777777" w:rsidR="002C427F" w:rsidRPr="002C427F" w:rsidRDefault="002C427F" w:rsidP="002C427F">
      <w:pPr>
        <w:rPr>
          <w:rFonts w:ascii="Times New Roman" w:hAnsi="Times New Roman" w:cs="Times New Roman"/>
          <w:szCs w:val="24"/>
        </w:rPr>
      </w:pPr>
      <w:r w:rsidRPr="002C427F">
        <w:rPr>
          <w:rFonts w:ascii="Times New Roman" w:hAnsi="Times New Roman" w:cs="Times New Roman"/>
          <w:szCs w:val="24"/>
        </w:rPr>
        <w:lastRenderedPageBreak/>
        <w:t>This systematic screen revealed two broad patterns. First, residues at the mutated positions themselves generally showed only modest changes in DOR contact occupancy relative to WT, with few shifts exceeding 10 percentage points. The main exceptions were V106I+F227C, which reduced occupancy at the mutated position Phe227 by 0.28 relative to WT, and K103N+P225H, which reduced occupancy at the mutated position Pro225 by 0.12. Second, the largest mutation-associated occupancy shifts typically occurred at residues that were not themselves mutated. For example, G190E reduced DOR contact occupancy at the unmutated residue Val179 by 0.85 relative to WT, whereas V106A+L234I increased occupancy at the unmutated residue Ser105 by 0.87. These observations suggest that resistance-associated mutations can remodel the local DOR interaction network indirectly, rather than simply disrupting contacts at the mutated residue.</w:t>
      </w:r>
    </w:p>
    <w:p w14:paraId="026CE22A" w14:textId="77777777" w:rsidR="004327D7" w:rsidRDefault="004327D7" w:rsidP="001D0F7D">
      <w:pPr>
        <w:rPr>
          <w:rFonts w:ascii="Times New Roman" w:hAnsi="Times New Roman" w:cs="Times New Roman"/>
          <w:szCs w:val="24"/>
        </w:rPr>
      </w:pPr>
    </w:p>
    <w:p w14:paraId="2330D890" w14:textId="25D5A348" w:rsidR="002C427F" w:rsidRDefault="002C427F" w:rsidP="001D0F7D">
      <w:pPr>
        <w:rPr>
          <w:rFonts w:ascii="Times New Roman" w:hAnsi="Times New Roman" w:cs="Times New Roman"/>
          <w:szCs w:val="24"/>
        </w:rPr>
      </w:pPr>
      <w:r w:rsidRPr="002C427F">
        <w:rPr>
          <w:rFonts w:ascii="Times New Roman" w:hAnsi="Times New Roman" w:cs="Times New Roman"/>
          <w:szCs w:val="24"/>
        </w:rPr>
        <w:t xml:space="preserve">Comparing occupancy-shift patterns between positive and negative control mutations further suggested that specific residue-level contacts may function as reporter coordinates for resistance-associated structural rearrangements. </w:t>
      </w:r>
      <w:r>
        <w:rPr>
          <w:rFonts w:ascii="Times New Roman" w:hAnsi="Times New Roman" w:cs="Times New Roman"/>
          <w:szCs w:val="24"/>
        </w:rPr>
        <w:t>Such</w:t>
      </w:r>
      <w:r w:rsidRPr="002C427F">
        <w:rPr>
          <w:rFonts w:ascii="Times New Roman" w:hAnsi="Times New Roman" w:cs="Times New Roman"/>
          <w:szCs w:val="24"/>
        </w:rPr>
        <w:t xml:space="preserve"> reporter residues or reporter groups as local readouts of protein conformational dynamics</w:t>
      </w:r>
      <w:r>
        <w:rPr>
          <w:rFonts w:ascii="Times New Roman" w:hAnsi="Times New Roman" w:cs="Times New Roman"/>
          <w:szCs w:val="24"/>
        </w:rPr>
        <w:t xml:space="preserve"> are commonly used to</w:t>
      </w:r>
      <w:r w:rsidRPr="002C427F">
        <w:rPr>
          <w:rFonts w:ascii="Times New Roman" w:hAnsi="Times New Roman" w:cs="Times New Roman"/>
          <w:szCs w:val="24"/>
        </w:rPr>
        <w:t xml:space="preserve"> describ</w:t>
      </w:r>
      <w:r>
        <w:rPr>
          <w:rFonts w:ascii="Times New Roman" w:hAnsi="Times New Roman" w:cs="Times New Roman"/>
          <w:szCs w:val="24"/>
        </w:rPr>
        <w:t>e</w:t>
      </w:r>
      <w:r w:rsidRPr="002C427F">
        <w:rPr>
          <w:rFonts w:ascii="Times New Roman" w:hAnsi="Times New Roman" w:cs="Times New Roman"/>
          <w:szCs w:val="24"/>
        </w:rPr>
        <w:t xml:space="preserve"> complex conformational changes through reduced structural descriptors</w:t>
      </w:r>
      <w:r>
        <w:rPr>
          <w:rFonts w:ascii="Times New Roman" w:hAnsi="Times New Roman" w:cs="Times New Roman"/>
          <w:szCs w:val="24"/>
        </w:rPr>
        <w:t>, otherwise called</w:t>
      </w:r>
      <w:r w:rsidRPr="002C427F">
        <w:rPr>
          <w:rFonts w:ascii="Times New Roman" w:hAnsi="Times New Roman" w:cs="Times New Roman"/>
          <w:szCs w:val="24"/>
        </w:rPr>
        <w:t xml:space="preserve"> order parameters, collective variables, or </w:t>
      </w:r>
      <w:r>
        <w:rPr>
          <w:rFonts w:ascii="Times New Roman" w:hAnsi="Times New Roman" w:cs="Times New Roman"/>
          <w:szCs w:val="24"/>
        </w:rPr>
        <w:t>reaction coordinates</w:t>
      </w:r>
      <w:r w:rsidRPr="002C427F">
        <w:rPr>
          <w:rFonts w:ascii="Times New Roman" w:hAnsi="Times New Roman" w:cs="Times New Roman"/>
          <w:szCs w:val="24"/>
        </w:rPr>
        <w:t>. In this context, reporter coordinates are residue-level DOR-contact features whose occupancy changes reflect mutation-</w:t>
      </w:r>
      <w:r w:rsidR="00456A13">
        <w:rPr>
          <w:rFonts w:ascii="Times New Roman" w:hAnsi="Times New Roman" w:cs="Times New Roman"/>
          <w:szCs w:val="24"/>
        </w:rPr>
        <w:t>associated</w:t>
      </w:r>
      <w:r w:rsidRPr="002C427F">
        <w:rPr>
          <w:rFonts w:ascii="Times New Roman" w:hAnsi="Times New Roman" w:cs="Times New Roman"/>
          <w:szCs w:val="24"/>
        </w:rPr>
        <w:t xml:space="preserve"> remodeling elsewhere in the NNIBP.</w:t>
      </w:r>
    </w:p>
    <w:p w14:paraId="5E834BFC" w14:textId="77777777" w:rsidR="000D17F2" w:rsidRDefault="000D17F2" w:rsidP="001D0F7D">
      <w:pPr>
        <w:rPr>
          <w:rFonts w:ascii="Times New Roman" w:hAnsi="Times New Roman" w:cs="Times New Roman"/>
          <w:szCs w:val="24"/>
        </w:rPr>
      </w:pPr>
    </w:p>
    <w:p w14:paraId="189AAFA1" w14:textId="54F12CC7" w:rsidR="000D17F2" w:rsidRDefault="000D17F2" w:rsidP="001D0F7D">
      <w:pPr>
        <w:rPr>
          <w:rFonts w:ascii="Times New Roman" w:hAnsi="Times New Roman" w:cs="Times New Roman"/>
          <w:szCs w:val="24"/>
        </w:rPr>
      </w:pPr>
      <w:r w:rsidRPr="000D17F2">
        <w:rPr>
          <w:rFonts w:ascii="Times New Roman" w:hAnsi="Times New Roman" w:cs="Times New Roman"/>
          <w:szCs w:val="24"/>
        </w:rPr>
        <w:t>For example, Y188L, a canonical DOR resistance-associated mutation, increased DOR contact occupancy at Lys102 by 0.23 and decreased occupancy at Pro225 by 0.16 relative to WT. In contrast, Y181C, a negative control mutation in this analysis, produced minimal occupancy changes at the same positions, with shifts of approximately ±0.01 relative to WT for Lys102 and Pro225, respectively. These divergent patterns suggest that DOR interactions with Lys102 and Pro225 may serve as local structural readouts of resistance-associated pocket remodeling, even when the residues themselves are not necessarily the primary sites of mutational perturbation.</w:t>
      </w:r>
    </w:p>
    <w:p w14:paraId="599D69A7" w14:textId="77777777" w:rsidR="001823FD" w:rsidRDefault="001823FD" w:rsidP="001D0F7D">
      <w:pPr>
        <w:rPr>
          <w:rFonts w:ascii="Times New Roman" w:hAnsi="Times New Roman" w:cs="Times New Roman"/>
          <w:szCs w:val="24"/>
        </w:rPr>
      </w:pPr>
    </w:p>
    <w:p w14:paraId="01CED770" w14:textId="00BDF1F5" w:rsidR="001823FD" w:rsidRDefault="001823FD" w:rsidP="001D0F7D">
      <w:pPr>
        <w:rPr>
          <w:rFonts w:ascii="Times New Roman" w:hAnsi="Times New Roman" w:cs="Times New Roman"/>
          <w:szCs w:val="24"/>
        </w:rPr>
      </w:pPr>
      <w:r w:rsidRPr="001823FD">
        <w:rPr>
          <w:rFonts w:ascii="Times New Roman" w:hAnsi="Times New Roman" w:cs="Times New Roman"/>
          <w:szCs w:val="24"/>
        </w:rPr>
        <w:t>Because many residue-level contacts were evaluated, we treated candidate reporter coordinates as hypothesis-generating features rather than as definitive biomarkers of resistance based solely on effect size. To reduce the likelihood that these signals reflect chance observations from multiple comparisons, we prioritized residues that satisfied several criteria: reproducible occupancy shifts across independent trajectories, large WT-referenced effect sizes, consistency within structurally interpretable NNIBP regions, and differential behavior between positive and negative control mutations. Thus, reporter coordinates were not selected solely because they showed an extreme value in a high-dimensional screen, but because they captured recurrent, mutation-associated changes in DOR-pocket organization that were also interpretable in the structural context of the RT-DOR complex.</w:t>
      </w:r>
    </w:p>
    <w:p w14:paraId="1A0A1721" w14:textId="77777777" w:rsidR="001823FD" w:rsidRDefault="001823FD" w:rsidP="001D0F7D">
      <w:pPr>
        <w:rPr>
          <w:rFonts w:ascii="Times New Roman" w:hAnsi="Times New Roman" w:cs="Times New Roman"/>
          <w:szCs w:val="24"/>
        </w:rPr>
      </w:pPr>
    </w:p>
    <w:p w14:paraId="1F598AF8" w14:textId="2074A767" w:rsidR="001823FD" w:rsidRDefault="001823FD" w:rsidP="001D0F7D">
      <w:pPr>
        <w:rPr>
          <w:rFonts w:ascii="Times New Roman" w:hAnsi="Times New Roman" w:cs="Times New Roman"/>
          <w:szCs w:val="24"/>
        </w:rPr>
      </w:pPr>
      <w:r w:rsidRPr="001823FD">
        <w:rPr>
          <w:rFonts w:ascii="Times New Roman" w:hAnsi="Times New Roman" w:cs="Times New Roman"/>
          <w:szCs w:val="24"/>
        </w:rPr>
        <w:t xml:space="preserve">We further addressed this concern by comparing observed occupancy shifts against an empirical null distribution generated by trajectory-level resampling. Specifically, mutation labels were permuted across replicate trajectories, and the largest absolute occupancy shift observed across </w:t>
      </w:r>
      <w:r w:rsidR="000C068E">
        <w:rPr>
          <w:rFonts w:ascii="Times New Roman" w:hAnsi="Times New Roman" w:cs="Times New Roman"/>
          <w:szCs w:val="24"/>
        </w:rPr>
        <w:t xml:space="preserve">all 27 WT-contacted </w:t>
      </w:r>
      <w:r w:rsidRPr="001823FD">
        <w:rPr>
          <w:rFonts w:ascii="Times New Roman" w:hAnsi="Times New Roman" w:cs="Times New Roman"/>
          <w:szCs w:val="24"/>
        </w:rPr>
        <w:t xml:space="preserve">residues was recorded for each permutation. </w:t>
      </w:r>
      <w:r w:rsidR="000C068E" w:rsidRPr="000C068E">
        <w:rPr>
          <w:rFonts w:ascii="Times New Roman" w:hAnsi="Times New Roman" w:cs="Times New Roman"/>
          <w:szCs w:val="24"/>
        </w:rPr>
        <w:t xml:space="preserve">This global maximum statistic estimates the magnitude of occupancy shift expected by chance when applying the same residue-screening procedure to the same trajectory set. </w:t>
      </w:r>
      <w:r w:rsidR="003431AA">
        <w:rPr>
          <w:rFonts w:ascii="Times New Roman" w:hAnsi="Times New Roman" w:cs="Times New Roman"/>
          <w:szCs w:val="24"/>
        </w:rPr>
        <w:t>Only two</w:t>
      </w:r>
      <w:r w:rsidR="000C068E" w:rsidRPr="000C068E">
        <w:rPr>
          <w:rFonts w:ascii="Times New Roman" w:hAnsi="Times New Roman" w:cs="Times New Roman"/>
          <w:szCs w:val="24"/>
        </w:rPr>
        <w:t xml:space="preserve"> reporter coordinates were observed </w:t>
      </w:r>
      <w:r w:rsidR="003431AA">
        <w:rPr>
          <w:rFonts w:ascii="Times New Roman" w:hAnsi="Times New Roman" w:cs="Times New Roman"/>
          <w:szCs w:val="24"/>
        </w:rPr>
        <w:t xml:space="preserve">to have </w:t>
      </w:r>
      <w:r w:rsidR="000C068E" w:rsidRPr="000C068E">
        <w:rPr>
          <w:rFonts w:ascii="Times New Roman" w:hAnsi="Times New Roman" w:cs="Times New Roman"/>
          <w:szCs w:val="24"/>
        </w:rPr>
        <w:t>absolute WT-referenced occupancy shifts exceed</w:t>
      </w:r>
      <w:r w:rsidR="003431AA">
        <w:rPr>
          <w:rFonts w:ascii="Times New Roman" w:hAnsi="Times New Roman" w:cs="Times New Roman"/>
          <w:szCs w:val="24"/>
        </w:rPr>
        <w:t>ing</w:t>
      </w:r>
      <w:r w:rsidR="000C068E" w:rsidRPr="000C068E">
        <w:rPr>
          <w:rFonts w:ascii="Times New Roman" w:hAnsi="Times New Roman" w:cs="Times New Roman"/>
          <w:szCs w:val="24"/>
        </w:rPr>
        <w:t xml:space="preserve"> the 90th percentile of this null </w:t>
      </w:r>
      <w:r w:rsidR="000C068E" w:rsidRPr="000C068E">
        <w:rPr>
          <w:rFonts w:ascii="Times New Roman" w:hAnsi="Times New Roman" w:cs="Times New Roman"/>
          <w:szCs w:val="24"/>
        </w:rPr>
        <w:lastRenderedPageBreak/>
        <w:t>distribution (Supplementary Figure 1)</w:t>
      </w:r>
      <w:r w:rsidR="003431AA">
        <w:rPr>
          <w:rFonts w:ascii="Times New Roman" w:hAnsi="Times New Roman" w:cs="Times New Roman"/>
          <w:szCs w:val="24"/>
        </w:rPr>
        <w:t xml:space="preserve"> – Val179 for G190E and Ser105 for V106A containing genotypes (V106A, V106A+P225H, V106A+F227L, V106A+L234I).</w:t>
      </w:r>
    </w:p>
    <w:p w14:paraId="5F5AF814" w14:textId="77777777" w:rsidR="00CB3AC6" w:rsidRPr="00737ECD" w:rsidRDefault="00CB3AC6" w:rsidP="001D0F7D">
      <w:pPr>
        <w:rPr>
          <w:rFonts w:ascii="Cambria Math" w:hAnsi="Cambria Math" w:cs="Times New Roman"/>
          <w:szCs w:val="24"/>
        </w:rPr>
      </w:pPr>
    </w:p>
    <w:p w14:paraId="28FDD53E" w14:textId="34D88707" w:rsidR="00406A32" w:rsidRPr="00406A32" w:rsidRDefault="005C2299" w:rsidP="00406A32">
      <w:pPr>
        <w:rPr>
          <w:rFonts w:ascii="Times New Roman" w:hAnsi="Times New Roman" w:cs="Times New Roman"/>
          <w:b/>
          <w:bCs/>
          <w:szCs w:val="24"/>
        </w:rPr>
      </w:pPr>
      <w:r w:rsidRPr="005C2299">
        <w:rPr>
          <w:rFonts w:ascii="Times New Roman" w:hAnsi="Times New Roman" w:cs="Times New Roman"/>
          <w:i/>
          <w:iCs/>
          <w:szCs w:val="24"/>
          <w:u w:val="single"/>
        </w:rPr>
        <w:t xml:space="preserve">V106A-containing genotypes shift DOR toward the </w:t>
      </w:r>
      <w:r>
        <w:rPr>
          <w:rFonts w:ascii="Times New Roman" w:hAnsi="Times New Roman" w:cs="Times New Roman"/>
          <w:i/>
          <w:iCs/>
          <w:szCs w:val="24"/>
          <w:u w:val="single"/>
        </w:rPr>
        <w:t>103-108 loop</w:t>
      </w:r>
      <w:r w:rsidR="00406A32">
        <w:rPr>
          <w:rFonts w:ascii="Times New Roman" w:hAnsi="Times New Roman" w:cs="Times New Roman"/>
          <w:noProof/>
          <w:szCs w:val="24"/>
        </w:rPr>
        <w:drawing>
          <wp:inline distT="0" distB="0" distL="0" distR="0" wp14:anchorId="6B9637FF" wp14:editId="523D3904">
            <wp:extent cx="5943600" cy="2429510"/>
            <wp:effectExtent l="0" t="0" r="0" b="0"/>
            <wp:docPr id="14751860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86070" name="Picture 14751860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r w:rsidR="00406A32" w:rsidRPr="00406A32">
        <w:rPr>
          <w:rFonts w:ascii="Arial" w:hAnsi="Arial" w:cs="Arial"/>
          <w:b/>
          <w:bCs/>
          <w:szCs w:val="24"/>
        </w:rPr>
        <w:t xml:space="preserve"> </w:t>
      </w:r>
      <w:r w:rsidR="00406A32" w:rsidRPr="00406A32">
        <w:rPr>
          <w:rFonts w:ascii="Times New Roman" w:hAnsi="Times New Roman" w:cs="Times New Roman"/>
          <w:b/>
          <w:bCs/>
          <w:szCs w:val="24"/>
        </w:rPr>
        <w:t>WT</w:t>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t>V106I</w:t>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r>
      <w:r w:rsidR="00406A32" w:rsidRPr="00406A32">
        <w:rPr>
          <w:rFonts w:ascii="Times New Roman" w:hAnsi="Times New Roman" w:cs="Times New Roman"/>
          <w:b/>
          <w:bCs/>
          <w:szCs w:val="24"/>
        </w:rPr>
        <w:tab/>
        <w:t>V106A</w:t>
      </w:r>
    </w:p>
    <w:p w14:paraId="2CEA7A5A" w14:textId="77777777" w:rsidR="00406A32" w:rsidRPr="009055AB" w:rsidRDefault="00406A32" w:rsidP="00406A32">
      <w:pPr>
        <w:rPr>
          <w:rFonts w:ascii="Arial" w:hAnsi="Arial" w:cs="Arial"/>
          <w:szCs w:val="24"/>
        </w:rPr>
      </w:pPr>
      <w:r>
        <w:rPr>
          <w:rFonts w:ascii="Arial" w:hAnsi="Arial" w:cs="Arial"/>
          <w:noProof/>
          <w:szCs w:val="24"/>
        </w:rPr>
        <w:drawing>
          <wp:inline distT="0" distB="0" distL="0" distR="0" wp14:anchorId="40D39643" wp14:editId="576A8F8D">
            <wp:extent cx="1859028" cy="1820283"/>
            <wp:effectExtent l="0" t="0" r="0" b="0"/>
            <wp:docPr id="17950035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03529" name="Picture 1795003529"/>
                    <pic:cNvPicPr/>
                  </pic:nvPicPr>
                  <pic:blipFill rotWithShape="1">
                    <a:blip r:embed="rId12" cstate="print">
                      <a:extLst>
                        <a:ext uri="{28A0092B-C50C-407E-A947-70E740481C1C}">
                          <a14:useLocalDpi xmlns:a14="http://schemas.microsoft.com/office/drawing/2010/main" val="0"/>
                        </a:ext>
                      </a:extLst>
                    </a:blip>
                    <a:srcRect l="32927" r="14308"/>
                    <a:stretch>
                      <a:fillRect/>
                    </a:stretch>
                  </pic:blipFill>
                  <pic:spPr bwMode="auto">
                    <a:xfrm>
                      <a:off x="0" y="0"/>
                      <a:ext cx="1868045" cy="1829112"/>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5FBC1DA1" wp14:editId="4EC99323">
            <wp:extent cx="1829731" cy="1798572"/>
            <wp:effectExtent l="0" t="0" r="0" b="5080"/>
            <wp:docPr id="132051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178" name="Picture 132051178"/>
                    <pic:cNvPicPr/>
                  </pic:nvPicPr>
                  <pic:blipFill rotWithShape="1">
                    <a:blip r:embed="rId13" cstate="print">
                      <a:extLst>
                        <a:ext uri="{28A0092B-C50C-407E-A947-70E740481C1C}">
                          <a14:useLocalDpi xmlns:a14="http://schemas.microsoft.com/office/drawing/2010/main" val="0"/>
                        </a:ext>
                      </a:extLst>
                    </a:blip>
                    <a:srcRect l="29356" r="18082"/>
                    <a:stretch>
                      <a:fillRect/>
                    </a:stretch>
                  </pic:blipFill>
                  <pic:spPr bwMode="auto">
                    <a:xfrm>
                      <a:off x="0" y="0"/>
                      <a:ext cx="1849493" cy="1817998"/>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261E83E7" wp14:editId="7BB6F4C1">
            <wp:extent cx="1629472" cy="1798572"/>
            <wp:effectExtent l="0" t="0" r="0" b="5080"/>
            <wp:docPr id="12094022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02231" name="Picture 1209402231"/>
                    <pic:cNvPicPr/>
                  </pic:nvPicPr>
                  <pic:blipFill rotWithShape="1">
                    <a:blip r:embed="rId14" cstate="print">
                      <a:extLst>
                        <a:ext uri="{28A0092B-C50C-407E-A947-70E740481C1C}">
                          <a14:useLocalDpi xmlns:a14="http://schemas.microsoft.com/office/drawing/2010/main" val="0"/>
                        </a:ext>
                      </a:extLst>
                    </a:blip>
                    <a:srcRect l="32927" r="20264"/>
                    <a:stretch>
                      <a:fillRect/>
                    </a:stretch>
                  </pic:blipFill>
                  <pic:spPr bwMode="auto">
                    <a:xfrm>
                      <a:off x="0" y="0"/>
                      <a:ext cx="1643402" cy="1813947"/>
                    </a:xfrm>
                    <a:prstGeom prst="rect">
                      <a:avLst/>
                    </a:prstGeom>
                    <a:ln>
                      <a:noFill/>
                    </a:ln>
                    <a:extLst>
                      <a:ext uri="{53640926-AAD7-44D8-BBD7-CCE9431645EC}">
                        <a14:shadowObscured xmlns:a14="http://schemas.microsoft.com/office/drawing/2010/main"/>
                      </a:ext>
                    </a:extLst>
                  </pic:spPr>
                </pic:pic>
              </a:graphicData>
            </a:graphic>
          </wp:inline>
        </w:drawing>
      </w:r>
    </w:p>
    <w:p w14:paraId="7F36B645" w14:textId="274E1BF0" w:rsidR="00406A32" w:rsidRDefault="00406A32" w:rsidP="00406A32">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7</w:t>
      </w:r>
      <w:r w:rsidRPr="005478F3">
        <w:rPr>
          <w:rFonts w:ascii="Times New Roman" w:hAnsi="Times New Roman" w:cs="Times New Roman"/>
          <w:b/>
          <w:bCs/>
          <w:sz w:val="20"/>
          <w:szCs w:val="20"/>
        </w:rPr>
        <w:t xml:space="preserve">: </w:t>
      </w:r>
      <w:r w:rsidRPr="00406A32">
        <w:rPr>
          <w:rFonts w:ascii="Times New Roman" w:hAnsi="Times New Roman" w:cs="Times New Roman"/>
          <w:b/>
          <w:bCs/>
          <w:sz w:val="20"/>
          <w:szCs w:val="20"/>
        </w:rPr>
        <w:t xml:space="preserve">V106A preferentially alters DOR pose, causing Ser105 to shift closer to DOR. </w:t>
      </w:r>
      <w:r w:rsidRPr="00406A32">
        <w:rPr>
          <w:rFonts w:ascii="Times New Roman" w:hAnsi="Times New Roman" w:cs="Times New Roman"/>
          <w:sz w:val="20"/>
          <w:szCs w:val="20"/>
        </w:rPr>
        <w:t>(Top) Minimum distance between heavy atoms of Ser105 and DOR observed in MD simulations of WT, V106I, and V106A. (Bottom) Snapshots of a single frame across WT, V106I, and V106A trajectories, showing Ser105 shifted closer to DOR in case of V106A as compared to WT and V106I.</w:t>
      </w:r>
    </w:p>
    <w:p w14:paraId="41C0062C" w14:textId="3A649C79" w:rsidR="00737ECD" w:rsidRDefault="00737ECD" w:rsidP="001D0F7D">
      <w:pPr>
        <w:rPr>
          <w:rFonts w:ascii="Times New Roman" w:hAnsi="Times New Roman" w:cs="Times New Roman"/>
          <w:szCs w:val="24"/>
        </w:rPr>
      </w:pPr>
    </w:p>
    <w:p w14:paraId="2916941F" w14:textId="2E4DFA48"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V106 region is a major determinant of DOR susceptibility because V106 directly contacts the central </w:t>
      </w:r>
      <w:proofErr w:type="spellStart"/>
      <w:r w:rsidRPr="004B23D9">
        <w:rPr>
          <w:rFonts w:ascii="Times New Roman" w:hAnsi="Times New Roman" w:cs="Times New Roman"/>
          <w:szCs w:val="24"/>
        </w:rPr>
        <w:t>pyridone</w:t>
      </w:r>
      <w:proofErr w:type="spellEnd"/>
      <w:r>
        <w:rPr>
          <w:rFonts w:ascii="Times New Roman" w:hAnsi="Times New Roman" w:cs="Times New Roman"/>
          <w:szCs w:val="24"/>
        </w:rPr>
        <w:t xml:space="preserve"> core of DOR</w:t>
      </w:r>
      <w:r w:rsidRPr="004B23D9">
        <w:rPr>
          <w:rFonts w:ascii="Times New Roman" w:hAnsi="Times New Roman" w:cs="Times New Roman"/>
          <w:szCs w:val="24"/>
        </w:rPr>
        <w:t xml:space="preserve">. However, the literature and our own genotype panel indicate that not all </w:t>
      </w:r>
      <w:r w:rsidR="0023650E">
        <w:rPr>
          <w:rFonts w:ascii="Times New Roman" w:hAnsi="Times New Roman" w:cs="Times New Roman"/>
          <w:szCs w:val="24"/>
        </w:rPr>
        <w:t>V</w:t>
      </w:r>
      <w:r w:rsidRPr="004B23D9">
        <w:rPr>
          <w:rFonts w:ascii="Times New Roman" w:hAnsi="Times New Roman" w:cs="Times New Roman"/>
          <w:szCs w:val="24"/>
        </w:rPr>
        <w:t xml:space="preserve">106 </w:t>
      </w:r>
      <w:r w:rsidR="0023650E">
        <w:rPr>
          <w:rFonts w:ascii="Times New Roman" w:hAnsi="Times New Roman" w:cs="Times New Roman"/>
          <w:szCs w:val="24"/>
        </w:rPr>
        <w:t>mutations</w:t>
      </w:r>
      <w:r w:rsidRPr="004B23D9">
        <w:rPr>
          <w:rFonts w:ascii="Times New Roman" w:hAnsi="Times New Roman" w:cs="Times New Roman"/>
          <w:szCs w:val="24"/>
        </w:rPr>
        <w:t xml:space="preserve"> behave equivalently. V106I</w:t>
      </w:r>
      <w:r>
        <w:rPr>
          <w:rFonts w:ascii="Times New Roman" w:hAnsi="Times New Roman" w:cs="Times New Roman"/>
          <w:szCs w:val="24"/>
        </w:rPr>
        <w:t xml:space="preserve">, a polymorphic substitution </w:t>
      </w:r>
      <w:r w:rsidR="0023650E">
        <w:rPr>
          <w:rFonts w:ascii="Times New Roman" w:hAnsi="Times New Roman" w:cs="Times New Roman"/>
          <w:szCs w:val="24"/>
        </w:rPr>
        <w:t>observed</w:t>
      </w:r>
      <w:r>
        <w:rPr>
          <w:rFonts w:ascii="Times New Roman" w:hAnsi="Times New Roman" w:cs="Times New Roman"/>
          <w:szCs w:val="24"/>
        </w:rPr>
        <w:t xml:space="preserve"> </w:t>
      </w:r>
      <w:r w:rsidR="0023650E">
        <w:rPr>
          <w:rFonts w:ascii="Times New Roman" w:hAnsi="Times New Roman" w:cs="Times New Roman"/>
          <w:szCs w:val="24"/>
        </w:rPr>
        <w:t xml:space="preserve">to some extent </w:t>
      </w:r>
      <w:r>
        <w:rPr>
          <w:rFonts w:ascii="Times New Roman" w:hAnsi="Times New Roman" w:cs="Times New Roman"/>
          <w:szCs w:val="24"/>
        </w:rPr>
        <w:t>in the general population,</w:t>
      </w:r>
      <w:r w:rsidRPr="004B23D9">
        <w:rPr>
          <w:rFonts w:ascii="Times New Roman" w:hAnsi="Times New Roman" w:cs="Times New Roman"/>
          <w:szCs w:val="24"/>
        </w:rPr>
        <w:t xml:space="preserve"> generally has little effect on DOR susceptibility when present alone, whereas V106A is a canonical DOR resistance mutation and serves as the first step in several high-resistance combination pathways.</w:t>
      </w:r>
    </w:p>
    <w:p w14:paraId="20DC0993" w14:textId="77777777" w:rsidR="004B23D9" w:rsidRPr="004B23D9" w:rsidRDefault="004B23D9" w:rsidP="004B23D9">
      <w:pPr>
        <w:rPr>
          <w:rFonts w:ascii="Times New Roman" w:hAnsi="Times New Roman" w:cs="Times New Roman"/>
          <w:szCs w:val="24"/>
        </w:rPr>
      </w:pPr>
    </w:p>
    <w:p w14:paraId="623D29D9" w14:textId="482188EA"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systematic contact analysis highlighted Lys104 </w:t>
      </w:r>
      <w:r>
        <w:rPr>
          <w:rFonts w:ascii="Times New Roman" w:hAnsi="Times New Roman" w:cs="Times New Roman"/>
          <w:szCs w:val="24"/>
        </w:rPr>
        <w:t xml:space="preserve">and </w:t>
      </w:r>
      <w:r w:rsidRPr="004B23D9">
        <w:rPr>
          <w:rFonts w:ascii="Times New Roman" w:hAnsi="Times New Roman" w:cs="Times New Roman"/>
          <w:szCs w:val="24"/>
        </w:rPr>
        <w:t xml:space="preserve">Ser105 as informative reporter residues for this distinction. Both residues sit near the pocket entrance </w:t>
      </w:r>
      <w:r w:rsidR="007D2CDE">
        <w:rPr>
          <w:rFonts w:ascii="Times New Roman" w:hAnsi="Times New Roman" w:cs="Times New Roman"/>
          <w:szCs w:val="24"/>
        </w:rPr>
        <w:t>within the 103-108 loop region</w:t>
      </w:r>
      <w:r w:rsidRPr="004B23D9">
        <w:rPr>
          <w:rFonts w:ascii="Times New Roman" w:hAnsi="Times New Roman" w:cs="Times New Roman"/>
          <w:szCs w:val="24"/>
        </w:rPr>
        <w:t xml:space="preserve">, and both showed preferential shifts in DOR proximity in V106A-containing trajectories. In direct comparisons among </w:t>
      </w:r>
      <w:r w:rsidR="009D1AB3">
        <w:rPr>
          <w:rFonts w:ascii="Times New Roman" w:hAnsi="Times New Roman" w:cs="Times New Roman"/>
          <w:szCs w:val="24"/>
        </w:rPr>
        <w:t xml:space="preserve">WT, </w:t>
      </w:r>
      <w:r w:rsidRPr="004B23D9">
        <w:rPr>
          <w:rFonts w:ascii="Times New Roman" w:hAnsi="Times New Roman" w:cs="Times New Roman"/>
          <w:szCs w:val="24"/>
        </w:rPr>
        <w:t>V106I</w:t>
      </w:r>
      <w:r w:rsidR="009D1AB3">
        <w:rPr>
          <w:rFonts w:ascii="Times New Roman" w:hAnsi="Times New Roman" w:cs="Times New Roman"/>
          <w:szCs w:val="24"/>
        </w:rPr>
        <w:t>,</w:t>
      </w:r>
      <w:r w:rsidRPr="004B23D9">
        <w:rPr>
          <w:rFonts w:ascii="Times New Roman" w:hAnsi="Times New Roman" w:cs="Times New Roman"/>
          <w:szCs w:val="24"/>
        </w:rPr>
        <w:t xml:space="preserve"> and V106A, the V106A simulations showed a reproducible shift of DOR toward the </w:t>
      </w:r>
      <w:r w:rsidR="007D2CDE">
        <w:rPr>
          <w:rFonts w:ascii="Times New Roman" w:hAnsi="Times New Roman" w:cs="Times New Roman"/>
          <w:szCs w:val="24"/>
        </w:rPr>
        <w:t>103-108 loop</w:t>
      </w:r>
      <w:r w:rsidRPr="004B23D9">
        <w:rPr>
          <w:rFonts w:ascii="Times New Roman" w:hAnsi="Times New Roman" w:cs="Times New Roman"/>
          <w:szCs w:val="24"/>
        </w:rPr>
        <w:t>, bringing DOR closer to Ser105 and often also to Lys104</w:t>
      </w:r>
      <w:r w:rsidR="0023650E">
        <w:rPr>
          <w:rFonts w:ascii="Times New Roman" w:hAnsi="Times New Roman" w:cs="Times New Roman"/>
          <w:szCs w:val="24"/>
        </w:rPr>
        <w:t xml:space="preserve"> (Figure </w:t>
      </w:r>
      <w:r w:rsidR="002776BF">
        <w:rPr>
          <w:rFonts w:ascii="Times New Roman" w:hAnsi="Times New Roman" w:cs="Times New Roman"/>
          <w:szCs w:val="24"/>
        </w:rPr>
        <w:t>7</w:t>
      </w:r>
      <w:r w:rsidR="0023650E">
        <w:rPr>
          <w:rFonts w:ascii="Times New Roman" w:hAnsi="Times New Roman" w:cs="Times New Roman"/>
          <w:szCs w:val="24"/>
        </w:rPr>
        <w:t>)</w:t>
      </w:r>
      <w:r w:rsidRPr="004B23D9">
        <w:rPr>
          <w:rFonts w:ascii="Times New Roman" w:hAnsi="Times New Roman" w:cs="Times New Roman"/>
          <w:szCs w:val="24"/>
        </w:rPr>
        <w:t>.</w:t>
      </w:r>
    </w:p>
    <w:p w14:paraId="1884C1BC" w14:textId="77777777" w:rsidR="004B23D9" w:rsidRPr="004B23D9" w:rsidRDefault="004B23D9" w:rsidP="004B23D9">
      <w:pPr>
        <w:rPr>
          <w:rFonts w:ascii="Times New Roman" w:hAnsi="Times New Roman" w:cs="Times New Roman"/>
          <w:szCs w:val="24"/>
        </w:rPr>
      </w:pPr>
    </w:p>
    <w:p w14:paraId="5F7B59B3" w14:textId="36204051" w:rsidR="004B23D9" w:rsidRDefault="004B23D9" w:rsidP="004B23D9">
      <w:pPr>
        <w:rPr>
          <w:rFonts w:ascii="Times New Roman" w:hAnsi="Times New Roman" w:cs="Times New Roman"/>
          <w:szCs w:val="24"/>
        </w:rPr>
      </w:pPr>
      <w:r w:rsidRPr="004B23D9">
        <w:rPr>
          <w:rFonts w:ascii="Times New Roman" w:hAnsi="Times New Roman" w:cs="Times New Roman"/>
          <w:szCs w:val="24"/>
        </w:rPr>
        <w:t xml:space="preserve">The most plausible interpretation is that replacement of valine with alanine removes hydrophobic bulk from a direct DOR-contact site and allows the bound ligand to redistribute toward a slightly more </w:t>
      </w:r>
      <w:r w:rsidR="00C94FBD">
        <w:rPr>
          <w:rFonts w:ascii="Times New Roman" w:hAnsi="Times New Roman" w:cs="Times New Roman"/>
          <w:szCs w:val="24"/>
        </w:rPr>
        <w:t>103-108 loop</w:t>
      </w:r>
      <w:r w:rsidRPr="004B23D9">
        <w:rPr>
          <w:rFonts w:ascii="Times New Roman" w:hAnsi="Times New Roman" w:cs="Times New Roman"/>
          <w:szCs w:val="24"/>
        </w:rPr>
        <w:t>-shifted local pose ensemble. In that ensemble, contacts with Lys104 and Ser105 can arise as compensatory interactions, but these appear to be secondary to the loss of optimal packing at position 106. The contrast with V106I is informative: isoleucine preserves a branched hydrophobic side chain at position 106</w:t>
      </w:r>
      <w:r w:rsidR="00AB7308">
        <w:rPr>
          <w:rFonts w:ascii="Times New Roman" w:hAnsi="Times New Roman" w:cs="Times New Roman"/>
          <w:szCs w:val="24"/>
        </w:rPr>
        <w:t>, which mitigates</w:t>
      </w:r>
      <w:r w:rsidRPr="004B23D9">
        <w:rPr>
          <w:rFonts w:ascii="Times New Roman" w:hAnsi="Times New Roman" w:cs="Times New Roman"/>
          <w:szCs w:val="24"/>
        </w:rPr>
        <w:t xml:space="preserve"> </w:t>
      </w:r>
      <w:r w:rsidR="00AB7308">
        <w:rPr>
          <w:rFonts w:ascii="Times New Roman" w:hAnsi="Times New Roman" w:cs="Times New Roman"/>
          <w:szCs w:val="24"/>
        </w:rPr>
        <w:t>l</w:t>
      </w:r>
      <w:r w:rsidRPr="004B23D9">
        <w:rPr>
          <w:rFonts w:ascii="Times New Roman" w:hAnsi="Times New Roman" w:cs="Times New Roman"/>
          <w:szCs w:val="24"/>
        </w:rPr>
        <w:t xml:space="preserve">ocal geometry </w:t>
      </w:r>
      <w:r w:rsidR="00AB7308">
        <w:rPr>
          <w:rFonts w:ascii="Times New Roman" w:hAnsi="Times New Roman" w:cs="Times New Roman"/>
          <w:szCs w:val="24"/>
        </w:rPr>
        <w:t>perturbation</w:t>
      </w:r>
      <w:r w:rsidRPr="004B23D9">
        <w:rPr>
          <w:rFonts w:ascii="Times New Roman" w:hAnsi="Times New Roman" w:cs="Times New Roman"/>
          <w:szCs w:val="24"/>
        </w:rPr>
        <w:t>.</w:t>
      </w:r>
    </w:p>
    <w:p w14:paraId="4EEF65E8" w14:textId="77777777" w:rsidR="004B23D9" w:rsidRPr="004B23D9" w:rsidRDefault="004B23D9" w:rsidP="004B23D9">
      <w:pPr>
        <w:rPr>
          <w:rFonts w:ascii="Times New Roman" w:hAnsi="Times New Roman" w:cs="Times New Roman"/>
          <w:szCs w:val="24"/>
        </w:rPr>
      </w:pPr>
    </w:p>
    <w:p w14:paraId="018BDE57" w14:textId="71A095EC" w:rsidR="00335759" w:rsidRDefault="004B23D9" w:rsidP="004B23D9">
      <w:pPr>
        <w:rPr>
          <w:rFonts w:ascii="Times New Roman" w:hAnsi="Times New Roman" w:cs="Times New Roman"/>
          <w:szCs w:val="24"/>
        </w:rPr>
      </w:pPr>
      <w:r w:rsidRPr="004B23D9">
        <w:rPr>
          <w:rFonts w:ascii="Times New Roman" w:hAnsi="Times New Roman" w:cs="Times New Roman"/>
          <w:szCs w:val="24"/>
        </w:rPr>
        <w:t xml:space="preserve">This model also helps explain why V106A becomes especially problematic in combination with secondary </w:t>
      </w:r>
      <w:r w:rsidR="005C0F1B">
        <w:rPr>
          <w:rFonts w:ascii="Times New Roman" w:hAnsi="Times New Roman" w:cs="Times New Roman"/>
          <w:szCs w:val="24"/>
        </w:rPr>
        <w:t>hydrophobic tunnel or primer grip mutations</w:t>
      </w:r>
      <w:r w:rsidRPr="004B23D9">
        <w:rPr>
          <w:rFonts w:ascii="Times New Roman" w:hAnsi="Times New Roman" w:cs="Times New Roman"/>
          <w:szCs w:val="24"/>
        </w:rPr>
        <w:t xml:space="preserve">. If V106A first redistributes the DOR pose toward the </w:t>
      </w:r>
      <w:r w:rsidR="00C94FBD">
        <w:rPr>
          <w:rFonts w:ascii="Times New Roman" w:hAnsi="Times New Roman" w:cs="Times New Roman"/>
          <w:szCs w:val="24"/>
        </w:rPr>
        <w:t>103-108 loop</w:t>
      </w:r>
      <w:r w:rsidRPr="004B23D9">
        <w:rPr>
          <w:rFonts w:ascii="Times New Roman" w:hAnsi="Times New Roman" w:cs="Times New Roman"/>
          <w:szCs w:val="24"/>
        </w:rPr>
        <w:t>, then additional substitutions around P225, F227, or L234 can further destabilize an already altered local contact network.</w:t>
      </w:r>
    </w:p>
    <w:p w14:paraId="1A598D82" w14:textId="77777777" w:rsidR="00406A32" w:rsidRDefault="00406A32" w:rsidP="004B23D9">
      <w:pPr>
        <w:rPr>
          <w:rFonts w:ascii="Times New Roman" w:hAnsi="Times New Roman" w:cs="Times New Roman"/>
          <w:szCs w:val="24"/>
        </w:rPr>
      </w:pPr>
    </w:p>
    <w:p w14:paraId="0736B3D9" w14:textId="77777777" w:rsidR="009D1AB3" w:rsidRDefault="009D1AB3" w:rsidP="00D86BE2">
      <w:pPr>
        <w:rPr>
          <w:rFonts w:ascii="Times New Roman" w:hAnsi="Times New Roman" w:cs="Times New Roman"/>
          <w:i/>
          <w:iCs/>
          <w:szCs w:val="24"/>
          <w:u w:val="single"/>
        </w:rPr>
      </w:pPr>
      <w:r w:rsidRPr="009D1AB3">
        <w:rPr>
          <w:rFonts w:ascii="Times New Roman" w:hAnsi="Times New Roman" w:cs="Times New Roman"/>
          <w:i/>
          <w:iCs/>
          <w:szCs w:val="24"/>
          <w:u w:val="single"/>
        </w:rPr>
        <w:t>V106I+F227C reaches high resistance through a different local route than V106A+F227L</w:t>
      </w:r>
    </w:p>
    <w:p w14:paraId="76DC50EB" w14:textId="49AA1472" w:rsidR="009D1AB3" w:rsidRDefault="009D1AB3" w:rsidP="009D1AB3">
      <w:pPr>
        <w:rPr>
          <w:rFonts w:ascii="Times New Roman" w:hAnsi="Times New Roman" w:cs="Times New Roman"/>
          <w:szCs w:val="24"/>
        </w:rPr>
      </w:pPr>
      <w:r w:rsidRPr="009D1AB3">
        <w:rPr>
          <w:rFonts w:ascii="Times New Roman" w:hAnsi="Times New Roman" w:cs="Times New Roman"/>
          <w:szCs w:val="24"/>
        </w:rPr>
        <w:t>V106I+F227C and V106A+F227L are both highly resistant DOR-associated genotypes, yet the pathway-specific logic above predicts that they should not be structurally identical.</w:t>
      </w:r>
      <w:r>
        <w:rPr>
          <w:rFonts w:ascii="Times New Roman" w:hAnsi="Times New Roman" w:cs="Times New Roman"/>
          <w:szCs w:val="24"/>
        </w:rPr>
        <w:t xml:space="preserve"> </w:t>
      </w:r>
      <w:r w:rsidRPr="009D1AB3">
        <w:rPr>
          <w:rFonts w:ascii="Times New Roman" w:hAnsi="Times New Roman" w:cs="Times New Roman"/>
          <w:szCs w:val="24"/>
        </w:rPr>
        <w:t xml:space="preserve">V106A+F227L belongs to the V106A family and therefore might be expected to retain the </w:t>
      </w:r>
      <w:r>
        <w:rPr>
          <w:rFonts w:ascii="Times New Roman" w:hAnsi="Times New Roman" w:cs="Times New Roman"/>
          <w:szCs w:val="24"/>
        </w:rPr>
        <w:t>103-108 loop</w:t>
      </w:r>
      <w:r w:rsidRPr="009D1AB3">
        <w:rPr>
          <w:rFonts w:ascii="Times New Roman" w:hAnsi="Times New Roman" w:cs="Times New Roman"/>
          <w:szCs w:val="24"/>
        </w:rPr>
        <w:t xml:space="preserve">-shifted signature. V106I+F227C, by contrast, combines a relatively low-impact </w:t>
      </w:r>
      <w:r>
        <w:rPr>
          <w:rFonts w:ascii="Times New Roman" w:hAnsi="Times New Roman" w:cs="Times New Roman"/>
          <w:szCs w:val="24"/>
        </w:rPr>
        <w:t>V</w:t>
      </w:r>
      <w:r w:rsidRPr="009D1AB3">
        <w:rPr>
          <w:rFonts w:ascii="Times New Roman" w:hAnsi="Times New Roman" w:cs="Times New Roman"/>
          <w:szCs w:val="24"/>
        </w:rPr>
        <w:t xml:space="preserve">106 substitution with a </w:t>
      </w:r>
      <w:r>
        <w:rPr>
          <w:rFonts w:ascii="Times New Roman" w:hAnsi="Times New Roman" w:cs="Times New Roman"/>
          <w:szCs w:val="24"/>
        </w:rPr>
        <w:t>hydrophobic tunnel</w:t>
      </w:r>
      <w:r w:rsidRPr="009D1AB3">
        <w:rPr>
          <w:rFonts w:ascii="Times New Roman" w:hAnsi="Times New Roman" w:cs="Times New Roman"/>
          <w:szCs w:val="24"/>
        </w:rPr>
        <w:t xml:space="preserve"> substitution at position 227.</w:t>
      </w:r>
    </w:p>
    <w:p w14:paraId="24DAA122" w14:textId="77777777" w:rsidR="009D1AB3" w:rsidRPr="009D1AB3" w:rsidRDefault="009D1AB3" w:rsidP="009D1AB3">
      <w:pPr>
        <w:rPr>
          <w:rFonts w:ascii="Times New Roman" w:hAnsi="Times New Roman" w:cs="Times New Roman"/>
          <w:szCs w:val="24"/>
        </w:rPr>
      </w:pPr>
    </w:p>
    <w:p w14:paraId="7D192F25" w14:textId="4F4D3CF0" w:rsidR="009D1AB3" w:rsidRDefault="009D1AB3" w:rsidP="009D1AB3">
      <w:pPr>
        <w:rPr>
          <w:rFonts w:ascii="Times New Roman" w:hAnsi="Times New Roman" w:cs="Times New Roman"/>
          <w:szCs w:val="24"/>
        </w:rPr>
      </w:pPr>
      <w:r>
        <w:rPr>
          <w:rFonts w:ascii="Times New Roman" w:hAnsi="Times New Roman" w:cs="Times New Roman"/>
          <w:szCs w:val="24"/>
        </w:rPr>
        <w:t>In line with this expectation,</w:t>
      </w:r>
      <w:r w:rsidRPr="009D1AB3">
        <w:rPr>
          <w:rFonts w:ascii="Times New Roman" w:hAnsi="Times New Roman" w:cs="Times New Roman"/>
          <w:szCs w:val="24"/>
        </w:rPr>
        <w:t xml:space="preserve"> V106A+F227L showed the same local shift toward Ser105 and Lys104 seen in other V106A-containing backgrounds. V106I+F227C did not show that same </w:t>
      </w:r>
      <w:r>
        <w:rPr>
          <w:rFonts w:ascii="Times New Roman" w:hAnsi="Times New Roman" w:cs="Times New Roman"/>
          <w:szCs w:val="24"/>
        </w:rPr>
        <w:t>103-108 loop</w:t>
      </w:r>
      <w:r w:rsidRPr="009D1AB3">
        <w:rPr>
          <w:rFonts w:ascii="Times New Roman" w:hAnsi="Times New Roman" w:cs="Times New Roman"/>
          <w:szCs w:val="24"/>
        </w:rPr>
        <w:t>-focused pattern. Instead, it sampled alternative local conformations involving the residue</w:t>
      </w:r>
      <w:r w:rsidR="00720A25">
        <w:rPr>
          <w:rFonts w:ascii="Times New Roman" w:hAnsi="Times New Roman" w:cs="Times New Roman"/>
          <w:szCs w:val="24"/>
        </w:rPr>
        <w:t xml:space="preserve"> </w:t>
      </w:r>
      <w:r w:rsidRPr="009D1AB3">
        <w:rPr>
          <w:rFonts w:ascii="Times New Roman" w:hAnsi="Times New Roman" w:cs="Times New Roman"/>
          <w:szCs w:val="24"/>
        </w:rPr>
        <w:t>227 region, with DOR becoming transiently more separated from position 227 than in WT or V106A+F227L</w:t>
      </w:r>
      <w:r w:rsidR="00720A25">
        <w:rPr>
          <w:rFonts w:ascii="Times New Roman" w:hAnsi="Times New Roman" w:cs="Times New Roman"/>
          <w:szCs w:val="24"/>
        </w:rPr>
        <w:t xml:space="preserve"> (Figure 8)</w:t>
      </w:r>
      <w:r w:rsidRPr="009D1AB3">
        <w:rPr>
          <w:rFonts w:ascii="Times New Roman" w:hAnsi="Times New Roman" w:cs="Times New Roman"/>
          <w:szCs w:val="24"/>
        </w:rPr>
        <w:t>.</w:t>
      </w:r>
    </w:p>
    <w:p w14:paraId="0EF1202B" w14:textId="77777777" w:rsidR="009D1AB3" w:rsidRPr="009D1AB3" w:rsidRDefault="009D1AB3" w:rsidP="009D1AB3">
      <w:pPr>
        <w:rPr>
          <w:rFonts w:ascii="Times New Roman" w:hAnsi="Times New Roman" w:cs="Times New Roman"/>
          <w:szCs w:val="24"/>
        </w:rPr>
      </w:pPr>
    </w:p>
    <w:p w14:paraId="7CC269E8" w14:textId="538105B4" w:rsidR="005C0F1B" w:rsidRDefault="009D1AB3" w:rsidP="009D1AB3">
      <w:pPr>
        <w:rPr>
          <w:rFonts w:ascii="Times New Roman" w:hAnsi="Times New Roman" w:cs="Times New Roman"/>
          <w:szCs w:val="24"/>
        </w:rPr>
      </w:pPr>
      <w:r w:rsidRPr="009D1AB3">
        <w:rPr>
          <w:rFonts w:ascii="Times New Roman" w:hAnsi="Times New Roman" w:cs="Times New Roman"/>
          <w:szCs w:val="24"/>
        </w:rPr>
        <w:t>The importance of this comparison is conceptual as well as mechanistic. These two genotypes have nearly identical median DOR fold-change values in the available phenotype data, yet the simulations suggest that they arrive at that shared phenotype through different structural routes. Similar resistance magnitude therefore need not imply a shared mechanism. For DOR resistance interpretation, this means that structurally distinct genotype classes may converge on a similar susceptibility outcome through different local reorganizations of the same pocket.</w:t>
      </w:r>
    </w:p>
    <w:p w14:paraId="09EFCD50" w14:textId="6D4DE50E" w:rsidR="00C82BF8" w:rsidRPr="003A47EA" w:rsidRDefault="00C82BF8" w:rsidP="00C82BF8">
      <w:pPr>
        <w:rPr>
          <w:rFonts w:ascii="Arial" w:hAnsi="Arial" w:cs="Arial"/>
          <w:b/>
          <w:bCs/>
          <w:szCs w:val="24"/>
        </w:rPr>
      </w:pPr>
      <w:r>
        <w:rPr>
          <w:rFonts w:ascii="Times New Roman" w:hAnsi="Times New Roman" w:cs="Times New Roman"/>
          <w:noProof/>
          <w:szCs w:val="24"/>
        </w:rPr>
        <w:drawing>
          <wp:inline distT="0" distB="0" distL="0" distR="0" wp14:anchorId="3F399826" wp14:editId="4D8FF208">
            <wp:extent cx="5943600" cy="2285365"/>
            <wp:effectExtent l="0" t="0" r="0" b="635"/>
            <wp:docPr id="3572650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5083" name="Picture 3572650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285365"/>
                    </a:xfrm>
                    <a:prstGeom prst="rect">
                      <a:avLst/>
                    </a:prstGeom>
                  </pic:spPr>
                </pic:pic>
              </a:graphicData>
            </a:graphic>
          </wp:inline>
        </w:drawing>
      </w:r>
      <w:r w:rsidRPr="00C82BF8">
        <w:rPr>
          <w:rFonts w:ascii="Arial" w:hAnsi="Arial" w:cs="Arial"/>
          <w:b/>
          <w:bCs/>
          <w:szCs w:val="24"/>
        </w:rPr>
        <w:t xml:space="preserve"> </w:t>
      </w:r>
      <w:r w:rsidRPr="00C82BF8">
        <w:rPr>
          <w:rFonts w:ascii="Times New Roman" w:hAnsi="Times New Roman" w:cs="Times New Roman"/>
          <w:b/>
          <w:bCs/>
          <w:szCs w:val="24"/>
        </w:rPr>
        <w:t>WT</w:t>
      </w:r>
      <w:r w:rsidRPr="00C82BF8">
        <w:rPr>
          <w:rFonts w:ascii="Times New Roman" w:hAnsi="Times New Roman" w:cs="Times New Roman"/>
          <w:b/>
          <w:bCs/>
          <w:szCs w:val="24"/>
        </w:rPr>
        <w:tab/>
      </w:r>
      <w:r w:rsidRPr="00C82BF8">
        <w:rPr>
          <w:rFonts w:ascii="Times New Roman" w:hAnsi="Times New Roman" w:cs="Times New Roman"/>
          <w:b/>
          <w:bCs/>
          <w:szCs w:val="24"/>
        </w:rPr>
        <w:tab/>
      </w:r>
      <w:r w:rsidRPr="00C82BF8">
        <w:rPr>
          <w:rFonts w:ascii="Times New Roman" w:hAnsi="Times New Roman" w:cs="Times New Roman"/>
          <w:b/>
          <w:bCs/>
          <w:szCs w:val="24"/>
        </w:rPr>
        <w:tab/>
      </w:r>
      <w:r w:rsidRPr="00C82BF8">
        <w:rPr>
          <w:rFonts w:ascii="Times New Roman" w:hAnsi="Times New Roman" w:cs="Times New Roman"/>
          <w:b/>
          <w:bCs/>
          <w:szCs w:val="24"/>
        </w:rPr>
        <w:tab/>
        <w:t xml:space="preserve">             V106A+F227L</w:t>
      </w:r>
      <w:r w:rsidRPr="00C82BF8">
        <w:rPr>
          <w:rFonts w:ascii="Times New Roman" w:hAnsi="Times New Roman" w:cs="Times New Roman"/>
          <w:b/>
          <w:bCs/>
          <w:szCs w:val="24"/>
        </w:rPr>
        <w:tab/>
      </w:r>
      <w:r w:rsidRPr="00C82BF8">
        <w:rPr>
          <w:rFonts w:ascii="Times New Roman" w:hAnsi="Times New Roman" w:cs="Times New Roman"/>
          <w:b/>
          <w:bCs/>
          <w:szCs w:val="24"/>
        </w:rPr>
        <w:tab/>
        <w:t>V106I+F227C</w:t>
      </w:r>
    </w:p>
    <w:p w14:paraId="4FA42112" w14:textId="77777777" w:rsidR="00C82BF8" w:rsidRDefault="00C82BF8" w:rsidP="00C82BF8">
      <w:pPr>
        <w:rPr>
          <w:rFonts w:ascii="Arial" w:hAnsi="Arial" w:cs="Arial"/>
          <w:szCs w:val="24"/>
        </w:rPr>
      </w:pPr>
      <w:r>
        <w:rPr>
          <w:rFonts w:ascii="Arial" w:hAnsi="Arial" w:cs="Arial"/>
          <w:noProof/>
          <w:szCs w:val="24"/>
        </w:rPr>
        <w:lastRenderedPageBreak/>
        <w:drawing>
          <wp:inline distT="0" distB="0" distL="0" distR="0" wp14:anchorId="13454E95" wp14:editId="2E719B96">
            <wp:extent cx="2429219" cy="1493097"/>
            <wp:effectExtent l="0" t="0" r="0" b="5715"/>
            <wp:docPr id="15067761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76121" name="Picture 1506776121"/>
                    <pic:cNvPicPr/>
                  </pic:nvPicPr>
                  <pic:blipFill rotWithShape="1">
                    <a:blip r:embed="rId16" cstate="print">
                      <a:extLst>
                        <a:ext uri="{28A0092B-C50C-407E-A947-70E740481C1C}">
                          <a14:useLocalDpi xmlns:a14="http://schemas.microsoft.com/office/drawing/2010/main" val="0"/>
                        </a:ext>
                      </a:extLst>
                    </a:blip>
                    <a:srcRect l="10680" t="10997" r="17924" b="10856"/>
                    <a:stretch>
                      <a:fillRect/>
                    </a:stretch>
                  </pic:blipFill>
                  <pic:spPr bwMode="auto">
                    <a:xfrm>
                      <a:off x="0" y="0"/>
                      <a:ext cx="2517918" cy="1547615"/>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2B51ADAB" wp14:editId="77803955">
            <wp:extent cx="1768046" cy="1486696"/>
            <wp:effectExtent l="0" t="0" r="0" b="0"/>
            <wp:docPr id="1862050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5034" name="Picture 186205034"/>
                    <pic:cNvPicPr/>
                  </pic:nvPicPr>
                  <pic:blipFill rotWithShape="1">
                    <a:blip r:embed="rId17" cstate="print">
                      <a:extLst>
                        <a:ext uri="{28A0092B-C50C-407E-A947-70E740481C1C}">
                          <a14:useLocalDpi xmlns:a14="http://schemas.microsoft.com/office/drawing/2010/main" val="0"/>
                        </a:ext>
                      </a:extLst>
                    </a:blip>
                    <a:srcRect l="20027" t="2377" r="17877" b="4639"/>
                    <a:stretch>
                      <a:fillRect/>
                    </a:stretch>
                  </pic:blipFill>
                  <pic:spPr bwMode="auto">
                    <a:xfrm>
                      <a:off x="0" y="0"/>
                      <a:ext cx="1887799" cy="1587393"/>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0D246546" wp14:editId="484DD76A">
            <wp:extent cx="1743447" cy="1486103"/>
            <wp:effectExtent l="0" t="0" r="0" b="0"/>
            <wp:docPr id="15672978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97815" name="Picture 1567297815"/>
                    <pic:cNvPicPr/>
                  </pic:nvPicPr>
                  <pic:blipFill rotWithShape="1">
                    <a:blip r:embed="rId18" cstate="print">
                      <a:extLst>
                        <a:ext uri="{28A0092B-C50C-407E-A947-70E740481C1C}">
                          <a14:useLocalDpi xmlns:a14="http://schemas.microsoft.com/office/drawing/2010/main" val="0"/>
                        </a:ext>
                      </a:extLst>
                    </a:blip>
                    <a:srcRect l="20023" r="25570" b="17412"/>
                    <a:stretch>
                      <a:fillRect/>
                    </a:stretch>
                  </pic:blipFill>
                  <pic:spPr bwMode="auto">
                    <a:xfrm>
                      <a:off x="0" y="0"/>
                      <a:ext cx="1756324" cy="1497079"/>
                    </a:xfrm>
                    <a:prstGeom prst="rect">
                      <a:avLst/>
                    </a:prstGeom>
                    <a:ln>
                      <a:noFill/>
                    </a:ln>
                    <a:extLst>
                      <a:ext uri="{53640926-AAD7-44D8-BBD7-CCE9431645EC}">
                        <a14:shadowObscured xmlns:a14="http://schemas.microsoft.com/office/drawing/2010/main"/>
                      </a:ext>
                    </a:extLst>
                  </pic:spPr>
                </pic:pic>
              </a:graphicData>
            </a:graphic>
          </wp:inline>
        </w:drawing>
      </w:r>
    </w:p>
    <w:p w14:paraId="7475D27A" w14:textId="24DFB8CF" w:rsidR="00C82BF8" w:rsidRDefault="00C82BF8" w:rsidP="00C82BF8">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8</w:t>
      </w:r>
      <w:r w:rsidRPr="005478F3">
        <w:rPr>
          <w:rFonts w:ascii="Times New Roman" w:hAnsi="Times New Roman" w:cs="Times New Roman"/>
          <w:b/>
          <w:bCs/>
          <w:sz w:val="20"/>
          <w:szCs w:val="20"/>
        </w:rPr>
        <w:t xml:space="preserve">: </w:t>
      </w:r>
      <w:r w:rsidRPr="00C82BF8">
        <w:rPr>
          <w:rFonts w:ascii="Times New Roman" w:hAnsi="Times New Roman" w:cs="Times New Roman"/>
          <w:b/>
          <w:bCs/>
          <w:sz w:val="20"/>
          <w:szCs w:val="20"/>
        </w:rPr>
        <w:t xml:space="preserve">V106I+F227C exhibits alternative dynamics than V106A+F227L. </w:t>
      </w:r>
      <w:r w:rsidRPr="00C82BF8">
        <w:rPr>
          <w:rFonts w:ascii="Times New Roman" w:hAnsi="Times New Roman" w:cs="Times New Roman"/>
          <w:sz w:val="20"/>
          <w:szCs w:val="20"/>
        </w:rPr>
        <w:t>(Top) Minimum distances between heavy atoms of Ser105 and DOR as well as Position 227 and DOR observed in MD simulations of WT, V106A+F227L, and V106I+F227C. (Bottom) Snapshots of a single frame across WT, V106A+F227L, and V106I+F227C trajectories, showing Ser105 shifted closer to DOR in case of V106A+F227L (but not in case of V106I+F227C or WT); and an alternate DOR pose in case of V106I+F227C that is further away from residue 227 than in WT or V106A+F227L.</w:t>
      </w:r>
    </w:p>
    <w:p w14:paraId="00987ED1" w14:textId="6695936B" w:rsidR="00C82BF8" w:rsidRDefault="00C82BF8" w:rsidP="009D1AB3">
      <w:pPr>
        <w:rPr>
          <w:rFonts w:ascii="Times New Roman" w:hAnsi="Times New Roman" w:cs="Times New Roman"/>
          <w:szCs w:val="24"/>
        </w:rPr>
      </w:pPr>
    </w:p>
    <w:p w14:paraId="34E22E9E" w14:textId="23829117" w:rsidR="00C82BF8" w:rsidRDefault="00C82BF8" w:rsidP="009D1AB3">
      <w:pPr>
        <w:rPr>
          <w:rFonts w:ascii="Times New Roman" w:hAnsi="Times New Roman" w:cs="Times New Roman"/>
          <w:i/>
          <w:iCs/>
          <w:szCs w:val="24"/>
          <w:u w:val="single"/>
        </w:rPr>
      </w:pPr>
      <w:r w:rsidRPr="00C82BF8">
        <w:rPr>
          <w:rFonts w:ascii="Times New Roman" w:hAnsi="Times New Roman" w:cs="Times New Roman"/>
          <w:i/>
          <w:iCs/>
          <w:szCs w:val="24"/>
          <w:u w:val="single"/>
        </w:rPr>
        <w:t xml:space="preserve">G190E perturbs the </w:t>
      </w:r>
      <w:r w:rsidR="009E3D06">
        <w:rPr>
          <w:rFonts w:ascii="Times New Roman" w:hAnsi="Times New Roman" w:cs="Times New Roman"/>
          <w:i/>
          <w:iCs/>
          <w:szCs w:val="24"/>
          <w:u w:val="single"/>
        </w:rPr>
        <w:t>pocket entrance</w:t>
      </w:r>
      <w:r w:rsidRPr="00C82BF8">
        <w:rPr>
          <w:rFonts w:ascii="Times New Roman" w:hAnsi="Times New Roman" w:cs="Times New Roman"/>
          <w:i/>
          <w:iCs/>
          <w:szCs w:val="24"/>
          <w:u w:val="single"/>
        </w:rPr>
        <w:t xml:space="preserve"> and weakens Val179 contact</w:t>
      </w:r>
    </w:p>
    <w:p w14:paraId="67F8AF3F" w14:textId="5BCD452A" w:rsidR="009E3D06" w:rsidRDefault="003A584C" w:rsidP="009E3D06">
      <w:pPr>
        <w:rPr>
          <w:rFonts w:ascii="Times New Roman" w:hAnsi="Times New Roman" w:cs="Times New Roman"/>
          <w:szCs w:val="24"/>
        </w:rPr>
      </w:pPr>
      <w:r>
        <w:rPr>
          <w:rFonts w:ascii="Times New Roman" w:hAnsi="Times New Roman" w:cs="Times New Roman"/>
          <w:szCs w:val="24"/>
        </w:rPr>
        <w:t>Publicly available</w:t>
      </w:r>
      <w:r w:rsidR="009E3D06" w:rsidRPr="009E3D06">
        <w:rPr>
          <w:rFonts w:ascii="Times New Roman" w:hAnsi="Times New Roman" w:cs="Times New Roman"/>
          <w:szCs w:val="24"/>
        </w:rPr>
        <w:t xml:space="preserve"> phenotype </w:t>
      </w:r>
      <w:r w:rsidR="00132E9B">
        <w:rPr>
          <w:rFonts w:ascii="Times New Roman" w:hAnsi="Times New Roman" w:cs="Times New Roman"/>
          <w:szCs w:val="24"/>
        </w:rPr>
        <w:t>data</w:t>
      </w:r>
      <w:r w:rsidR="009E3D06" w:rsidRPr="009E3D06">
        <w:rPr>
          <w:rFonts w:ascii="Times New Roman" w:hAnsi="Times New Roman" w:cs="Times New Roman"/>
          <w:szCs w:val="24"/>
        </w:rPr>
        <w:t xml:space="preserve"> suggest that </w:t>
      </w:r>
      <w:r w:rsidRPr="009E3D06">
        <w:rPr>
          <w:rFonts w:ascii="Times New Roman" w:hAnsi="Times New Roman" w:cs="Times New Roman"/>
          <w:szCs w:val="24"/>
        </w:rPr>
        <w:t xml:space="preserve">G190E </w:t>
      </w:r>
      <w:r w:rsidR="009E3D06" w:rsidRPr="009E3D06">
        <w:rPr>
          <w:rFonts w:ascii="Times New Roman" w:hAnsi="Times New Roman" w:cs="Times New Roman"/>
          <w:szCs w:val="24"/>
        </w:rPr>
        <w:t>may reduce DOR susceptibility. We therefore compared WT, G190A, and G190E to ask whether introduction of a negatively charged glutamate at position 190 produces local structural effects distinct from the more common G190A substitution</w:t>
      </w:r>
      <w:r w:rsidR="00932D08">
        <w:rPr>
          <w:rFonts w:ascii="Times New Roman" w:hAnsi="Times New Roman" w:cs="Times New Roman"/>
          <w:szCs w:val="24"/>
        </w:rPr>
        <w:t xml:space="preserve"> that is known to have little to no impact on DOR susceptibility</w:t>
      </w:r>
      <w:r w:rsidR="009E3D06" w:rsidRPr="009E3D06">
        <w:rPr>
          <w:rFonts w:ascii="Times New Roman" w:hAnsi="Times New Roman" w:cs="Times New Roman"/>
          <w:szCs w:val="24"/>
        </w:rPr>
        <w:t>.</w:t>
      </w:r>
    </w:p>
    <w:p w14:paraId="09F77214" w14:textId="77777777" w:rsidR="009E3D06" w:rsidRPr="009E3D06" w:rsidRDefault="009E3D06" w:rsidP="009E3D06">
      <w:pPr>
        <w:rPr>
          <w:rFonts w:ascii="Times New Roman" w:hAnsi="Times New Roman" w:cs="Times New Roman"/>
          <w:szCs w:val="24"/>
        </w:rPr>
      </w:pPr>
    </w:p>
    <w:p w14:paraId="4A67E452" w14:textId="2BADD997" w:rsidR="009E3D06" w:rsidRDefault="009E3D06" w:rsidP="009E3D06">
      <w:pPr>
        <w:rPr>
          <w:rFonts w:ascii="Times New Roman" w:hAnsi="Times New Roman" w:cs="Times New Roman"/>
          <w:szCs w:val="24"/>
        </w:rPr>
      </w:pPr>
      <w:r w:rsidRPr="009E3D06">
        <w:rPr>
          <w:rFonts w:ascii="Times New Roman" w:hAnsi="Times New Roman" w:cs="Times New Roman"/>
          <w:szCs w:val="24"/>
        </w:rPr>
        <w:t>The panel-wide contact analysis identified Val179 as the clearest reporter residue for this comparison</w:t>
      </w:r>
      <w:r w:rsidR="00932D08">
        <w:rPr>
          <w:rFonts w:ascii="Times New Roman" w:hAnsi="Times New Roman" w:cs="Times New Roman"/>
          <w:szCs w:val="24"/>
        </w:rPr>
        <w:t xml:space="preserve"> (Figure 5)</w:t>
      </w:r>
      <w:r w:rsidRPr="009E3D06">
        <w:rPr>
          <w:rFonts w:ascii="Times New Roman" w:hAnsi="Times New Roman" w:cs="Times New Roman"/>
          <w:szCs w:val="24"/>
        </w:rPr>
        <w:t>. Val179 li</w:t>
      </w:r>
      <w:r>
        <w:rPr>
          <w:rFonts w:ascii="Times New Roman" w:hAnsi="Times New Roman" w:cs="Times New Roman"/>
          <w:szCs w:val="24"/>
        </w:rPr>
        <w:t xml:space="preserve">nes the pocket entrance </w:t>
      </w:r>
      <w:r w:rsidRPr="009E3D06">
        <w:rPr>
          <w:rFonts w:ascii="Times New Roman" w:hAnsi="Times New Roman" w:cs="Times New Roman"/>
          <w:szCs w:val="24"/>
        </w:rPr>
        <w:t>and showed strong genotype-specific contact loss in G190E. In direct trajectory comparisons, G190E caused marked separation of Val179 from DOR that was not observed in WT or G190A</w:t>
      </w:r>
      <w:r>
        <w:rPr>
          <w:rFonts w:ascii="Times New Roman" w:hAnsi="Times New Roman" w:cs="Times New Roman"/>
          <w:szCs w:val="24"/>
        </w:rPr>
        <w:t xml:space="preserve"> (Figure 9)</w:t>
      </w:r>
      <w:r w:rsidRPr="009E3D06">
        <w:rPr>
          <w:rFonts w:ascii="Times New Roman" w:hAnsi="Times New Roman" w:cs="Times New Roman"/>
          <w:szCs w:val="24"/>
        </w:rPr>
        <w:t xml:space="preserve">. This effect was accompanied by broader local perturbation of the </w:t>
      </w:r>
      <w:r>
        <w:rPr>
          <w:rFonts w:ascii="Times New Roman" w:hAnsi="Times New Roman" w:cs="Times New Roman"/>
          <w:szCs w:val="24"/>
        </w:rPr>
        <w:t>pocket</w:t>
      </w:r>
      <w:r w:rsidRPr="009E3D06">
        <w:rPr>
          <w:rFonts w:ascii="Times New Roman" w:hAnsi="Times New Roman" w:cs="Times New Roman"/>
          <w:szCs w:val="24"/>
        </w:rPr>
        <w:t xml:space="preserve"> environment.</w:t>
      </w:r>
    </w:p>
    <w:p w14:paraId="57EBD1F7" w14:textId="77777777" w:rsidR="009E3D06" w:rsidRPr="009E3D06" w:rsidRDefault="009E3D06" w:rsidP="009E3D06">
      <w:pPr>
        <w:rPr>
          <w:rFonts w:ascii="Times New Roman" w:hAnsi="Times New Roman" w:cs="Times New Roman"/>
          <w:szCs w:val="24"/>
        </w:rPr>
      </w:pPr>
    </w:p>
    <w:p w14:paraId="4E55CA74" w14:textId="75DAAC5B" w:rsidR="00B532B0" w:rsidRDefault="009E3D06" w:rsidP="009E3D06">
      <w:pPr>
        <w:rPr>
          <w:rFonts w:ascii="Times New Roman" w:hAnsi="Times New Roman" w:cs="Times New Roman"/>
          <w:szCs w:val="24"/>
        </w:rPr>
      </w:pPr>
      <w:r w:rsidRPr="009E3D06">
        <w:rPr>
          <w:rFonts w:ascii="Times New Roman" w:hAnsi="Times New Roman" w:cs="Times New Roman"/>
          <w:szCs w:val="24"/>
        </w:rPr>
        <w:t xml:space="preserve">The simplest interpretation is that the G190E side chain introduces a local electrostatic and steric perturbation in the </w:t>
      </w:r>
      <w:r w:rsidR="00E31695" w:rsidRPr="00E31695">
        <w:rPr>
          <w:rFonts w:ascii="Times New Roman" w:hAnsi="Times New Roman" w:cs="Times New Roman"/>
          <w:szCs w:val="24"/>
        </w:rPr>
        <w:t>β</w:t>
      </w:r>
      <w:r w:rsidR="00E31695">
        <w:rPr>
          <w:rFonts w:ascii="Times New Roman" w:hAnsi="Times New Roman" w:cs="Times New Roman"/>
          <w:szCs w:val="24"/>
        </w:rPr>
        <w:t>9-</w:t>
      </w:r>
      <w:r w:rsidR="00E31695" w:rsidRPr="00E31695">
        <w:rPr>
          <w:rFonts w:ascii="Times New Roman" w:hAnsi="Times New Roman" w:cs="Times New Roman"/>
          <w:szCs w:val="24"/>
        </w:rPr>
        <w:t>β</w:t>
      </w:r>
      <w:r w:rsidR="00E31695">
        <w:rPr>
          <w:rFonts w:ascii="Times New Roman" w:hAnsi="Times New Roman" w:cs="Times New Roman"/>
          <w:szCs w:val="24"/>
        </w:rPr>
        <w:t>10</w:t>
      </w:r>
      <w:r w:rsidR="00E31695" w:rsidRPr="00E31695">
        <w:rPr>
          <w:rFonts w:ascii="Times New Roman" w:hAnsi="Times New Roman" w:cs="Times New Roman"/>
          <w:szCs w:val="24"/>
        </w:rPr>
        <w:t xml:space="preserve"> </w:t>
      </w:r>
      <w:r w:rsidRPr="009E3D06">
        <w:rPr>
          <w:rFonts w:ascii="Times New Roman" w:hAnsi="Times New Roman" w:cs="Times New Roman"/>
          <w:szCs w:val="24"/>
        </w:rPr>
        <w:t xml:space="preserve">hairpin that propagates into the Val179 side of the pocket, thereby weakening DOR packing on that face of the binding site. G190A, which lacks this charge </w:t>
      </w:r>
      <w:r w:rsidR="00932D08">
        <w:rPr>
          <w:rFonts w:ascii="Times New Roman" w:hAnsi="Times New Roman" w:cs="Times New Roman"/>
          <w:szCs w:val="24"/>
        </w:rPr>
        <w:t xml:space="preserve">switch </w:t>
      </w:r>
      <w:r w:rsidRPr="009E3D06">
        <w:rPr>
          <w:rFonts w:ascii="Times New Roman" w:hAnsi="Times New Roman" w:cs="Times New Roman"/>
          <w:szCs w:val="24"/>
        </w:rPr>
        <w:t>and imposes a much smaller structural perturbation, did not produce the same effect. These results therefore support G190E as a plausible DOR-relevant genotype deserving further targeted phenotypic study.</w:t>
      </w:r>
    </w:p>
    <w:p w14:paraId="7EAA00A5" w14:textId="4A37F4F6" w:rsidR="00B532B0" w:rsidRDefault="009D67D5" w:rsidP="009E3D06">
      <w:pPr>
        <w:rPr>
          <w:rFonts w:ascii="Times New Roman" w:hAnsi="Times New Roman" w:cs="Times New Roman"/>
          <w:szCs w:val="24"/>
        </w:rPr>
      </w:pPr>
      <w:r>
        <w:rPr>
          <w:rFonts w:ascii="Times New Roman" w:hAnsi="Times New Roman" w:cs="Times New Roman"/>
          <w:noProof/>
          <w:szCs w:val="24"/>
        </w:rPr>
        <w:drawing>
          <wp:inline distT="0" distB="0" distL="0" distR="0" wp14:anchorId="5FBD6612" wp14:editId="2124EB1E">
            <wp:extent cx="5943600" cy="2429510"/>
            <wp:effectExtent l="0" t="0" r="0" b="0"/>
            <wp:docPr id="6319267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26793" name="Picture 6319267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p>
    <w:p w14:paraId="0212F066" w14:textId="77777777" w:rsidR="00B532B0" w:rsidRPr="00B532B0" w:rsidRDefault="00B532B0" w:rsidP="00B532B0">
      <w:pPr>
        <w:rPr>
          <w:rFonts w:ascii="Times New Roman" w:hAnsi="Times New Roman" w:cs="Times New Roman"/>
          <w:b/>
          <w:bCs/>
          <w:szCs w:val="24"/>
        </w:rPr>
      </w:pPr>
      <w:r w:rsidRPr="00B532B0">
        <w:rPr>
          <w:rFonts w:ascii="Times New Roman" w:hAnsi="Times New Roman" w:cs="Times New Roman"/>
          <w:b/>
          <w:bCs/>
          <w:szCs w:val="24"/>
        </w:rPr>
        <w:lastRenderedPageBreak/>
        <w:t>WT</w:t>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t>G190A</w:t>
      </w:r>
      <w:r w:rsidRPr="00B532B0">
        <w:rPr>
          <w:rFonts w:ascii="Times New Roman" w:hAnsi="Times New Roman" w:cs="Times New Roman"/>
          <w:b/>
          <w:bCs/>
          <w:szCs w:val="24"/>
        </w:rPr>
        <w:tab/>
      </w:r>
      <w:r w:rsidRPr="00B532B0">
        <w:rPr>
          <w:rFonts w:ascii="Times New Roman" w:hAnsi="Times New Roman" w:cs="Times New Roman"/>
          <w:b/>
          <w:bCs/>
          <w:szCs w:val="24"/>
        </w:rPr>
        <w:tab/>
      </w:r>
      <w:r w:rsidRPr="00B532B0">
        <w:rPr>
          <w:rFonts w:ascii="Times New Roman" w:hAnsi="Times New Roman" w:cs="Times New Roman"/>
          <w:b/>
          <w:bCs/>
          <w:szCs w:val="24"/>
        </w:rPr>
        <w:tab/>
        <w:t>G190E</w:t>
      </w:r>
    </w:p>
    <w:p w14:paraId="2B9D2EA1" w14:textId="77777777" w:rsidR="00B532B0" w:rsidRDefault="00B532B0" w:rsidP="00B532B0">
      <w:pPr>
        <w:rPr>
          <w:rFonts w:ascii="Arial" w:hAnsi="Arial" w:cs="Arial"/>
          <w:szCs w:val="24"/>
        </w:rPr>
      </w:pPr>
      <w:r>
        <w:rPr>
          <w:rFonts w:ascii="Arial" w:hAnsi="Arial" w:cs="Arial"/>
          <w:noProof/>
          <w:szCs w:val="24"/>
        </w:rPr>
        <w:drawing>
          <wp:inline distT="0" distB="0" distL="0" distR="0" wp14:anchorId="4812AB76" wp14:editId="4ADD7F83">
            <wp:extent cx="1654862" cy="1967729"/>
            <wp:effectExtent l="0" t="0" r="0" b="1270"/>
            <wp:docPr id="121031269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12693" name="Picture 1210312693"/>
                    <pic:cNvPicPr/>
                  </pic:nvPicPr>
                  <pic:blipFill rotWithShape="1">
                    <a:blip r:embed="rId20" cstate="print">
                      <a:extLst>
                        <a:ext uri="{28A0092B-C50C-407E-A947-70E740481C1C}">
                          <a14:useLocalDpi xmlns:a14="http://schemas.microsoft.com/office/drawing/2010/main" val="0"/>
                        </a:ext>
                      </a:extLst>
                    </a:blip>
                    <a:srcRect l="26382" r="30166"/>
                    <a:stretch>
                      <a:fillRect/>
                    </a:stretch>
                  </pic:blipFill>
                  <pic:spPr bwMode="auto">
                    <a:xfrm>
                      <a:off x="0" y="0"/>
                      <a:ext cx="1655511" cy="1968500"/>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6EEC983A" wp14:editId="0281DBE5">
            <wp:extent cx="1715444" cy="1967865"/>
            <wp:effectExtent l="0" t="0" r="0" b="635"/>
            <wp:docPr id="125305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474" name="Picture 125305474"/>
                    <pic:cNvPicPr/>
                  </pic:nvPicPr>
                  <pic:blipFill rotWithShape="1">
                    <a:blip r:embed="rId21" cstate="print">
                      <a:extLst>
                        <a:ext uri="{28A0092B-C50C-407E-A947-70E740481C1C}">
                          <a14:useLocalDpi xmlns:a14="http://schemas.microsoft.com/office/drawing/2010/main" val="0"/>
                        </a:ext>
                      </a:extLst>
                    </a:blip>
                    <a:srcRect l="25785" r="29175"/>
                    <a:stretch>
                      <a:fillRect/>
                    </a:stretch>
                  </pic:blipFill>
                  <pic:spPr bwMode="auto">
                    <a:xfrm>
                      <a:off x="0" y="0"/>
                      <a:ext cx="1715998" cy="1968500"/>
                    </a:xfrm>
                    <a:prstGeom prst="rect">
                      <a:avLst/>
                    </a:prstGeom>
                    <a:ln>
                      <a:noFill/>
                    </a:ln>
                    <a:extLst>
                      <a:ext uri="{53640926-AAD7-44D8-BBD7-CCE9431645EC}">
                        <a14:shadowObscured xmlns:a14="http://schemas.microsoft.com/office/drawing/2010/main"/>
                      </a:ext>
                    </a:extLst>
                  </pic:spPr>
                </pic:pic>
              </a:graphicData>
            </a:graphic>
          </wp:inline>
        </w:drawing>
      </w:r>
      <w:r>
        <w:rPr>
          <w:rFonts w:ascii="Arial" w:hAnsi="Arial" w:cs="Arial"/>
          <w:noProof/>
          <w:szCs w:val="24"/>
        </w:rPr>
        <w:drawing>
          <wp:inline distT="0" distB="0" distL="0" distR="0" wp14:anchorId="56B58E8A" wp14:editId="0FF69A15">
            <wp:extent cx="2010168" cy="1967132"/>
            <wp:effectExtent l="0" t="0" r="0" b="1905"/>
            <wp:docPr id="1060527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2772" name="Picture 106052772"/>
                    <pic:cNvPicPr/>
                  </pic:nvPicPr>
                  <pic:blipFill rotWithShape="1">
                    <a:blip r:embed="rId22" cstate="print">
                      <a:extLst>
                        <a:ext uri="{28A0092B-C50C-407E-A947-70E740481C1C}">
                          <a14:useLocalDpi xmlns:a14="http://schemas.microsoft.com/office/drawing/2010/main" val="0"/>
                        </a:ext>
                      </a:extLst>
                    </a:blip>
                    <a:srcRect l="23406" r="23797"/>
                    <a:stretch>
                      <a:fillRect/>
                    </a:stretch>
                  </pic:blipFill>
                  <pic:spPr bwMode="auto">
                    <a:xfrm>
                      <a:off x="0" y="0"/>
                      <a:ext cx="2011566" cy="1968500"/>
                    </a:xfrm>
                    <a:prstGeom prst="rect">
                      <a:avLst/>
                    </a:prstGeom>
                    <a:ln>
                      <a:noFill/>
                    </a:ln>
                    <a:extLst>
                      <a:ext uri="{53640926-AAD7-44D8-BBD7-CCE9431645EC}">
                        <a14:shadowObscured xmlns:a14="http://schemas.microsoft.com/office/drawing/2010/main"/>
                      </a:ext>
                    </a:extLst>
                  </pic:spPr>
                </pic:pic>
              </a:graphicData>
            </a:graphic>
          </wp:inline>
        </w:drawing>
      </w:r>
    </w:p>
    <w:p w14:paraId="65985C97" w14:textId="0572F853" w:rsidR="009D67D5" w:rsidRDefault="009D67D5" w:rsidP="009D67D5">
      <w:pPr>
        <w:rPr>
          <w:rFonts w:ascii="Times New Roman" w:hAnsi="Times New Roman" w:cs="Times New Roman"/>
          <w:sz w:val="20"/>
          <w:szCs w:val="20"/>
        </w:rPr>
      </w:pPr>
      <w:r w:rsidRPr="005478F3">
        <w:rPr>
          <w:rFonts w:ascii="Times New Roman" w:hAnsi="Times New Roman" w:cs="Times New Roman"/>
          <w:b/>
          <w:bCs/>
          <w:sz w:val="20"/>
          <w:szCs w:val="20"/>
        </w:rPr>
        <w:t xml:space="preserve">Figure </w:t>
      </w:r>
      <w:r w:rsidR="00C73676">
        <w:rPr>
          <w:rFonts w:ascii="Times New Roman" w:hAnsi="Times New Roman" w:cs="Times New Roman"/>
          <w:b/>
          <w:bCs/>
          <w:sz w:val="20"/>
          <w:szCs w:val="20"/>
        </w:rPr>
        <w:t>9</w:t>
      </w:r>
      <w:r w:rsidRPr="005478F3">
        <w:rPr>
          <w:rFonts w:ascii="Times New Roman" w:hAnsi="Times New Roman" w:cs="Times New Roman"/>
          <w:b/>
          <w:bCs/>
          <w:sz w:val="20"/>
          <w:szCs w:val="20"/>
        </w:rPr>
        <w:t xml:space="preserve">: </w:t>
      </w:r>
      <w:r w:rsidR="00F5517A" w:rsidRPr="00F5517A">
        <w:rPr>
          <w:rFonts w:ascii="Times New Roman" w:hAnsi="Times New Roman" w:cs="Times New Roman"/>
          <w:b/>
          <w:bCs/>
          <w:sz w:val="20"/>
          <w:szCs w:val="20"/>
        </w:rPr>
        <w:t xml:space="preserve">G190E preferentially disrupts β9-β10 hairpin, causing Val179 to lose contact with DOR. </w:t>
      </w:r>
      <w:r w:rsidR="00F5517A" w:rsidRPr="00F5517A">
        <w:rPr>
          <w:rFonts w:ascii="Times New Roman" w:hAnsi="Times New Roman" w:cs="Times New Roman"/>
          <w:sz w:val="20"/>
          <w:szCs w:val="20"/>
        </w:rPr>
        <w:t>(Top) Minimum distance between heavy atoms of Val179 and DOR observed in MD simulations of WT, G190A, and G190E. (Bottom) Snapshots of a single frame across WT, G190A, and G190E trajectories, showing Val179 further away from DOR in case of G190E but not in WT and G190A.</w:t>
      </w:r>
    </w:p>
    <w:p w14:paraId="088C1BCB" w14:textId="77777777" w:rsidR="00B532B0" w:rsidRDefault="00B532B0" w:rsidP="009E3D06">
      <w:pPr>
        <w:rPr>
          <w:rFonts w:ascii="Times New Roman" w:hAnsi="Times New Roman" w:cs="Times New Roman"/>
          <w:szCs w:val="24"/>
        </w:rPr>
      </w:pPr>
    </w:p>
    <w:p w14:paraId="6CB6A5BD" w14:textId="15E69B4E" w:rsidR="00D27076" w:rsidRDefault="00D27076" w:rsidP="00D27076">
      <w:pPr>
        <w:rPr>
          <w:rFonts w:ascii="Times New Roman" w:hAnsi="Times New Roman" w:cs="Times New Roman"/>
          <w:b/>
          <w:bCs/>
          <w:szCs w:val="24"/>
          <w:u w:val="single"/>
        </w:rPr>
      </w:pPr>
      <w:r w:rsidRPr="00D27076">
        <w:rPr>
          <w:rFonts w:ascii="Times New Roman" w:hAnsi="Times New Roman" w:cs="Times New Roman"/>
          <w:b/>
          <w:bCs/>
          <w:szCs w:val="24"/>
          <w:u w:val="single"/>
        </w:rPr>
        <w:t xml:space="preserve">A parsimonious </w:t>
      </w:r>
      <w:r w:rsidR="00F45CA6">
        <w:rPr>
          <w:rFonts w:ascii="Times New Roman" w:hAnsi="Times New Roman" w:cs="Times New Roman"/>
          <w:b/>
          <w:bCs/>
          <w:szCs w:val="24"/>
          <w:u w:val="single"/>
        </w:rPr>
        <w:t xml:space="preserve">3-feature </w:t>
      </w:r>
      <w:r w:rsidR="00C12CEB">
        <w:rPr>
          <w:rFonts w:ascii="Times New Roman" w:hAnsi="Times New Roman" w:cs="Times New Roman"/>
          <w:b/>
          <w:bCs/>
          <w:szCs w:val="24"/>
          <w:u w:val="single"/>
        </w:rPr>
        <w:t xml:space="preserve">logistic regression </w:t>
      </w:r>
      <w:r w:rsidRPr="00D27076">
        <w:rPr>
          <w:rFonts w:ascii="Times New Roman" w:hAnsi="Times New Roman" w:cs="Times New Roman"/>
          <w:b/>
          <w:bCs/>
          <w:szCs w:val="24"/>
          <w:u w:val="single"/>
        </w:rPr>
        <w:t>model summarizes the separation between low- and high-resistance controls</w:t>
      </w:r>
    </w:p>
    <w:p w14:paraId="0F4957F6" w14:textId="77777777" w:rsidR="00120227" w:rsidRPr="00120227" w:rsidRDefault="00120227" w:rsidP="00120227">
      <w:pPr>
        <w:rPr>
          <w:rFonts w:ascii="Times New Roman" w:hAnsi="Times New Roman" w:cs="Times New Roman"/>
          <w:b/>
          <w:bCs/>
          <w:szCs w:val="24"/>
        </w:rPr>
      </w:pPr>
      <w:r w:rsidRPr="00120227">
        <w:rPr>
          <w:rFonts w:ascii="Times New Roman" w:hAnsi="Times New Roman" w:cs="Times New Roman"/>
          <w:b/>
          <w:bCs/>
          <w:szCs w:val="24"/>
        </w:rPr>
        <w:t>A)</w:t>
      </w:r>
    </w:p>
    <w:p w14:paraId="0BC03D74" w14:textId="1F7DCDF6" w:rsidR="00120227" w:rsidRDefault="00C84933" w:rsidP="00120227">
      <w:pPr>
        <w:rPr>
          <w:rFonts w:ascii="Arial" w:hAnsi="Arial" w:cs="Arial"/>
          <w:b/>
          <w:bCs/>
          <w:szCs w:val="24"/>
        </w:rPr>
      </w:pPr>
      <w:r>
        <w:rPr>
          <w:rFonts w:ascii="Arial" w:hAnsi="Arial" w:cs="Arial"/>
          <w:b/>
          <w:bCs/>
          <w:noProof/>
          <w:szCs w:val="24"/>
        </w:rPr>
        <w:drawing>
          <wp:inline distT="0" distB="0" distL="0" distR="0" wp14:anchorId="38532711" wp14:editId="0D12FAFB">
            <wp:extent cx="5749997" cy="4714875"/>
            <wp:effectExtent l="0" t="0" r="3175" b="0"/>
            <wp:docPr id="121516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202" name="Picture 12151642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5697" cy="4719549"/>
                    </a:xfrm>
                    <a:prstGeom prst="rect">
                      <a:avLst/>
                    </a:prstGeom>
                  </pic:spPr>
                </pic:pic>
              </a:graphicData>
            </a:graphic>
          </wp:inline>
        </w:drawing>
      </w:r>
    </w:p>
    <w:p w14:paraId="690250BF" w14:textId="0B0CF619" w:rsidR="00120227" w:rsidRPr="00120227" w:rsidRDefault="00120227" w:rsidP="00120227">
      <w:pPr>
        <w:rPr>
          <w:rFonts w:ascii="Times New Roman" w:hAnsi="Times New Roman" w:cs="Times New Roman"/>
          <w:b/>
          <w:bCs/>
          <w:szCs w:val="24"/>
        </w:rPr>
      </w:pPr>
      <w:r w:rsidRPr="00120227">
        <w:rPr>
          <w:rFonts w:ascii="Times New Roman" w:hAnsi="Times New Roman" w:cs="Times New Roman"/>
          <w:b/>
          <w:bCs/>
          <w:szCs w:val="24"/>
        </w:rPr>
        <w:lastRenderedPageBreak/>
        <w:t xml:space="preserve">B)                                  </w:t>
      </w:r>
      <w:r>
        <w:rPr>
          <w:rFonts w:ascii="Times New Roman" w:hAnsi="Times New Roman" w:cs="Times New Roman"/>
          <w:b/>
          <w:bCs/>
          <w:szCs w:val="24"/>
        </w:rPr>
        <w:tab/>
      </w:r>
      <w:r>
        <w:rPr>
          <w:rFonts w:ascii="Times New Roman" w:hAnsi="Times New Roman" w:cs="Times New Roman"/>
          <w:b/>
          <w:bCs/>
          <w:szCs w:val="24"/>
        </w:rPr>
        <w:tab/>
      </w:r>
      <w:r w:rsidRPr="00120227">
        <w:rPr>
          <w:rFonts w:ascii="Times New Roman" w:hAnsi="Times New Roman" w:cs="Times New Roman"/>
          <w:b/>
          <w:bCs/>
          <w:szCs w:val="24"/>
        </w:rPr>
        <w:t xml:space="preserve">C)                                  </w:t>
      </w:r>
    </w:p>
    <w:p w14:paraId="4941C676" w14:textId="640370F0" w:rsidR="00120227" w:rsidRDefault="00C84933" w:rsidP="00120227">
      <w:pPr>
        <w:rPr>
          <w:rFonts w:ascii="Times New Roman" w:hAnsi="Times New Roman" w:cs="Times New Roman"/>
          <w:b/>
          <w:bCs/>
          <w:sz w:val="20"/>
          <w:szCs w:val="20"/>
        </w:rPr>
      </w:pPr>
      <w:r>
        <w:rPr>
          <w:rFonts w:ascii="Times New Roman" w:hAnsi="Times New Roman" w:cs="Times New Roman"/>
          <w:b/>
          <w:bCs/>
          <w:noProof/>
          <w:sz w:val="20"/>
          <w:szCs w:val="20"/>
        </w:rPr>
        <w:drawing>
          <wp:inline distT="0" distB="0" distL="0" distR="0" wp14:anchorId="786F1A98" wp14:editId="3BD247A3">
            <wp:extent cx="2247900" cy="1899634"/>
            <wp:effectExtent l="0" t="0" r="0" b="5715"/>
            <wp:docPr id="212655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5293" name="Picture 21265529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74595" cy="1922193"/>
                    </a:xfrm>
                    <a:prstGeom prst="rect">
                      <a:avLst/>
                    </a:prstGeom>
                  </pic:spPr>
                </pic:pic>
              </a:graphicData>
            </a:graphic>
          </wp:inline>
        </w:drawing>
      </w:r>
      <w:r>
        <w:rPr>
          <w:rFonts w:ascii="Times New Roman" w:hAnsi="Times New Roman" w:cs="Times New Roman"/>
          <w:b/>
          <w:bCs/>
          <w:noProof/>
          <w:sz w:val="20"/>
          <w:szCs w:val="20"/>
        </w:rPr>
        <w:drawing>
          <wp:inline distT="0" distB="0" distL="0" distR="0" wp14:anchorId="731088BE" wp14:editId="1B6CE678">
            <wp:extent cx="3248025" cy="1893641"/>
            <wp:effectExtent l="0" t="0" r="3175" b="0"/>
            <wp:docPr id="1951247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47129" name="Picture 195124712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87389" cy="1916591"/>
                    </a:xfrm>
                    <a:prstGeom prst="rect">
                      <a:avLst/>
                    </a:prstGeom>
                  </pic:spPr>
                </pic:pic>
              </a:graphicData>
            </a:graphic>
          </wp:inline>
        </w:drawing>
      </w:r>
    </w:p>
    <w:p w14:paraId="18E0A5C7" w14:textId="55394812" w:rsidR="00120227" w:rsidRPr="00120227" w:rsidRDefault="00120227" w:rsidP="00120227">
      <w:pPr>
        <w:rPr>
          <w:rFonts w:ascii="Arial" w:hAnsi="Arial" w:cs="Arial"/>
          <w:b/>
          <w:bCs/>
          <w:sz w:val="20"/>
          <w:szCs w:val="20"/>
        </w:rPr>
      </w:pPr>
      <w:r w:rsidRPr="005478F3">
        <w:rPr>
          <w:rFonts w:ascii="Times New Roman" w:hAnsi="Times New Roman" w:cs="Times New Roman"/>
          <w:b/>
          <w:bCs/>
          <w:sz w:val="20"/>
          <w:szCs w:val="20"/>
        </w:rPr>
        <w:t xml:space="preserve">Figure </w:t>
      </w:r>
      <w:r>
        <w:rPr>
          <w:rFonts w:ascii="Times New Roman" w:hAnsi="Times New Roman" w:cs="Times New Roman"/>
          <w:b/>
          <w:bCs/>
          <w:sz w:val="20"/>
          <w:szCs w:val="20"/>
        </w:rPr>
        <w:t>10</w:t>
      </w:r>
      <w:r w:rsidRPr="005478F3">
        <w:rPr>
          <w:rFonts w:ascii="Times New Roman" w:hAnsi="Times New Roman" w:cs="Times New Roman"/>
          <w:b/>
          <w:bCs/>
          <w:sz w:val="20"/>
          <w:szCs w:val="20"/>
        </w:rPr>
        <w:t xml:space="preserve">: </w:t>
      </w:r>
      <w:r w:rsidRPr="00120227">
        <w:rPr>
          <w:rFonts w:ascii="Times New Roman" w:hAnsi="Times New Roman" w:cs="Times New Roman"/>
          <w:b/>
          <w:bCs/>
          <w:sz w:val="20"/>
          <w:szCs w:val="20"/>
        </w:rPr>
        <w:t xml:space="preserve">Performance of Logistic Regression model </w:t>
      </w:r>
      <w:r w:rsidR="00CD5CCF">
        <w:rPr>
          <w:rFonts w:ascii="Times New Roman" w:hAnsi="Times New Roman" w:cs="Times New Roman"/>
          <w:b/>
          <w:bCs/>
          <w:sz w:val="20"/>
          <w:szCs w:val="20"/>
        </w:rPr>
        <w:t>relating</w:t>
      </w:r>
      <w:r w:rsidRPr="00120227">
        <w:rPr>
          <w:rFonts w:ascii="Times New Roman" w:hAnsi="Times New Roman" w:cs="Times New Roman"/>
          <w:b/>
          <w:bCs/>
          <w:sz w:val="20"/>
          <w:szCs w:val="20"/>
        </w:rPr>
        <w:t xml:space="preserve"> MD simulation features</w:t>
      </w:r>
      <w:r w:rsidR="00CD5CCF">
        <w:rPr>
          <w:rFonts w:ascii="Times New Roman" w:hAnsi="Times New Roman" w:cs="Times New Roman"/>
          <w:b/>
          <w:bCs/>
          <w:sz w:val="20"/>
          <w:szCs w:val="20"/>
        </w:rPr>
        <w:t xml:space="preserve"> to </w:t>
      </w:r>
      <w:r w:rsidR="00CD5CCF" w:rsidRPr="00120227">
        <w:rPr>
          <w:rFonts w:ascii="Times New Roman" w:hAnsi="Times New Roman" w:cs="Times New Roman"/>
          <w:b/>
          <w:bCs/>
          <w:sz w:val="20"/>
          <w:szCs w:val="20"/>
        </w:rPr>
        <w:t>DOR susceptibility</w:t>
      </w:r>
      <w:r w:rsidRPr="00F5517A">
        <w:rPr>
          <w:rFonts w:ascii="Times New Roman" w:hAnsi="Times New Roman" w:cs="Times New Roman"/>
          <w:b/>
          <w:bCs/>
          <w:sz w:val="20"/>
          <w:szCs w:val="20"/>
        </w:rPr>
        <w:t xml:space="preserve">. </w:t>
      </w:r>
      <w:r w:rsidRPr="00F5517A">
        <w:rPr>
          <w:rFonts w:ascii="Times New Roman" w:hAnsi="Times New Roman" w:cs="Times New Roman"/>
          <w:sz w:val="20"/>
          <w:szCs w:val="20"/>
        </w:rPr>
        <w:t>(</w:t>
      </w:r>
      <w:r>
        <w:rPr>
          <w:rFonts w:ascii="Times New Roman" w:hAnsi="Times New Roman" w:cs="Times New Roman"/>
          <w:sz w:val="20"/>
          <w:szCs w:val="20"/>
        </w:rPr>
        <w:t xml:space="preserve">A) </w:t>
      </w:r>
      <w:r w:rsidR="00932D08">
        <w:rPr>
          <w:rFonts w:ascii="Times New Roman" w:hAnsi="Times New Roman" w:cs="Times New Roman"/>
          <w:sz w:val="20"/>
          <w:szCs w:val="20"/>
        </w:rPr>
        <w:t>O</w:t>
      </w:r>
      <w:r>
        <w:rPr>
          <w:rFonts w:ascii="Times New Roman" w:hAnsi="Times New Roman" w:cs="Times New Roman"/>
          <w:sz w:val="20"/>
          <w:szCs w:val="20"/>
        </w:rPr>
        <w:t xml:space="preserve">utput of the logistic regression model, </w:t>
      </w:r>
      <w:proofErr w:type="spellStart"/>
      <w:r w:rsidRPr="00120227">
        <w:rPr>
          <w:rFonts w:ascii="Times New Roman" w:hAnsi="Times New Roman" w:cs="Times New Roman"/>
          <w:i/>
          <w:iCs/>
          <w:sz w:val="20"/>
          <w:szCs w:val="20"/>
        </w:rPr>
        <w:t>P</w:t>
      </w:r>
      <w:r w:rsidRPr="00120227">
        <w:rPr>
          <w:rFonts w:ascii="Times New Roman" w:hAnsi="Times New Roman" w:cs="Times New Roman"/>
          <w:i/>
          <w:iCs/>
          <w:sz w:val="20"/>
          <w:szCs w:val="20"/>
          <w:vertAlign w:val="subscript"/>
        </w:rPr>
        <w:t>high</w:t>
      </w:r>
      <w:proofErr w:type="spellEnd"/>
      <w:r>
        <w:rPr>
          <w:rFonts w:ascii="Times New Roman" w:hAnsi="Times New Roman" w:cs="Times New Roman"/>
          <w:sz w:val="20"/>
          <w:szCs w:val="20"/>
        </w:rPr>
        <w:t>, i.e. the probability of a mutation being labeled as high resistance</w:t>
      </w:r>
      <w:r w:rsidR="00932D08">
        <w:rPr>
          <w:rFonts w:ascii="Times New Roman" w:hAnsi="Times New Roman" w:cs="Times New Roman"/>
          <w:sz w:val="20"/>
          <w:szCs w:val="20"/>
        </w:rPr>
        <w:t>, plotted against median DOR fold-change in susceptibility on the log scale</w:t>
      </w:r>
      <w:r>
        <w:rPr>
          <w:rFonts w:ascii="Times New Roman" w:hAnsi="Times New Roman" w:cs="Times New Roman"/>
          <w:sz w:val="20"/>
          <w:szCs w:val="20"/>
        </w:rPr>
        <w:t>. The dotted lines represent the thresholds for the labels</w:t>
      </w:r>
      <w:r w:rsidR="00932D08">
        <w:rPr>
          <w:rFonts w:ascii="Times New Roman" w:hAnsi="Times New Roman" w:cs="Times New Roman"/>
          <w:sz w:val="20"/>
          <w:szCs w:val="20"/>
        </w:rPr>
        <w:t>:</w:t>
      </w:r>
      <w:r>
        <w:rPr>
          <w:rFonts w:ascii="Times New Roman" w:hAnsi="Times New Roman" w:cs="Times New Roman"/>
          <w:sz w:val="20"/>
          <w:szCs w:val="20"/>
        </w:rPr>
        <w:t xml:space="preserve"> </w:t>
      </w:r>
      <w:r w:rsidR="00932D08" w:rsidRPr="00932D08">
        <w:rPr>
          <w:rFonts w:ascii="Times New Roman" w:hAnsi="Times New Roman" w:cs="Times New Roman"/>
          <w:sz w:val="20"/>
          <w:szCs w:val="20"/>
        </w:rPr>
        <w:t xml:space="preserve">Genotypes were labeled as high resistance if their median DOR fold-change exceeded </w:t>
      </w:r>
      <w:r w:rsidR="00CD5CCF">
        <w:rPr>
          <w:rFonts w:ascii="Times New Roman" w:hAnsi="Times New Roman" w:cs="Times New Roman"/>
          <w:sz w:val="20"/>
          <w:szCs w:val="20"/>
        </w:rPr>
        <w:t>3x</w:t>
      </w:r>
      <w:r w:rsidR="00932D08" w:rsidRPr="00932D08">
        <w:rPr>
          <w:rFonts w:ascii="Times New Roman" w:hAnsi="Times New Roman" w:cs="Times New Roman"/>
          <w:sz w:val="20"/>
          <w:szCs w:val="20"/>
        </w:rPr>
        <w:t xml:space="preserve"> and low resistance otherwise. We used a decision threshold of </w:t>
      </w:r>
      <w:proofErr w:type="spellStart"/>
      <w:r w:rsidR="00932D08" w:rsidRPr="00120227">
        <w:rPr>
          <w:rFonts w:ascii="Times New Roman" w:hAnsi="Times New Roman" w:cs="Times New Roman"/>
          <w:i/>
          <w:iCs/>
          <w:sz w:val="20"/>
          <w:szCs w:val="20"/>
        </w:rPr>
        <w:t>P</w:t>
      </w:r>
      <w:r w:rsidR="00932D08" w:rsidRPr="00120227">
        <w:rPr>
          <w:rFonts w:ascii="Times New Roman" w:hAnsi="Times New Roman" w:cs="Times New Roman"/>
          <w:i/>
          <w:iCs/>
          <w:sz w:val="20"/>
          <w:szCs w:val="20"/>
          <w:vertAlign w:val="subscript"/>
        </w:rPr>
        <w:t>high</w:t>
      </w:r>
      <w:proofErr w:type="spellEnd"/>
      <w:r w:rsidR="00932D08">
        <w:rPr>
          <w:rFonts w:ascii="Times New Roman" w:hAnsi="Times New Roman" w:cs="Times New Roman"/>
          <w:i/>
          <w:iCs/>
          <w:sz w:val="20"/>
          <w:szCs w:val="20"/>
          <w:vertAlign w:val="subscript"/>
        </w:rPr>
        <w:t xml:space="preserve"> </w:t>
      </w:r>
      <w:r w:rsidR="00932D08">
        <w:rPr>
          <w:rFonts w:ascii="Times New Roman" w:hAnsi="Times New Roman" w:cs="Times New Roman"/>
          <w:sz w:val="20"/>
          <w:szCs w:val="20"/>
        </w:rPr>
        <w:t xml:space="preserve">= </w:t>
      </w:r>
      <w:r w:rsidR="00932D08" w:rsidRPr="00932D08">
        <w:rPr>
          <w:rFonts w:ascii="Times New Roman" w:hAnsi="Times New Roman" w:cs="Times New Roman"/>
          <w:sz w:val="20"/>
          <w:szCs w:val="20"/>
        </w:rPr>
        <w:t>0.5 for class assignment.</w:t>
      </w:r>
      <w:r w:rsidR="00932D08">
        <w:rPr>
          <w:rFonts w:ascii="Times New Roman" w:hAnsi="Times New Roman" w:cs="Times New Roman"/>
          <w:sz w:val="20"/>
          <w:szCs w:val="20"/>
        </w:rPr>
        <w:t xml:space="preserve"> </w:t>
      </w:r>
      <w:r>
        <w:rPr>
          <w:rFonts w:ascii="Times New Roman" w:hAnsi="Times New Roman" w:cs="Times New Roman"/>
          <w:sz w:val="20"/>
          <w:szCs w:val="20"/>
        </w:rPr>
        <w:t xml:space="preserve">The dashed trend line is a linear regression fit of the </w:t>
      </w:r>
      <w:r w:rsidR="00932D08" w:rsidRPr="00932D08">
        <w:rPr>
          <w:rFonts w:ascii="Times New Roman" w:hAnsi="Times New Roman" w:cs="Times New Roman"/>
          <w:sz w:val="20"/>
          <w:szCs w:val="20"/>
        </w:rPr>
        <w:t>data</w:t>
      </w:r>
      <w:r>
        <w:rPr>
          <w:rFonts w:ascii="Times New Roman" w:hAnsi="Times New Roman" w:cs="Times New Roman"/>
          <w:sz w:val="20"/>
          <w:szCs w:val="20"/>
        </w:rPr>
        <w:t>. R</w:t>
      </w:r>
      <w:r>
        <w:rPr>
          <w:rFonts w:ascii="Times New Roman" w:hAnsi="Times New Roman" w:cs="Times New Roman"/>
          <w:sz w:val="20"/>
          <w:szCs w:val="20"/>
          <w:vertAlign w:val="superscript"/>
        </w:rPr>
        <w:t>2</w:t>
      </w:r>
      <w:r>
        <w:rPr>
          <w:rFonts w:ascii="Times New Roman" w:hAnsi="Times New Roman" w:cs="Times New Roman"/>
          <w:sz w:val="20"/>
          <w:szCs w:val="20"/>
        </w:rPr>
        <w:t xml:space="preserve"> is the coefficient of determination for this fit and the p-value test the null hypothesis that the true linear correlation between the two variables is zero.</w:t>
      </w:r>
      <w:r w:rsidR="00961415">
        <w:rPr>
          <w:rFonts w:ascii="Times New Roman" w:hAnsi="Times New Roman" w:cs="Times New Roman"/>
          <w:sz w:val="20"/>
          <w:szCs w:val="20"/>
        </w:rPr>
        <w:t xml:space="preserve"> (B) </w:t>
      </w:r>
      <w:r w:rsidR="00961415" w:rsidRPr="00961415">
        <w:rPr>
          <w:rFonts w:ascii="Times New Roman" w:hAnsi="Times New Roman" w:cs="Times New Roman"/>
          <w:sz w:val="20"/>
          <w:szCs w:val="20"/>
        </w:rPr>
        <w:t>Confusion matrix showing predicted labels compared with true labels across train and test set</w:t>
      </w:r>
      <w:r w:rsidR="00961415">
        <w:rPr>
          <w:rFonts w:ascii="Times New Roman" w:hAnsi="Times New Roman" w:cs="Times New Roman"/>
          <w:sz w:val="20"/>
          <w:szCs w:val="20"/>
        </w:rPr>
        <w:t xml:space="preserve">. (C) </w:t>
      </w:r>
      <w:r w:rsidR="00961415" w:rsidRPr="00961415">
        <w:rPr>
          <w:rFonts w:ascii="Times New Roman" w:hAnsi="Times New Roman" w:cs="Times New Roman"/>
          <w:sz w:val="20"/>
          <w:szCs w:val="20"/>
        </w:rPr>
        <w:t>Trained model coefficients for the standardized features showing roughly equal contribution of all 3 features to the model’s output.</w:t>
      </w:r>
    </w:p>
    <w:p w14:paraId="3315305C" w14:textId="77777777" w:rsidR="00D27076" w:rsidRPr="00D27076" w:rsidRDefault="00D27076" w:rsidP="00D27076">
      <w:pPr>
        <w:rPr>
          <w:rFonts w:ascii="Times New Roman" w:hAnsi="Times New Roman" w:cs="Times New Roman"/>
          <w:szCs w:val="24"/>
        </w:rPr>
      </w:pPr>
    </w:p>
    <w:p w14:paraId="631649F4" w14:textId="49E903EC" w:rsidR="00906992" w:rsidRDefault="00906992" w:rsidP="00906992">
      <w:pPr>
        <w:rPr>
          <w:rFonts w:ascii="Times New Roman" w:hAnsi="Times New Roman" w:cs="Times New Roman"/>
          <w:szCs w:val="24"/>
        </w:rPr>
      </w:pPr>
      <w:r w:rsidRPr="00906992">
        <w:rPr>
          <w:rFonts w:ascii="Times New Roman" w:hAnsi="Times New Roman" w:cs="Times New Roman"/>
          <w:szCs w:val="24"/>
        </w:rPr>
        <w:t xml:space="preserve">After identifying local structural signatures across the genotype panel, we asked whether a small number of MD-derived variables could summarize the distinction between low- and high-resistance genotypes. Genotypes were labeled as high resistance if the median DOR fold-change was ≥3 and low resistance otherwise; WT was included as a low-resistance reference. We then fit a regularized logistic regression model using </w:t>
      </w:r>
      <w:r w:rsidR="00F45CA6">
        <w:rPr>
          <w:rFonts w:ascii="Times New Roman" w:hAnsi="Times New Roman" w:cs="Times New Roman"/>
          <w:szCs w:val="24"/>
        </w:rPr>
        <w:t>three</w:t>
      </w:r>
      <w:r w:rsidRPr="00906992">
        <w:rPr>
          <w:rFonts w:ascii="Times New Roman" w:hAnsi="Times New Roman" w:cs="Times New Roman"/>
          <w:szCs w:val="24"/>
        </w:rPr>
        <w:t xml:space="preserve"> mechanistically motivated features: the Ser105-DOR minimum distance, the Tyr188-DOR minimum distance, </w:t>
      </w:r>
      <w:r w:rsidR="00F45CA6">
        <w:rPr>
          <w:rFonts w:ascii="Times New Roman" w:hAnsi="Times New Roman" w:cs="Times New Roman"/>
          <w:szCs w:val="24"/>
        </w:rPr>
        <w:t xml:space="preserve">and </w:t>
      </w:r>
      <w:r w:rsidRPr="00906992">
        <w:rPr>
          <w:rFonts w:ascii="Times New Roman" w:hAnsi="Times New Roman" w:cs="Times New Roman"/>
          <w:szCs w:val="24"/>
        </w:rPr>
        <w:t>DOR pose RMSD</w:t>
      </w:r>
      <w:r w:rsidR="009B09AD">
        <w:rPr>
          <w:rFonts w:ascii="Times New Roman" w:hAnsi="Times New Roman" w:cs="Times New Roman"/>
          <w:szCs w:val="24"/>
        </w:rPr>
        <w:t xml:space="preserve"> (Figure 10)</w:t>
      </w:r>
      <w:r w:rsidRPr="00906992">
        <w:rPr>
          <w:rFonts w:ascii="Times New Roman" w:hAnsi="Times New Roman" w:cs="Times New Roman"/>
          <w:szCs w:val="24"/>
        </w:rPr>
        <w:t>.</w:t>
      </w:r>
    </w:p>
    <w:p w14:paraId="462DEB05" w14:textId="77777777" w:rsidR="00906992" w:rsidRPr="00906992" w:rsidRDefault="00906992" w:rsidP="00906992">
      <w:pPr>
        <w:rPr>
          <w:rFonts w:ascii="Times New Roman" w:hAnsi="Times New Roman" w:cs="Times New Roman"/>
          <w:szCs w:val="24"/>
        </w:rPr>
      </w:pPr>
    </w:p>
    <w:p w14:paraId="691FF5C5" w14:textId="20762E06" w:rsidR="00906992" w:rsidRDefault="00906992" w:rsidP="00906992">
      <w:pPr>
        <w:rPr>
          <w:rFonts w:ascii="Times New Roman" w:hAnsi="Times New Roman" w:cs="Times New Roman"/>
          <w:szCs w:val="24"/>
        </w:rPr>
      </w:pPr>
      <w:r w:rsidRPr="00906992">
        <w:rPr>
          <w:rFonts w:ascii="Times New Roman" w:hAnsi="Times New Roman" w:cs="Times New Roman"/>
          <w:szCs w:val="24"/>
        </w:rPr>
        <w:t xml:space="preserve">This compact model separated the low- and high-resistance control </w:t>
      </w:r>
      <w:r w:rsidR="009B09AD">
        <w:rPr>
          <w:rFonts w:ascii="Times New Roman" w:hAnsi="Times New Roman" w:cs="Times New Roman"/>
          <w:szCs w:val="24"/>
        </w:rPr>
        <w:t>mutations</w:t>
      </w:r>
      <w:r w:rsidRPr="00906992">
        <w:rPr>
          <w:rFonts w:ascii="Times New Roman" w:hAnsi="Times New Roman" w:cs="Times New Roman"/>
          <w:szCs w:val="24"/>
        </w:rPr>
        <w:t xml:space="preserve"> with strong performance in replicate-level grouped cross-validation, achieving 12/13 correct classifications. When fit across the full panel, the resulting model probabilities also tracked the continuous phenotypic fold-change values, despite being trained on a binary resistance threshold (R² = 0.50, p = 6.6 × 10⁻⁴). Thus, the classifier produced a graded score that increased with the magnitude of observed DOR susceptibility loss.</w:t>
      </w:r>
    </w:p>
    <w:p w14:paraId="2D48D509" w14:textId="77777777" w:rsidR="00906992" w:rsidRPr="00906992" w:rsidRDefault="00906992" w:rsidP="00906992">
      <w:pPr>
        <w:rPr>
          <w:rFonts w:ascii="Times New Roman" w:hAnsi="Times New Roman" w:cs="Times New Roman"/>
          <w:szCs w:val="24"/>
        </w:rPr>
      </w:pPr>
    </w:p>
    <w:p w14:paraId="0A24887F" w14:textId="61E223EE" w:rsidR="00906992" w:rsidRDefault="00906992" w:rsidP="00906992">
      <w:pPr>
        <w:rPr>
          <w:rFonts w:ascii="Times New Roman" w:hAnsi="Times New Roman" w:cs="Times New Roman"/>
          <w:szCs w:val="24"/>
        </w:rPr>
      </w:pPr>
      <w:r w:rsidRPr="00906992">
        <w:rPr>
          <w:rFonts w:ascii="Times New Roman" w:hAnsi="Times New Roman" w:cs="Times New Roman"/>
          <w:szCs w:val="24"/>
        </w:rPr>
        <w:t xml:space="preserve">The selected features are also mechanistically interpretable. Ser105-DOR distance captures the 103-108 loop-proximal shift observed in V106A-containing genotypes, Tyr188-DOR distance captures disruption of the aromatic wall of the NNRTI-binding pocket, </w:t>
      </w:r>
      <w:r w:rsidR="00262F5D">
        <w:rPr>
          <w:rFonts w:ascii="Times New Roman" w:hAnsi="Times New Roman" w:cs="Times New Roman"/>
          <w:szCs w:val="24"/>
        </w:rPr>
        <w:t xml:space="preserve">and </w:t>
      </w:r>
      <w:r w:rsidRPr="00906992">
        <w:rPr>
          <w:rFonts w:ascii="Times New Roman" w:hAnsi="Times New Roman" w:cs="Times New Roman"/>
          <w:szCs w:val="24"/>
        </w:rPr>
        <w:t>DOR pose RMSD summarizes broader ligand rearrangement. WT was assigned a low probability of high resistance, whereas most positive-control genotypes were assigned high probabilities. Among genotypes with limited or uncertain phenotype, G190E and G190S received high model probabilities, while V106M, L100I+K103N, K103N+P225H, and K103N+M230L were assigned low probabilities.</w:t>
      </w:r>
    </w:p>
    <w:p w14:paraId="16264058" w14:textId="77777777" w:rsidR="00906992" w:rsidRPr="00906992" w:rsidRDefault="00906992" w:rsidP="00906992">
      <w:pPr>
        <w:rPr>
          <w:rFonts w:ascii="Times New Roman" w:hAnsi="Times New Roman" w:cs="Times New Roman"/>
          <w:szCs w:val="24"/>
        </w:rPr>
      </w:pPr>
    </w:p>
    <w:p w14:paraId="36952244" w14:textId="23AAAC96" w:rsidR="00906992" w:rsidRPr="00906992" w:rsidRDefault="00262F5D" w:rsidP="00906992">
      <w:pPr>
        <w:rPr>
          <w:rFonts w:ascii="Times New Roman" w:hAnsi="Times New Roman" w:cs="Times New Roman"/>
          <w:szCs w:val="24"/>
        </w:rPr>
      </w:pPr>
      <w:r>
        <w:rPr>
          <w:rFonts w:ascii="Times New Roman" w:hAnsi="Times New Roman" w:cs="Times New Roman"/>
          <w:szCs w:val="24"/>
        </w:rPr>
        <w:t>Note that t</w:t>
      </w:r>
      <w:r w:rsidR="00906992" w:rsidRPr="00906992">
        <w:rPr>
          <w:rFonts w:ascii="Times New Roman" w:hAnsi="Times New Roman" w:cs="Times New Roman"/>
          <w:szCs w:val="24"/>
        </w:rPr>
        <w:t xml:space="preserve">his model should be interpreted as a compact structural summary rather than as a validated clinical susceptibility predictor. The training set is small, the phenotype labels depend </w:t>
      </w:r>
      <w:r w:rsidR="00906992" w:rsidRPr="00906992">
        <w:rPr>
          <w:rFonts w:ascii="Times New Roman" w:hAnsi="Times New Roman" w:cs="Times New Roman"/>
          <w:szCs w:val="24"/>
        </w:rPr>
        <w:lastRenderedPageBreak/>
        <w:t>on a pragmatic 3-fold threshold, and bootstrap intervals remain wide for several genotypes</w:t>
      </w:r>
      <w:r>
        <w:rPr>
          <w:rFonts w:ascii="Times New Roman" w:hAnsi="Times New Roman" w:cs="Times New Roman"/>
          <w:szCs w:val="24"/>
        </w:rPr>
        <w:t xml:space="preserve"> (</w:t>
      </w:r>
      <w:r w:rsidR="00542AD3">
        <w:rPr>
          <w:rFonts w:ascii="Times New Roman" w:hAnsi="Times New Roman" w:cs="Times New Roman"/>
          <w:szCs w:val="24"/>
        </w:rPr>
        <w:t>Supplementary</w:t>
      </w:r>
      <w:r>
        <w:rPr>
          <w:rFonts w:ascii="Times New Roman" w:hAnsi="Times New Roman" w:cs="Times New Roman"/>
          <w:szCs w:val="24"/>
        </w:rPr>
        <w:t xml:space="preserve"> Table 4</w:t>
      </w:r>
      <w:r w:rsidR="00325C5A">
        <w:rPr>
          <w:rFonts w:ascii="Times New Roman" w:hAnsi="Times New Roman" w:cs="Times New Roman"/>
          <w:szCs w:val="24"/>
        </w:rPr>
        <w:t xml:space="preserve">: </w:t>
      </w:r>
      <w:r w:rsidR="00325C5A" w:rsidRPr="00325C5A">
        <w:rPr>
          <w:rFonts w:ascii="Times New Roman" w:hAnsi="Times New Roman" w:cs="Times New Roman"/>
          <w:szCs w:val="24"/>
          <w:highlight w:val="yellow"/>
        </w:rPr>
        <w:t>@Rohit to add</w:t>
      </w:r>
      <w:r>
        <w:rPr>
          <w:rFonts w:ascii="Times New Roman" w:hAnsi="Times New Roman" w:cs="Times New Roman"/>
          <w:szCs w:val="24"/>
        </w:rPr>
        <w:t>)</w:t>
      </w:r>
      <w:r w:rsidR="00906992" w:rsidRPr="00906992">
        <w:rPr>
          <w:rFonts w:ascii="Times New Roman" w:hAnsi="Times New Roman" w:cs="Times New Roman"/>
          <w:szCs w:val="24"/>
        </w:rPr>
        <w:t>. Nevertheless, the ability of four local MD-derived features to summarize much of the low-versus-high resistance separation supports the broader conclusion that DOR resistance is better explained by coordinated local rearrangements in the binding pocket than by a single global binding-energy metric.</w:t>
      </w:r>
    </w:p>
    <w:p w14:paraId="72CE490E" w14:textId="77777777" w:rsidR="00BB3608" w:rsidRDefault="00BB3608" w:rsidP="00D27076">
      <w:pPr>
        <w:rPr>
          <w:rFonts w:ascii="Times New Roman" w:hAnsi="Times New Roman" w:cs="Times New Roman"/>
          <w:szCs w:val="24"/>
        </w:rPr>
      </w:pPr>
    </w:p>
    <w:p w14:paraId="117A2D6A" w14:textId="495FC2DF" w:rsidR="00BB3608" w:rsidRDefault="00BB3608" w:rsidP="00D27076">
      <w:pPr>
        <w:rPr>
          <w:rFonts w:ascii="Times New Roman" w:hAnsi="Times New Roman" w:cs="Times New Roman"/>
          <w:b/>
          <w:bCs/>
          <w:sz w:val="28"/>
          <w:szCs w:val="28"/>
        </w:rPr>
      </w:pPr>
      <w:r>
        <w:rPr>
          <w:rFonts w:ascii="Times New Roman" w:hAnsi="Times New Roman" w:cs="Times New Roman"/>
          <w:b/>
          <w:bCs/>
          <w:sz w:val="28"/>
          <w:szCs w:val="28"/>
        </w:rPr>
        <w:t>Discussion</w:t>
      </w:r>
    </w:p>
    <w:p w14:paraId="1EB16CF4" w14:textId="47B7C8A9" w:rsidR="005F52FE" w:rsidRDefault="007B0373" w:rsidP="005F52FE">
      <w:pPr>
        <w:rPr>
          <w:rFonts w:ascii="Times New Roman" w:hAnsi="Times New Roman" w:cs="Times New Roman"/>
          <w:szCs w:val="24"/>
        </w:rPr>
      </w:pPr>
      <w:r w:rsidRPr="007B0373">
        <w:rPr>
          <w:rFonts w:ascii="Times New Roman" w:hAnsi="Times New Roman" w:cs="Times New Roman"/>
          <w:szCs w:val="24"/>
        </w:rPr>
        <w:t xml:space="preserve">DOR poses an unusual resistance problem among second-generation NNRTIs. Like ETR and RPV, DOR retains activity against common NNRTI-associated backgrounds such as K103N, Y181C, and G190A, yet the pathways that reduce DOR susceptibility are distinct and increasingly relevant in clinical use. Specific substitutions such as Y188L, V106A, and Y318F, and combinations including V106I+F227C, V106A+F227L, and V106A+L234I, now recur across phenotypic studies, in vitro selection experiments, and clinical trial datasets. Despite these observations, publicly </w:t>
      </w:r>
      <w:r>
        <w:rPr>
          <w:rFonts w:ascii="Times New Roman" w:hAnsi="Times New Roman" w:cs="Times New Roman"/>
          <w:szCs w:val="24"/>
        </w:rPr>
        <w:t>available</w:t>
      </w:r>
      <w:r w:rsidRPr="007B0373">
        <w:rPr>
          <w:rFonts w:ascii="Times New Roman" w:hAnsi="Times New Roman" w:cs="Times New Roman"/>
          <w:szCs w:val="24"/>
        </w:rPr>
        <w:t xml:space="preserve"> isolate-level susceptibility data for DOR remain sparse. As of April 2026, Stanford HIVDB indexes only 134 DOR-associated isolates tested by </w:t>
      </w:r>
      <w:proofErr w:type="spellStart"/>
      <w:r w:rsidRPr="007B0373">
        <w:rPr>
          <w:rFonts w:ascii="Times New Roman" w:hAnsi="Times New Roman" w:cs="Times New Roman"/>
          <w:szCs w:val="24"/>
        </w:rPr>
        <w:t>PhenoSense</w:t>
      </w:r>
      <w:proofErr w:type="spellEnd"/>
      <w:r w:rsidRPr="007B0373">
        <w:rPr>
          <w:rFonts w:ascii="Times New Roman" w:hAnsi="Times New Roman" w:cs="Times New Roman"/>
          <w:szCs w:val="24"/>
        </w:rPr>
        <w:t>, compared with 330 for RPV and 1,193 for ETR. This mismatch between growing clinical relevance and limited public phenotype data for DOR resistance motivated the present study.</w:t>
      </w:r>
      <w:r w:rsidR="005F52FE" w:rsidRPr="005F52FE">
        <w:t xml:space="preserve"> </w:t>
      </w:r>
      <w:r w:rsidR="005F52FE" w:rsidRPr="005F52FE">
        <w:rPr>
          <w:rFonts w:ascii="Times New Roman" w:hAnsi="Times New Roman" w:cs="Times New Roman"/>
          <w:szCs w:val="24"/>
        </w:rPr>
        <w:t>We therefore asked whether short explicit-solvent MD simulations could provide a coherent structural framework for understanding known and limited-data DOR resistance genotypes.</w:t>
      </w:r>
    </w:p>
    <w:p w14:paraId="5A4B1CCF" w14:textId="77777777" w:rsidR="005F52FE" w:rsidRPr="005F52FE" w:rsidRDefault="005F52FE" w:rsidP="005F52FE">
      <w:pPr>
        <w:rPr>
          <w:rFonts w:ascii="Times New Roman" w:hAnsi="Times New Roman" w:cs="Times New Roman"/>
          <w:szCs w:val="24"/>
        </w:rPr>
      </w:pPr>
    </w:p>
    <w:p w14:paraId="6B4273C4" w14:textId="5A6FC191" w:rsidR="00385FCC" w:rsidRDefault="005F52FE" w:rsidP="005F52FE">
      <w:pPr>
        <w:rPr>
          <w:rFonts w:ascii="Times New Roman" w:hAnsi="Times New Roman" w:cs="Times New Roman"/>
          <w:szCs w:val="24"/>
        </w:rPr>
      </w:pPr>
      <w:r>
        <w:rPr>
          <w:rFonts w:ascii="Times New Roman" w:hAnsi="Times New Roman" w:cs="Times New Roman"/>
          <w:szCs w:val="24"/>
        </w:rPr>
        <w:t>We observed</w:t>
      </w:r>
      <w:r w:rsidRPr="005F52FE">
        <w:rPr>
          <w:rFonts w:ascii="Times New Roman" w:hAnsi="Times New Roman" w:cs="Times New Roman"/>
          <w:szCs w:val="24"/>
        </w:rPr>
        <w:t xml:space="preserve"> </w:t>
      </w:r>
      <w:r>
        <w:rPr>
          <w:rFonts w:ascii="Times New Roman" w:hAnsi="Times New Roman" w:cs="Times New Roman"/>
          <w:szCs w:val="24"/>
        </w:rPr>
        <w:t>that</w:t>
      </w:r>
      <w:r w:rsidRPr="005F52FE">
        <w:rPr>
          <w:rFonts w:ascii="Times New Roman" w:hAnsi="Times New Roman" w:cs="Times New Roman"/>
          <w:szCs w:val="24"/>
        </w:rPr>
        <w:t xml:space="preserve"> </w:t>
      </w:r>
      <w:r>
        <w:rPr>
          <w:rFonts w:ascii="Times New Roman" w:hAnsi="Times New Roman" w:cs="Times New Roman"/>
          <w:szCs w:val="24"/>
        </w:rPr>
        <w:t>t</w:t>
      </w:r>
      <w:r w:rsidRPr="005F52FE">
        <w:rPr>
          <w:rFonts w:ascii="Times New Roman" w:hAnsi="Times New Roman" w:cs="Times New Roman"/>
          <w:szCs w:val="24"/>
        </w:rPr>
        <w:t xml:space="preserve">otal WT-referenced energetic shifts derived from bound-state MD snapshots did not </w:t>
      </w:r>
      <w:r w:rsidR="00594894">
        <w:rPr>
          <w:rFonts w:ascii="Times New Roman" w:hAnsi="Times New Roman" w:cs="Times New Roman"/>
          <w:szCs w:val="24"/>
        </w:rPr>
        <w:t>correlate well with</w:t>
      </w:r>
      <w:r w:rsidRPr="005F52FE">
        <w:rPr>
          <w:rFonts w:ascii="Times New Roman" w:hAnsi="Times New Roman" w:cs="Times New Roman"/>
          <w:szCs w:val="24"/>
        </w:rPr>
        <w:t xml:space="preserve"> the </w:t>
      </w:r>
      <w:r w:rsidR="00594894">
        <w:rPr>
          <w:rFonts w:ascii="Times New Roman" w:hAnsi="Times New Roman" w:cs="Times New Roman"/>
          <w:szCs w:val="24"/>
        </w:rPr>
        <w:t xml:space="preserve">available </w:t>
      </w:r>
      <w:r w:rsidRPr="005F52FE">
        <w:rPr>
          <w:rFonts w:ascii="Times New Roman" w:hAnsi="Times New Roman" w:cs="Times New Roman"/>
          <w:szCs w:val="24"/>
        </w:rPr>
        <w:t xml:space="preserve">phenotypic DOR landscape. </w:t>
      </w:r>
      <w:r w:rsidR="00385FCC">
        <w:rPr>
          <w:rFonts w:ascii="Times New Roman" w:hAnsi="Times New Roman" w:cs="Times New Roman"/>
          <w:szCs w:val="24"/>
        </w:rPr>
        <w:t xml:space="preserve">There may be several reasons for this observation. First, the computed </w:t>
      </w:r>
      <w:r w:rsidR="00385FCC" w:rsidRPr="00085D4C">
        <w:rPr>
          <w:rFonts w:ascii="Times New Roman" w:hAnsi="Times New Roman" w:cs="Times New Roman"/>
          <w:szCs w:val="24"/>
        </w:rPr>
        <w:t xml:space="preserve">MM/GBSA </w:t>
      </w:r>
      <w:r w:rsidR="00385FCC">
        <w:rPr>
          <w:rFonts w:ascii="Times New Roman" w:hAnsi="Times New Roman" w:cs="Times New Roman"/>
          <w:szCs w:val="24"/>
        </w:rPr>
        <w:t xml:space="preserve">energy </w:t>
      </w:r>
      <w:r w:rsidR="00385FCC" w:rsidRPr="00085D4C">
        <w:rPr>
          <w:rFonts w:ascii="Times New Roman" w:hAnsi="Times New Roman" w:cs="Times New Roman"/>
          <w:szCs w:val="24"/>
        </w:rPr>
        <w:t xml:space="preserve">values </w:t>
      </w:r>
      <w:r w:rsidR="00385FCC">
        <w:rPr>
          <w:rFonts w:ascii="Times New Roman" w:hAnsi="Times New Roman" w:cs="Times New Roman"/>
          <w:szCs w:val="24"/>
        </w:rPr>
        <w:t xml:space="preserve">fundamentally </w:t>
      </w:r>
      <w:r w:rsidR="00385FCC" w:rsidRPr="00085D4C">
        <w:rPr>
          <w:rFonts w:ascii="Times New Roman" w:hAnsi="Times New Roman" w:cs="Times New Roman"/>
          <w:szCs w:val="24"/>
        </w:rPr>
        <w:t>do not represent equilibrium binding free energies because the simulations do not sample the full bound and unbound state populations needed for a true free</w:t>
      </w:r>
      <w:r w:rsidR="00385FCC">
        <w:rPr>
          <w:rFonts w:ascii="Times New Roman" w:hAnsi="Times New Roman" w:cs="Times New Roman"/>
          <w:szCs w:val="24"/>
        </w:rPr>
        <w:t xml:space="preserve"> </w:t>
      </w:r>
      <w:r w:rsidR="00385FCC" w:rsidRPr="00085D4C">
        <w:rPr>
          <w:rFonts w:ascii="Times New Roman" w:hAnsi="Times New Roman" w:cs="Times New Roman"/>
          <w:szCs w:val="24"/>
        </w:rPr>
        <w:t xml:space="preserve">energy estimate. </w:t>
      </w:r>
      <w:r w:rsidR="00385FCC">
        <w:rPr>
          <w:rFonts w:ascii="Times New Roman" w:hAnsi="Times New Roman" w:cs="Times New Roman"/>
          <w:szCs w:val="24"/>
        </w:rPr>
        <w:t>Second</w:t>
      </w:r>
      <w:r w:rsidR="00385FCC" w:rsidRPr="00085D4C">
        <w:rPr>
          <w:rFonts w:ascii="Times New Roman" w:hAnsi="Times New Roman" w:cs="Times New Roman"/>
          <w:szCs w:val="24"/>
        </w:rPr>
        <w:t xml:space="preserve">, </w:t>
      </w:r>
      <w:r w:rsidR="00385FCC">
        <w:rPr>
          <w:rFonts w:ascii="Times New Roman" w:hAnsi="Times New Roman" w:cs="Times New Roman"/>
          <w:szCs w:val="24"/>
        </w:rPr>
        <w:t xml:space="preserve">though the simulations are performed in explicit solvent, </w:t>
      </w:r>
      <w:r w:rsidR="00385FCC" w:rsidRPr="00085D4C">
        <w:rPr>
          <w:rFonts w:ascii="Times New Roman" w:hAnsi="Times New Roman" w:cs="Times New Roman"/>
          <w:szCs w:val="24"/>
        </w:rPr>
        <w:t xml:space="preserve">the </w:t>
      </w:r>
      <w:r w:rsidR="00385FCC">
        <w:rPr>
          <w:rFonts w:ascii="Times New Roman" w:hAnsi="Times New Roman" w:cs="Times New Roman"/>
          <w:szCs w:val="24"/>
        </w:rPr>
        <w:t xml:space="preserve">MM/GBSA </w:t>
      </w:r>
      <w:r w:rsidR="00385FCC" w:rsidRPr="00085D4C">
        <w:rPr>
          <w:rFonts w:ascii="Times New Roman" w:hAnsi="Times New Roman" w:cs="Times New Roman"/>
          <w:szCs w:val="24"/>
        </w:rPr>
        <w:t xml:space="preserve">calculations omit explicit solvent contributions </w:t>
      </w:r>
      <w:r w:rsidR="00385FCC">
        <w:rPr>
          <w:rFonts w:ascii="Times New Roman" w:hAnsi="Times New Roman" w:cs="Times New Roman"/>
          <w:szCs w:val="24"/>
        </w:rPr>
        <w:t>that could have contributed to errors in the entropic components. Third,</w:t>
      </w:r>
      <w:r w:rsidR="00385FCC" w:rsidRPr="00085D4C">
        <w:rPr>
          <w:rFonts w:ascii="Times New Roman" w:hAnsi="Times New Roman" w:cs="Times New Roman"/>
          <w:szCs w:val="24"/>
        </w:rPr>
        <w:t xml:space="preserve"> </w:t>
      </w:r>
      <w:r w:rsidR="00385FCC">
        <w:rPr>
          <w:rFonts w:ascii="Times New Roman" w:hAnsi="Times New Roman" w:cs="Times New Roman"/>
          <w:szCs w:val="24"/>
        </w:rPr>
        <w:t>the simulations reveal dynamics</w:t>
      </w:r>
      <w:r w:rsidR="00385FCC" w:rsidRPr="00085D4C">
        <w:rPr>
          <w:rFonts w:ascii="Times New Roman" w:hAnsi="Times New Roman" w:cs="Times New Roman"/>
          <w:szCs w:val="24"/>
        </w:rPr>
        <w:t xml:space="preserve"> on a timescale that is much shorter than the conformational rearrangements and kinetic processes governing RT-</w:t>
      </w:r>
      <w:r w:rsidR="00385FCC">
        <w:rPr>
          <w:rFonts w:ascii="Times New Roman" w:hAnsi="Times New Roman" w:cs="Times New Roman"/>
          <w:szCs w:val="24"/>
        </w:rPr>
        <w:t>DOR</w:t>
      </w:r>
      <w:r w:rsidR="00385FCC" w:rsidRPr="00085D4C">
        <w:rPr>
          <w:rFonts w:ascii="Times New Roman" w:hAnsi="Times New Roman" w:cs="Times New Roman"/>
          <w:szCs w:val="24"/>
        </w:rPr>
        <w:t xml:space="preserve"> binding </w:t>
      </w:r>
      <w:r w:rsidR="00385FCC">
        <w:rPr>
          <w:rFonts w:ascii="Times New Roman" w:hAnsi="Times New Roman" w:cs="Times New Roman"/>
          <w:i/>
          <w:iCs/>
          <w:szCs w:val="24"/>
        </w:rPr>
        <w:t>in vitro</w:t>
      </w:r>
      <w:r w:rsidR="00385FCC" w:rsidRPr="00085D4C">
        <w:rPr>
          <w:rFonts w:ascii="Times New Roman" w:hAnsi="Times New Roman" w:cs="Times New Roman"/>
          <w:szCs w:val="24"/>
        </w:rPr>
        <w:t xml:space="preserve">. We therefore </w:t>
      </w:r>
      <w:r w:rsidR="00385FCC">
        <w:rPr>
          <w:rFonts w:ascii="Times New Roman" w:hAnsi="Times New Roman" w:cs="Times New Roman"/>
          <w:szCs w:val="24"/>
        </w:rPr>
        <w:t>recommend viewing</w:t>
      </w:r>
      <w:r w:rsidR="00385FCC" w:rsidRPr="00085D4C">
        <w:rPr>
          <w:rFonts w:ascii="Times New Roman" w:hAnsi="Times New Roman" w:cs="Times New Roman"/>
          <w:szCs w:val="24"/>
        </w:rPr>
        <w:t xml:space="preserve"> the energetic analysis as a </w:t>
      </w:r>
      <w:r w:rsidR="00385FCC">
        <w:rPr>
          <w:rFonts w:ascii="Times New Roman" w:hAnsi="Times New Roman" w:cs="Times New Roman"/>
          <w:szCs w:val="24"/>
        </w:rPr>
        <w:t>directional</w:t>
      </w:r>
      <w:r w:rsidR="00385FCC" w:rsidRPr="00085D4C">
        <w:rPr>
          <w:rFonts w:ascii="Times New Roman" w:hAnsi="Times New Roman" w:cs="Times New Roman"/>
          <w:szCs w:val="24"/>
        </w:rPr>
        <w:t xml:space="preserve"> </w:t>
      </w:r>
      <w:r w:rsidR="00385FCC">
        <w:rPr>
          <w:rFonts w:ascii="Times New Roman" w:hAnsi="Times New Roman" w:cs="Times New Roman"/>
          <w:szCs w:val="24"/>
        </w:rPr>
        <w:t>binding energy score</w:t>
      </w:r>
      <w:r w:rsidR="00385FCC" w:rsidRPr="00085D4C">
        <w:rPr>
          <w:rFonts w:ascii="Times New Roman" w:hAnsi="Times New Roman" w:cs="Times New Roman"/>
          <w:szCs w:val="24"/>
        </w:rPr>
        <w:t xml:space="preserve"> rather than as a </w:t>
      </w:r>
      <w:r w:rsidR="00385FCC">
        <w:rPr>
          <w:rFonts w:ascii="Times New Roman" w:hAnsi="Times New Roman" w:cs="Times New Roman"/>
          <w:szCs w:val="24"/>
        </w:rPr>
        <w:t>precise</w:t>
      </w:r>
      <w:r w:rsidR="00385FCC" w:rsidRPr="00085D4C">
        <w:rPr>
          <w:rFonts w:ascii="Times New Roman" w:hAnsi="Times New Roman" w:cs="Times New Roman"/>
          <w:szCs w:val="24"/>
        </w:rPr>
        <w:t xml:space="preserve"> </w:t>
      </w:r>
      <w:r w:rsidR="00385FCC">
        <w:rPr>
          <w:rFonts w:ascii="Times New Roman" w:hAnsi="Times New Roman" w:cs="Times New Roman"/>
          <w:szCs w:val="24"/>
        </w:rPr>
        <w:t>estimate</w:t>
      </w:r>
      <w:r w:rsidR="00385FCC" w:rsidRPr="00085D4C">
        <w:rPr>
          <w:rFonts w:ascii="Times New Roman" w:hAnsi="Times New Roman" w:cs="Times New Roman"/>
          <w:szCs w:val="24"/>
        </w:rPr>
        <w:t xml:space="preserve"> for </w:t>
      </w:r>
      <w:r w:rsidR="00385FCC">
        <w:rPr>
          <w:rFonts w:ascii="Times New Roman" w:hAnsi="Times New Roman" w:cs="Times New Roman"/>
          <w:szCs w:val="24"/>
        </w:rPr>
        <w:t>RT-DOR binding affinity</w:t>
      </w:r>
      <w:r w:rsidR="00385FCC" w:rsidRPr="00085D4C">
        <w:rPr>
          <w:rFonts w:ascii="Times New Roman" w:hAnsi="Times New Roman" w:cs="Times New Roman"/>
          <w:szCs w:val="24"/>
        </w:rPr>
        <w:t>.</w:t>
      </w:r>
    </w:p>
    <w:p w14:paraId="610ADC79" w14:textId="77777777" w:rsidR="00385FCC" w:rsidRDefault="00385FCC" w:rsidP="005F52FE">
      <w:pPr>
        <w:rPr>
          <w:rFonts w:ascii="Times New Roman" w:hAnsi="Times New Roman" w:cs="Times New Roman"/>
          <w:szCs w:val="24"/>
        </w:rPr>
      </w:pPr>
    </w:p>
    <w:p w14:paraId="17AD8690" w14:textId="3A918A59" w:rsidR="005F52FE" w:rsidRDefault="00385FCC" w:rsidP="005F52FE">
      <w:pPr>
        <w:rPr>
          <w:rFonts w:ascii="Times New Roman" w:hAnsi="Times New Roman" w:cs="Times New Roman"/>
          <w:szCs w:val="24"/>
        </w:rPr>
      </w:pPr>
      <w:r>
        <w:rPr>
          <w:rFonts w:ascii="Times New Roman" w:hAnsi="Times New Roman" w:cs="Times New Roman"/>
          <w:szCs w:val="24"/>
        </w:rPr>
        <w:t>Most of the energetic components</w:t>
      </w:r>
      <w:r w:rsidR="00AA56BC">
        <w:rPr>
          <w:rFonts w:ascii="Times New Roman" w:hAnsi="Times New Roman" w:cs="Times New Roman"/>
          <w:szCs w:val="24"/>
        </w:rPr>
        <w:t xml:space="preserve"> behaved similarly. However, significant loss of RT-DOR interaction, such as loss of the aromatic pi-stacking interaction between the </w:t>
      </w:r>
      <w:r w:rsidR="00C901E6">
        <w:rPr>
          <w:rFonts w:ascii="Times New Roman" w:hAnsi="Times New Roman" w:cs="Times New Roman"/>
          <w:szCs w:val="24"/>
        </w:rPr>
        <w:t xml:space="preserve">DOR </w:t>
      </w:r>
      <w:r w:rsidR="00AA56BC">
        <w:rPr>
          <w:rFonts w:ascii="Times New Roman" w:hAnsi="Times New Roman" w:cs="Times New Roman"/>
          <w:szCs w:val="24"/>
        </w:rPr>
        <w:t>chlorophenol ring and the RT Tyr188</w:t>
      </w:r>
      <w:r w:rsidR="00C901E6">
        <w:rPr>
          <w:rFonts w:ascii="Times New Roman" w:hAnsi="Times New Roman" w:cs="Times New Roman"/>
          <w:szCs w:val="24"/>
        </w:rPr>
        <w:t xml:space="preserve"> sidechain</w:t>
      </w:r>
      <w:r w:rsidR="00AA56BC">
        <w:rPr>
          <w:rFonts w:ascii="Times New Roman" w:hAnsi="Times New Roman" w:cs="Times New Roman"/>
          <w:szCs w:val="24"/>
        </w:rPr>
        <w:t xml:space="preserve"> in Y188L simulations led to a cumulative energetic penalty of ~40kJ/mol vs WT, mainly driven by the van der Waals and polar solvation energy components. </w:t>
      </w:r>
      <w:r>
        <w:rPr>
          <w:rFonts w:ascii="Times New Roman" w:hAnsi="Times New Roman" w:cs="Times New Roman"/>
          <w:szCs w:val="24"/>
        </w:rPr>
        <w:t>Furthermore</w:t>
      </w:r>
      <w:r w:rsidR="005F52FE">
        <w:rPr>
          <w:rFonts w:ascii="Times New Roman" w:hAnsi="Times New Roman" w:cs="Times New Roman"/>
          <w:szCs w:val="24"/>
        </w:rPr>
        <w:t>, t</w:t>
      </w:r>
      <w:r w:rsidR="005F52FE" w:rsidRPr="005F52FE">
        <w:rPr>
          <w:rFonts w:ascii="Times New Roman" w:hAnsi="Times New Roman" w:cs="Times New Roman"/>
          <w:szCs w:val="24"/>
        </w:rPr>
        <w:t>he weak but statistically significant association observed for the electrostatic component suggest</w:t>
      </w:r>
      <w:r w:rsidR="005F52FE">
        <w:rPr>
          <w:rFonts w:ascii="Times New Roman" w:hAnsi="Times New Roman" w:cs="Times New Roman"/>
          <w:szCs w:val="24"/>
        </w:rPr>
        <w:t>ed</w:t>
      </w:r>
      <w:r w:rsidR="005F52FE" w:rsidRPr="005F52FE">
        <w:rPr>
          <w:rFonts w:ascii="Times New Roman" w:hAnsi="Times New Roman" w:cs="Times New Roman"/>
          <w:szCs w:val="24"/>
        </w:rPr>
        <w:t xml:space="preserve"> that local electrostatic reorganization </w:t>
      </w:r>
      <w:r w:rsidR="005F52FE">
        <w:rPr>
          <w:rFonts w:ascii="Times New Roman" w:hAnsi="Times New Roman" w:cs="Times New Roman"/>
          <w:szCs w:val="24"/>
        </w:rPr>
        <w:t>in the NNIBP may be more informative.</w:t>
      </w:r>
    </w:p>
    <w:p w14:paraId="5FADE4AB" w14:textId="77777777" w:rsidR="005F52FE" w:rsidRPr="005F52FE" w:rsidRDefault="005F52FE" w:rsidP="005F52FE">
      <w:pPr>
        <w:rPr>
          <w:rFonts w:ascii="Times New Roman" w:hAnsi="Times New Roman" w:cs="Times New Roman"/>
          <w:szCs w:val="24"/>
        </w:rPr>
      </w:pPr>
    </w:p>
    <w:p w14:paraId="77100572" w14:textId="1705B165" w:rsidR="005F52FE" w:rsidRDefault="005F52FE" w:rsidP="005F52FE">
      <w:pPr>
        <w:rPr>
          <w:rFonts w:ascii="Times New Roman" w:hAnsi="Times New Roman" w:cs="Times New Roman"/>
          <w:szCs w:val="24"/>
        </w:rPr>
      </w:pPr>
      <w:r>
        <w:rPr>
          <w:rFonts w:ascii="Times New Roman" w:hAnsi="Times New Roman" w:cs="Times New Roman"/>
          <w:szCs w:val="24"/>
        </w:rPr>
        <w:t>Consequently, s</w:t>
      </w:r>
      <w:r w:rsidRPr="005F52FE">
        <w:rPr>
          <w:rFonts w:ascii="Times New Roman" w:hAnsi="Times New Roman" w:cs="Times New Roman"/>
          <w:szCs w:val="24"/>
        </w:rPr>
        <w:t xml:space="preserve">ystematic residue-level contact analysis revealed that different DOR-associated genotypes preferentially perturb different local regions of the pocket. V106A-containing genotypes redistributed DOR toward the </w:t>
      </w:r>
      <w:r>
        <w:rPr>
          <w:rFonts w:ascii="Times New Roman" w:hAnsi="Times New Roman" w:cs="Times New Roman"/>
          <w:szCs w:val="24"/>
        </w:rPr>
        <w:t>103-108</w:t>
      </w:r>
      <w:r w:rsidRPr="005F52FE">
        <w:rPr>
          <w:rFonts w:ascii="Times New Roman" w:hAnsi="Times New Roman" w:cs="Times New Roman"/>
          <w:szCs w:val="24"/>
        </w:rPr>
        <w:t xml:space="preserve"> </w:t>
      </w:r>
      <w:r>
        <w:rPr>
          <w:rFonts w:ascii="Times New Roman" w:hAnsi="Times New Roman" w:cs="Times New Roman"/>
          <w:szCs w:val="24"/>
        </w:rPr>
        <w:t>loop</w:t>
      </w:r>
      <w:r w:rsidRPr="005F52FE">
        <w:rPr>
          <w:rFonts w:ascii="Times New Roman" w:hAnsi="Times New Roman" w:cs="Times New Roman"/>
          <w:szCs w:val="24"/>
        </w:rPr>
        <w:t xml:space="preserve"> and favored compensatory proximity to Lys104 and Ser105. V106I+F227C achieved similarly high resistance through a different local route centered more strongly on the residue</w:t>
      </w:r>
      <w:r>
        <w:rPr>
          <w:rFonts w:ascii="Times New Roman" w:hAnsi="Times New Roman" w:cs="Times New Roman"/>
          <w:szCs w:val="24"/>
        </w:rPr>
        <w:t xml:space="preserve"> </w:t>
      </w:r>
      <w:r w:rsidRPr="005F52FE">
        <w:rPr>
          <w:rFonts w:ascii="Times New Roman" w:hAnsi="Times New Roman" w:cs="Times New Roman"/>
          <w:szCs w:val="24"/>
        </w:rPr>
        <w:t xml:space="preserve">227 region. G190E uniquely perturbed the </w:t>
      </w:r>
      <w:r w:rsidRPr="00E31695">
        <w:rPr>
          <w:rFonts w:ascii="Times New Roman" w:hAnsi="Times New Roman" w:cs="Times New Roman"/>
          <w:szCs w:val="24"/>
        </w:rPr>
        <w:t>β</w:t>
      </w:r>
      <w:r>
        <w:rPr>
          <w:rFonts w:ascii="Times New Roman" w:hAnsi="Times New Roman" w:cs="Times New Roman"/>
          <w:szCs w:val="24"/>
        </w:rPr>
        <w:t>9-</w:t>
      </w:r>
      <w:r w:rsidRPr="00E31695">
        <w:rPr>
          <w:rFonts w:ascii="Times New Roman" w:hAnsi="Times New Roman" w:cs="Times New Roman"/>
          <w:szCs w:val="24"/>
        </w:rPr>
        <w:t>β</w:t>
      </w:r>
      <w:r>
        <w:rPr>
          <w:rFonts w:ascii="Times New Roman" w:hAnsi="Times New Roman" w:cs="Times New Roman"/>
          <w:szCs w:val="24"/>
        </w:rPr>
        <w:t>10</w:t>
      </w:r>
      <w:r w:rsidRPr="005F52FE">
        <w:rPr>
          <w:rFonts w:ascii="Times New Roman" w:hAnsi="Times New Roman" w:cs="Times New Roman"/>
          <w:szCs w:val="24"/>
        </w:rPr>
        <w:t xml:space="preserve"> hairpin and weakened the Val179 side of the pocket. These observations support a model in </w:t>
      </w:r>
      <w:r w:rsidRPr="005F52FE">
        <w:rPr>
          <w:rFonts w:ascii="Times New Roman" w:hAnsi="Times New Roman" w:cs="Times New Roman"/>
          <w:szCs w:val="24"/>
        </w:rPr>
        <w:lastRenderedPageBreak/>
        <w:t>which DOR resistance emerges through multiple mechanistic classes rather than through a single generic reduction in binding strength.</w:t>
      </w:r>
    </w:p>
    <w:p w14:paraId="466E17D1" w14:textId="77777777" w:rsidR="005F52FE" w:rsidRPr="005F52FE" w:rsidRDefault="005F52FE" w:rsidP="005F52FE">
      <w:pPr>
        <w:rPr>
          <w:rFonts w:ascii="Times New Roman" w:hAnsi="Times New Roman" w:cs="Times New Roman"/>
          <w:szCs w:val="24"/>
        </w:rPr>
      </w:pPr>
    </w:p>
    <w:p w14:paraId="3CADDD07" w14:textId="28C434AB" w:rsidR="005F52FE" w:rsidRDefault="005F52FE" w:rsidP="005F52FE">
      <w:pPr>
        <w:rPr>
          <w:rFonts w:ascii="Times New Roman" w:hAnsi="Times New Roman" w:cs="Times New Roman"/>
          <w:szCs w:val="24"/>
        </w:rPr>
      </w:pPr>
      <w:r w:rsidRPr="005F52FE">
        <w:rPr>
          <w:rFonts w:ascii="Times New Roman" w:hAnsi="Times New Roman" w:cs="Times New Roman"/>
          <w:szCs w:val="24"/>
        </w:rPr>
        <w:t>This mechanistic diversity is especially important for interpreting epistasis. The V106A-containing double mutants retained the same local signature already seen in V106A alone, consistent with the idea that V106A acts as a priming mutation that redistributes the DOR pose, after which upper-pocket substitutions exacerbate the resulting vulnerability. By contrast, V106I+F227C shows that a high-resistance phenotype can also emerge without that same structural route. Similar fold-change values can therefore conceal distinct local mechanisms.</w:t>
      </w:r>
    </w:p>
    <w:p w14:paraId="058551A2" w14:textId="77777777" w:rsidR="005F52FE" w:rsidRPr="005F52FE" w:rsidRDefault="005F52FE" w:rsidP="005F52FE">
      <w:pPr>
        <w:rPr>
          <w:rFonts w:ascii="Times New Roman" w:hAnsi="Times New Roman" w:cs="Times New Roman"/>
          <w:szCs w:val="24"/>
        </w:rPr>
      </w:pPr>
    </w:p>
    <w:p w14:paraId="75051DB2" w14:textId="7008EF0C" w:rsidR="005F52FE" w:rsidRDefault="005F52FE" w:rsidP="005F52FE">
      <w:pPr>
        <w:rPr>
          <w:rFonts w:ascii="Times New Roman" w:hAnsi="Times New Roman" w:cs="Times New Roman"/>
          <w:szCs w:val="24"/>
        </w:rPr>
      </w:pPr>
      <w:r w:rsidRPr="005F52FE">
        <w:rPr>
          <w:rFonts w:ascii="Times New Roman" w:hAnsi="Times New Roman" w:cs="Times New Roman"/>
          <w:szCs w:val="24"/>
        </w:rPr>
        <w:t xml:space="preserve">The logistic regression analysis supports this interpretation. The fact that a </w:t>
      </w:r>
      <w:r w:rsidR="00780AC7">
        <w:rPr>
          <w:rFonts w:ascii="Times New Roman" w:hAnsi="Times New Roman" w:cs="Times New Roman"/>
          <w:szCs w:val="24"/>
        </w:rPr>
        <w:t>four</w:t>
      </w:r>
      <w:r w:rsidRPr="005F52FE">
        <w:rPr>
          <w:rFonts w:ascii="Times New Roman" w:hAnsi="Times New Roman" w:cs="Times New Roman"/>
          <w:szCs w:val="24"/>
        </w:rPr>
        <w:t xml:space="preserve">-feature model built from Ser105-DOR distance, Tyr188-DOR distance, </w:t>
      </w:r>
      <w:r w:rsidR="00B14659">
        <w:rPr>
          <w:rFonts w:ascii="Times New Roman" w:hAnsi="Times New Roman" w:cs="Times New Roman"/>
          <w:szCs w:val="24"/>
        </w:rPr>
        <w:t xml:space="preserve">and </w:t>
      </w:r>
      <w:r w:rsidRPr="005F52FE">
        <w:rPr>
          <w:rFonts w:ascii="Times New Roman" w:hAnsi="Times New Roman" w:cs="Times New Roman"/>
          <w:szCs w:val="24"/>
        </w:rPr>
        <w:t>ligand pose RMSD</w:t>
      </w:r>
      <w:r w:rsidR="00B14659">
        <w:rPr>
          <w:rFonts w:ascii="Times New Roman" w:hAnsi="Times New Roman" w:cs="Times New Roman"/>
          <w:szCs w:val="24"/>
        </w:rPr>
        <w:t xml:space="preserve"> </w:t>
      </w:r>
      <w:r w:rsidRPr="005F52FE">
        <w:rPr>
          <w:rFonts w:ascii="Times New Roman" w:hAnsi="Times New Roman" w:cs="Times New Roman"/>
          <w:szCs w:val="24"/>
        </w:rPr>
        <w:t xml:space="preserve">could summarize the low-versus-high resistance control separation suggests that the dominant structural signals in this system are both local and low-dimensional. At the same time, the mixed performance in the </w:t>
      </w:r>
      <w:r w:rsidR="00B14659">
        <w:rPr>
          <w:rFonts w:ascii="Times New Roman" w:hAnsi="Times New Roman" w:cs="Times New Roman"/>
          <w:szCs w:val="24"/>
        </w:rPr>
        <w:t xml:space="preserve">uncertain phenotype </w:t>
      </w:r>
      <w:r w:rsidRPr="005F52FE">
        <w:rPr>
          <w:rFonts w:ascii="Times New Roman" w:hAnsi="Times New Roman" w:cs="Times New Roman"/>
          <w:szCs w:val="24"/>
        </w:rPr>
        <w:t>data set emphasizes that such a model is currently best understood as an interpretable structural summary rather than as a deployable prediction tool.</w:t>
      </w:r>
    </w:p>
    <w:p w14:paraId="4295FACF" w14:textId="77777777" w:rsidR="005F52FE" w:rsidRPr="005F52FE" w:rsidRDefault="005F52FE" w:rsidP="005F52FE">
      <w:pPr>
        <w:rPr>
          <w:rFonts w:ascii="Times New Roman" w:hAnsi="Times New Roman" w:cs="Times New Roman"/>
          <w:szCs w:val="24"/>
        </w:rPr>
      </w:pPr>
    </w:p>
    <w:p w14:paraId="605132CB" w14:textId="28D50A3D" w:rsidR="005F52FE" w:rsidRDefault="005F52FE" w:rsidP="005F52FE">
      <w:pPr>
        <w:rPr>
          <w:rFonts w:ascii="Times New Roman" w:hAnsi="Times New Roman" w:cs="Times New Roman"/>
          <w:szCs w:val="24"/>
        </w:rPr>
      </w:pPr>
      <w:r w:rsidRPr="005F52FE">
        <w:rPr>
          <w:rFonts w:ascii="Times New Roman" w:hAnsi="Times New Roman" w:cs="Times New Roman"/>
          <w:szCs w:val="24"/>
        </w:rPr>
        <w:t>Several limitations should frame the interpretation of this work. First, the simulations were short relative to the conformational and kinetic timescales relevant to RT-</w:t>
      </w:r>
      <w:r>
        <w:rPr>
          <w:rFonts w:ascii="Times New Roman" w:hAnsi="Times New Roman" w:cs="Times New Roman"/>
          <w:szCs w:val="24"/>
        </w:rPr>
        <w:t>DOR</w:t>
      </w:r>
      <w:r w:rsidRPr="005F52FE">
        <w:rPr>
          <w:rFonts w:ascii="Times New Roman" w:hAnsi="Times New Roman" w:cs="Times New Roman"/>
          <w:szCs w:val="24"/>
        </w:rPr>
        <w:t xml:space="preserve"> binding, so </w:t>
      </w:r>
      <w:r>
        <w:rPr>
          <w:rFonts w:ascii="Times New Roman" w:hAnsi="Times New Roman" w:cs="Times New Roman"/>
          <w:szCs w:val="24"/>
        </w:rPr>
        <w:t>there are likely</w:t>
      </w:r>
      <w:r w:rsidRPr="005F52FE">
        <w:rPr>
          <w:rFonts w:ascii="Times New Roman" w:hAnsi="Times New Roman" w:cs="Times New Roman"/>
          <w:szCs w:val="24"/>
        </w:rPr>
        <w:t xml:space="preserve"> mechanistically important events </w:t>
      </w:r>
      <w:r>
        <w:rPr>
          <w:rFonts w:ascii="Times New Roman" w:hAnsi="Times New Roman" w:cs="Times New Roman"/>
          <w:szCs w:val="24"/>
        </w:rPr>
        <w:t xml:space="preserve">that </w:t>
      </w:r>
      <w:r w:rsidRPr="005F52FE">
        <w:rPr>
          <w:rFonts w:ascii="Times New Roman" w:hAnsi="Times New Roman" w:cs="Times New Roman"/>
          <w:szCs w:val="24"/>
        </w:rPr>
        <w:t xml:space="preserve">remain unsampled. Second, the </w:t>
      </w:r>
      <w:r w:rsidR="00B14659">
        <w:rPr>
          <w:rFonts w:ascii="Times New Roman" w:hAnsi="Times New Roman" w:cs="Times New Roman"/>
          <w:szCs w:val="24"/>
        </w:rPr>
        <w:t>logistic regression</w:t>
      </w:r>
      <w:r w:rsidRPr="005F52FE">
        <w:rPr>
          <w:rFonts w:ascii="Times New Roman" w:hAnsi="Times New Roman" w:cs="Times New Roman"/>
          <w:szCs w:val="24"/>
        </w:rPr>
        <w:t xml:space="preserve"> classifier is constrained by small sample size and by the difficulty of drawing hard class boundaries in a sparse phenotype landscape.</w:t>
      </w:r>
    </w:p>
    <w:p w14:paraId="547BD018" w14:textId="77777777" w:rsidR="005F52FE" w:rsidRPr="005F52FE" w:rsidRDefault="005F52FE" w:rsidP="005F52FE">
      <w:pPr>
        <w:rPr>
          <w:rFonts w:ascii="Times New Roman" w:hAnsi="Times New Roman" w:cs="Times New Roman"/>
          <w:szCs w:val="24"/>
        </w:rPr>
      </w:pPr>
    </w:p>
    <w:p w14:paraId="674C4E0B" w14:textId="53CDE2AF" w:rsidR="00BB3608" w:rsidRDefault="005F52FE" w:rsidP="005F52FE">
      <w:pPr>
        <w:rPr>
          <w:rFonts w:ascii="Times New Roman" w:hAnsi="Times New Roman" w:cs="Times New Roman"/>
          <w:szCs w:val="24"/>
        </w:rPr>
      </w:pPr>
      <w:r w:rsidRPr="005F52FE">
        <w:rPr>
          <w:rFonts w:ascii="Times New Roman" w:hAnsi="Times New Roman" w:cs="Times New Roman"/>
          <w:szCs w:val="24"/>
        </w:rPr>
        <w:t xml:space="preserve">Despite these limitations, we think the central contribution of this study is clear. Short explicit-solvent MD simulations do not replace phenotypic susceptibility experiments, but they do provide a practical and mechanistically interpretable framework for understanding how pre-existing NNRTI mutations might alter DOR binding in RT. That framework is useful in two ways. First, it can help estimate the risk associated with DOR use in people living with HIV whose viruses harbor pre-existing NNRTI mutations but lack extensive direct DOR phenotype data. Second, it identifies concrete structural features that medicinal chemists can target when designing future NNRTIs with improved resilience against Tyr188-side, V106-side, upper-pocket, or </w:t>
      </w:r>
      <w:r w:rsidRPr="00E31695">
        <w:rPr>
          <w:rFonts w:ascii="Times New Roman" w:hAnsi="Times New Roman" w:cs="Times New Roman"/>
          <w:szCs w:val="24"/>
        </w:rPr>
        <w:t>β</w:t>
      </w:r>
      <w:r>
        <w:rPr>
          <w:rFonts w:ascii="Times New Roman" w:hAnsi="Times New Roman" w:cs="Times New Roman"/>
          <w:szCs w:val="24"/>
        </w:rPr>
        <w:t>9-</w:t>
      </w:r>
      <w:r w:rsidRPr="00E31695">
        <w:rPr>
          <w:rFonts w:ascii="Times New Roman" w:hAnsi="Times New Roman" w:cs="Times New Roman"/>
          <w:szCs w:val="24"/>
        </w:rPr>
        <w:t>β</w:t>
      </w:r>
      <w:r>
        <w:rPr>
          <w:rFonts w:ascii="Times New Roman" w:hAnsi="Times New Roman" w:cs="Times New Roman"/>
          <w:szCs w:val="24"/>
        </w:rPr>
        <w:t>10</w:t>
      </w:r>
      <w:r w:rsidRPr="005F52FE">
        <w:rPr>
          <w:rFonts w:ascii="Times New Roman" w:hAnsi="Times New Roman" w:cs="Times New Roman"/>
          <w:szCs w:val="24"/>
        </w:rPr>
        <w:t xml:space="preserve"> hairpin-mediated resistance pathways.</w:t>
      </w:r>
    </w:p>
    <w:p w14:paraId="6CC17687" w14:textId="77777777" w:rsidR="007B0373" w:rsidRDefault="007B0373" w:rsidP="00D27076">
      <w:pPr>
        <w:rPr>
          <w:rFonts w:ascii="Times New Roman" w:hAnsi="Times New Roman" w:cs="Times New Roman"/>
          <w:szCs w:val="24"/>
        </w:rPr>
      </w:pPr>
    </w:p>
    <w:p w14:paraId="22A16918" w14:textId="77777777" w:rsidR="007B0373" w:rsidRPr="00BB3608" w:rsidRDefault="007B0373" w:rsidP="00D27076">
      <w:pPr>
        <w:rPr>
          <w:rFonts w:ascii="Times New Roman" w:hAnsi="Times New Roman" w:cs="Times New Roman"/>
          <w:szCs w:val="24"/>
        </w:rPr>
      </w:pPr>
    </w:p>
    <w:sectPr w:rsidR="007B0373" w:rsidRPr="00BB36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7831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3D5"/>
    <w:rsid w:val="000060CC"/>
    <w:rsid w:val="000366F8"/>
    <w:rsid w:val="00040531"/>
    <w:rsid w:val="000538DD"/>
    <w:rsid w:val="00085D4C"/>
    <w:rsid w:val="00097E02"/>
    <w:rsid w:val="000B178E"/>
    <w:rsid w:val="000B4D8C"/>
    <w:rsid w:val="000C068E"/>
    <w:rsid w:val="000D17F2"/>
    <w:rsid w:val="000E328A"/>
    <w:rsid w:val="000F1E0E"/>
    <w:rsid w:val="00106118"/>
    <w:rsid w:val="00120227"/>
    <w:rsid w:val="00132E9B"/>
    <w:rsid w:val="001550B3"/>
    <w:rsid w:val="0015518B"/>
    <w:rsid w:val="00155503"/>
    <w:rsid w:val="001823FD"/>
    <w:rsid w:val="00190719"/>
    <w:rsid w:val="001D0F7D"/>
    <w:rsid w:val="001E4A2E"/>
    <w:rsid w:val="001F0A69"/>
    <w:rsid w:val="002023D5"/>
    <w:rsid w:val="00230A01"/>
    <w:rsid w:val="0023650E"/>
    <w:rsid w:val="00262F5D"/>
    <w:rsid w:val="00276BFB"/>
    <w:rsid w:val="002776BF"/>
    <w:rsid w:val="00277ED3"/>
    <w:rsid w:val="002902D1"/>
    <w:rsid w:val="002B5128"/>
    <w:rsid w:val="002B62B1"/>
    <w:rsid w:val="002B6DFB"/>
    <w:rsid w:val="002C427F"/>
    <w:rsid w:val="002F6EA2"/>
    <w:rsid w:val="00304F6D"/>
    <w:rsid w:val="00325C5A"/>
    <w:rsid w:val="00335759"/>
    <w:rsid w:val="003431AA"/>
    <w:rsid w:val="003604E7"/>
    <w:rsid w:val="00385FCC"/>
    <w:rsid w:val="003919B1"/>
    <w:rsid w:val="003A584C"/>
    <w:rsid w:val="003B21EA"/>
    <w:rsid w:val="003B67BA"/>
    <w:rsid w:val="003D40B4"/>
    <w:rsid w:val="003E13C8"/>
    <w:rsid w:val="003F4B9F"/>
    <w:rsid w:val="003F6EE9"/>
    <w:rsid w:val="003F74A7"/>
    <w:rsid w:val="00406A32"/>
    <w:rsid w:val="00415C1D"/>
    <w:rsid w:val="0043131D"/>
    <w:rsid w:val="004327D7"/>
    <w:rsid w:val="00442202"/>
    <w:rsid w:val="00444107"/>
    <w:rsid w:val="00456A13"/>
    <w:rsid w:val="004574A0"/>
    <w:rsid w:val="00460C26"/>
    <w:rsid w:val="00471553"/>
    <w:rsid w:val="00473791"/>
    <w:rsid w:val="004B23D9"/>
    <w:rsid w:val="005365EF"/>
    <w:rsid w:val="00542AD3"/>
    <w:rsid w:val="00544B7B"/>
    <w:rsid w:val="005478F3"/>
    <w:rsid w:val="00573E87"/>
    <w:rsid w:val="00594894"/>
    <w:rsid w:val="005C0F1B"/>
    <w:rsid w:val="005C2299"/>
    <w:rsid w:val="005D5032"/>
    <w:rsid w:val="005E5C8B"/>
    <w:rsid w:val="005F52FE"/>
    <w:rsid w:val="005F6D6C"/>
    <w:rsid w:val="00611478"/>
    <w:rsid w:val="0061294B"/>
    <w:rsid w:val="006257EC"/>
    <w:rsid w:val="00671B81"/>
    <w:rsid w:val="00687912"/>
    <w:rsid w:val="0069357F"/>
    <w:rsid w:val="006E7C0B"/>
    <w:rsid w:val="006F24CF"/>
    <w:rsid w:val="006F609B"/>
    <w:rsid w:val="00720A25"/>
    <w:rsid w:val="00737ECD"/>
    <w:rsid w:val="00755CAB"/>
    <w:rsid w:val="00780AC7"/>
    <w:rsid w:val="007B0373"/>
    <w:rsid w:val="007B75F0"/>
    <w:rsid w:val="007D1187"/>
    <w:rsid w:val="007D2CDE"/>
    <w:rsid w:val="007D445F"/>
    <w:rsid w:val="007E41BA"/>
    <w:rsid w:val="00822130"/>
    <w:rsid w:val="00834F2A"/>
    <w:rsid w:val="008572A1"/>
    <w:rsid w:val="00862498"/>
    <w:rsid w:val="008869E6"/>
    <w:rsid w:val="00897100"/>
    <w:rsid w:val="008D3AFC"/>
    <w:rsid w:val="008D424E"/>
    <w:rsid w:val="00906992"/>
    <w:rsid w:val="009247B6"/>
    <w:rsid w:val="00932D08"/>
    <w:rsid w:val="00933D82"/>
    <w:rsid w:val="00936881"/>
    <w:rsid w:val="0094185F"/>
    <w:rsid w:val="00951AB0"/>
    <w:rsid w:val="00961415"/>
    <w:rsid w:val="00970BE4"/>
    <w:rsid w:val="00982DF8"/>
    <w:rsid w:val="00985CF1"/>
    <w:rsid w:val="009B09AD"/>
    <w:rsid w:val="009B6E3A"/>
    <w:rsid w:val="009D1AB3"/>
    <w:rsid w:val="009D5DAB"/>
    <w:rsid w:val="009D67D5"/>
    <w:rsid w:val="009E3D06"/>
    <w:rsid w:val="009E48E6"/>
    <w:rsid w:val="009F33B8"/>
    <w:rsid w:val="009F7F9F"/>
    <w:rsid w:val="00A305C8"/>
    <w:rsid w:val="00A537ED"/>
    <w:rsid w:val="00A575B2"/>
    <w:rsid w:val="00AA56BC"/>
    <w:rsid w:val="00AB7308"/>
    <w:rsid w:val="00AD031C"/>
    <w:rsid w:val="00AE6586"/>
    <w:rsid w:val="00AF30BF"/>
    <w:rsid w:val="00B11FD5"/>
    <w:rsid w:val="00B14659"/>
    <w:rsid w:val="00B33B67"/>
    <w:rsid w:val="00B532B0"/>
    <w:rsid w:val="00B66B4F"/>
    <w:rsid w:val="00B750C1"/>
    <w:rsid w:val="00B81311"/>
    <w:rsid w:val="00B923F2"/>
    <w:rsid w:val="00BB3608"/>
    <w:rsid w:val="00BC4626"/>
    <w:rsid w:val="00BC7757"/>
    <w:rsid w:val="00BE0212"/>
    <w:rsid w:val="00BE6784"/>
    <w:rsid w:val="00BF3DF7"/>
    <w:rsid w:val="00C12CEB"/>
    <w:rsid w:val="00C13FA8"/>
    <w:rsid w:val="00C31C75"/>
    <w:rsid w:val="00C427E7"/>
    <w:rsid w:val="00C73676"/>
    <w:rsid w:val="00C76E0F"/>
    <w:rsid w:val="00C82BF8"/>
    <w:rsid w:val="00C84933"/>
    <w:rsid w:val="00C901E6"/>
    <w:rsid w:val="00C9045E"/>
    <w:rsid w:val="00C94FBD"/>
    <w:rsid w:val="00C965EE"/>
    <w:rsid w:val="00CB3AC6"/>
    <w:rsid w:val="00CC5E6F"/>
    <w:rsid w:val="00CD5CCF"/>
    <w:rsid w:val="00CE23B4"/>
    <w:rsid w:val="00D03D24"/>
    <w:rsid w:val="00D27076"/>
    <w:rsid w:val="00D34269"/>
    <w:rsid w:val="00D34E37"/>
    <w:rsid w:val="00D47BB9"/>
    <w:rsid w:val="00D55096"/>
    <w:rsid w:val="00D55273"/>
    <w:rsid w:val="00D86BE2"/>
    <w:rsid w:val="00D93008"/>
    <w:rsid w:val="00DA319B"/>
    <w:rsid w:val="00DC2082"/>
    <w:rsid w:val="00DC5E99"/>
    <w:rsid w:val="00DC7721"/>
    <w:rsid w:val="00DD72F4"/>
    <w:rsid w:val="00E049D2"/>
    <w:rsid w:val="00E06057"/>
    <w:rsid w:val="00E278A5"/>
    <w:rsid w:val="00E31695"/>
    <w:rsid w:val="00E340E6"/>
    <w:rsid w:val="00E7021E"/>
    <w:rsid w:val="00E8192C"/>
    <w:rsid w:val="00EA6B72"/>
    <w:rsid w:val="00ED1B78"/>
    <w:rsid w:val="00EE01CA"/>
    <w:rsid w:val="00EE65AE"/>
    <w:rsid w:val="00F2303F"/>
    <w:rsid w:val="00F4076A"/>
    <w:rsid w:val="00F45CA6"/>
    <w:rsid w:val="00F501B3"/>
    <w:rsid w:val="00F5517A"/>
    <w:rsid w:val="00F67A84"/>
    <w:rsid w:val="00FA68FF"/>
    <w:rsid w:val="00FD5AE8"/>
    <w:rsid w:val="00FE164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16956"/>
  <w15:chartTrackingRefBased/>
  <w15:docId w15:val="{7EBA3BCB-CABB-E14A-BAC0-8815B1357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08"/>
    <w:rPr>
      <w:rFonts w:eastAsiaTheme="minorEastAsia"/>
    </w:rPr>
  </w:style>
  <w:style w:type="paragraph" w:styleId="Heading1">
    <w:name w:val="heading 1"/>
    <w:basedOn w:val="Normal"/>
    <w:next w:val="Normal"/>
    <w:link w:val="Heading1Char"/>
    <w:uiPriority w:val="9"/>
    <w:qFormat/>
    <w:rsid w:val="002023D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023D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023D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02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3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3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3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3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3D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023D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023D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02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3D5"/>
    <w:rPr>
      <w:rFonts w:eastAsiaTheme="majorEastAsia" w:cstheme="majorBidi"/>
      <w:color w:val="272727" w:themeColor="text1" w:themeTint="D8"/>
    </w:rPr>
  </w:style>
  <w:style w:type="paragraph" w:styleId="Title">
    <w:name w:val="Title"/>
    <w:basedOn w:val="Normal"/>
    <w:next w:val="Normal"/>
    <w:link w:val="TitleChar"/>
    <w:uiPriority w:val="10"/>
    <w:qFormat/>
    <w:rsid w:val="002023D5"/>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023D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023D5"/>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023D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023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023D5"/>
    <w:rPr>
      <w:i/>
      <w:iCs/>
      <w:color w:val="404040" w:themeColor="text1" w:themeTint="BF"/>
    </w:rPr>
  </w:style>
  <w:style w:type="paragraph" w:styleId="ListParagraph">
    <w:name w:val="List Paragraph"/>
    <w:basedOn w:val="Normal"/>
    <w:uiPriority w:val="34"/>
    <w:qFormat/>
    <w:rsid w:val="002023D5"/>
    <w:pPr>
      <w:ind w:left="720"/>
      <w:contextualSpacing/>
    </w:pPr>
  </w:style>
  <w:style w:type="character" w:styleId="IntenseEmphasis">
    <w:name w:val="Intense Emphasis"/>
    <w:basedOn w:val="DefaultParagraphFont"/>
    <w:uiPriority w:val="21"/>
    <w:qFormat/>
    <w:rsid w:val="002023D5"/>
    <w:rPr>
      <w:i/>
      <w:iCs/>
      <w:color w:val="0F4761" w:themeColor="accent1" w:themeShade="BF"/>
    </w:rPr>
  </w:style>
  <w:style w:type="paragraph" w:styleId="IntenseQuote">
    <w:name w:val="Intense Quote"/>
    <w:basedOn w:val="Normal"/>
    <w:next w:val="Normal"/>
    <w:link w:val="IntenseQuoteChar"/>
    <w:uiPriority w:val="30"/>
    <w:qFormat/>
    <w:rsid w:val="00202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3D5"/>
    <w:rPr>
      <w:i/>
      <w:iCs/>
      <w:color w:val="0F4761" w:themeColor="accent1" w:themeShade="BF"/>
    </w:rPr>
  </w:style>
  <w:style w:type="character" w:styleId="IntenseReference">
    <w:name w:val="Intense Reference"/>
    <w:basedOn w:val="DefaultParagraphFont"/>
    <w:uiPriority w:val="32"/>
    <w:qFormat/>
    <w:rsid w:val="002023D5"/>
    <w:rPr>
      <w:b/>
      <w:bCs/>
      <w:smallCaps/>
      <w:color w:val="0F4761" w:themeColor="accent1" w:themeShade="BF"/>
      <w:spacing w:val="5"/>
    </w:rPr>
  </w:style>
  <w:style w:type="paragraph" w:styleId="NormalWeb">
    <w:name w:val="Normal (Web)"/>
    <w:basedOn w:val="Normal"/>
    <w:uiPriority w:val="99"/>
    <w:unhideWhenUsed/>
    <w:rsid w:val="00985CF1"/>
    <w:pPr>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12</cp:revision>
  <dcterms:created xsi:type="dcterms:W3CDTF">2026-05-18T20:24:00Z</dcterms:created>
  <dcterms:modified xsi:type="dcterms:W3CDTF">2026-05-18T20:58:00Z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id="BWLCGXtM"/&gt;&lt;style id="http://www.zotero.org/styles/nature" hasBibliography="1" bibliographyStyleHasBeenSet="0"/&gt;&lt;prefs&gt;&lt;pref name="fieldType" value="Field"/&gt;&lt;/prefs&gt;&lt;/data&gt;</vt:lpwstr>
  </property>
</Properties>
</file>