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pPr>
        <w:pStyle w:val="Heading1"/>
      </w:pPr>
      <w:r>
        <w:t xml:space="preserve">Contents</w:t>
      </w:r>
    </w:p>
    <w:p>
      <w:pPr>
        <w:pStyle w:val="Heading1"/>
      </w:pPr>
      <w:r>
        <w:t xml:space="preserve">1  Finite-size corrections for the charge-changing alchemical legs</w:t>
      </w:r>
    </w:p>
    <w:p>
      <w:pPr>
        <w:pStyle w:val="Heading1"/>
      </w:pPr>
      <w:r>
        <w:t xml:space="preserve">2  Sensitivity of the MM/GBSA energies to the ligand charge model</w:t>
      </w:r>
    </w:p>
    <w:p>
      <w:pPr>
        <w:pStyle w:val="Heading1"/>
      </w:pPr>
      <w:r>
        <w:t xml:space="preserve">3  Sensitivity of the MM/GBSA energies to the snapshot relaxation protocol</w:t>
      </w:r>
    </w:p>
    <w:p>
      <w:pPr>
        <w:pStyle w:val="Heading1"/>
      </w:pPr>
      <w:r>
        <w:t xml:space="preserve">4  Conformation of the unliganded binding pocket</w:t>
      </w:r>
    </w:p>
    <w:p>
      <w:pPr>
        <w:pStyle w:val="Heading1"/>
      </w:pPr>
      <w:r>
        <w:t xml:space="preserve">5  Supplementary Figures</w:t>
      </w:r>
    </w:p>
    <w:p>
      <w:pPr>
        <w:spacing w:after="80"/>
      </w:pPr>
      <w:r>
        <w:t xml:space="preserve">1   Finite-size corrections for the charge-changing alchemical legs</w:t>
      </w:r>
    </w:p>
    <w:p w14:paraId="2B462F55" w14:textId="77777777" w:rsidR="00AC700D" w:rsidRDefault="00000000">
      <w:pPr>
        <w:spacing w:after="200"/>
      </w:pPr>
      <w: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80"/>
      </w:pPr>
      <w:r>
        <w:t xml:space="preserve">2   Sensitivity of the MM/GBSA energies to the ligand charge model</w:t>
      </w:r>
    </w:p>
    <w:p w14:paraId="3E92A1C7" w14:textId="77777777" w:rsidR="00AC700D" w:rsidRDefault="00000000">
      <w:pPr>
        <w:spacing w:after="200"/>
      </w:pPr>
      <w: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spacing w:after="80"/>
      </w:pPr>
      <w:r>
        <w:t xml:space="preserve">3   Sensitivity of the MM/GBSA energies to the snapshot relaxation protocol</w:t>
      </w:r>
    </w:p>
    <w:p w14:paraId="419C7BCD" w14:textId="77777777" w:rsidR="00AC700D" w:rsidRDefault="00000000">
      <w:pPr>
        <w:spacing w:after="200"/>
      </w:pPr>
      <w: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spacing w:after="80"/>
      </w:pPr>
      <w:r>
        <w:t xml:space="preserve">4   Conformation of the unliganded binding pocket</w:t>
      </w:r>
    </w:p>
    <w:p w14:paraId="234EB0A8" w14:textId="77777777" w:rsidR="00AC700D" w:rsidRDefault="00000000">
      <w:pPr>
        <w:spacing w:after="200"/>
      </w:pPr>
      <w: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spacing w:after="80"/>
      </w:pPr>
      <w:r>
        <w:t xml:space="preserve">5   Supplementary Figures</w:t>
      </w:r>
    </w:p>
    <w:p>
      <w:pPr>
        <w:jc w:val="center"/>
      </w:pPr>
      <w:r>
        <w:drawing>
          <wp:inline xmlns:wp="http://schemas.openxmlformats.org/drawingml/2006/wordprocessingDrawing" distT="0" distB="0" distL="0" distR="0">
            <wp:extent cx="5943600" cy="4839662"/>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4839662"/>
                    </a:xfrm>
                    <a:prstGeom prst="rect">
                      <a:avLst/>
                    </a:prstGeom>
                  </pic:spPr>
                </pic:pic>
              </a:graphicData>
            </a:graphic>
          </wp:inline>
        </w:drawing>
      </w:r>
    </w:p>
    <w:p>
      <w:pPr>
        <w:pStyle w:val="Heading1"/>
      </w:pPr>
      <w:r>
        <w:t xml:space="preserve">Supplementary Figure 1. Convergence of the production simulations. Each line is one genotype, averaged over its three replicates, shaded with the across-replicate standard error; colour runs light to dark with DOR fold reduction and wild type is drawn in red. F227C is omitted, as in the other convergence figures, because its replicate 2 profile is an alignment artefact and it lies outside the 18-genotype panel. (A–C) Time traces of DOR internal RMSD, the DOR–RT centre-of-mass distance and Cα RMSD. (D–F) Normalised autocorrelation functions of the same three observables. (G–I) Blocked standard error against block length; the value at which this curve levels off is the standard error of the mean once correlation between frames is accounted for, and the ratio to its value at the shortest block gives the number of frames per independent sample. DOR RMSD is stationary within a few nanoseconds, its autocorrelation decays by about 5 ns and its blocked error levels off early. Cα RMSD rises throughout the 100 ns, its autocorrelation persists beyond 25 ns and its blocked error is still climbing at 50 ns, so the protein-global coordinates are sampled far less well than the ligand pose. Block lengths are converted to a frame count separately for each replicate and block means are pooled across the three,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