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BF5" w14:textId="34461E29" w:rsidR="00936881" w:rsidRDefault="008D424E">
      <w:pPr>
        <w:rPr>
          <w:rFonts w:ascii="Times New Roman" w:hAnsi="Times New Roman" w:cs="Times New Roman"/>
          <w:b/>
          <w:bCs/>
          <w:sz w:val="28"/>
          <w:szCs w:val="28"/>
        </w:rPr>
      </w:pPr>
      <w:r>
        <w:rPr>
          <w:rFonts w:ascii="Times New Roman" w:hAnsi="Times New Roman" w:cs="Times New Roman"/>
          <w:b/>
          <w:bCs/>
          <w:sz w:val="28"/>
          <w:szCs w:val="28"/>
        </w:rPr>
        <w:t xml:space="preserve">Probing </w:t>
      </w:r>
      <w:r w:rsidR="00936881">
        <w:rPr>
          <w:rFonts w:ascii="Times New Roman" w:hAnsi="Times New Roman" w:cs="Times New Roman"/>
          <w:b/>
          <w:bCs/>
          <w:sz w:val="28"/>
          <w:szCs w:val="28"/>
        </w:rPr>
        <w:t xml:space="preserve">Doravirine Resistance Mechanisms in HIV-1 Reverse Transcriptase </w:t>
      </w:r>
      <w:r w:rsidR="002902D1">
        <w:rPr>
          <w:rFonts w:ascii="Times New Roman" w:hAnsi="Times New Roman" w:cs="Times New Roman"/>
          <w:b/>
          <w:bCs/>
          <w:sz w:val="28"/>
          <w:szCs w:val="28"/>
        </w:rPr>
        <w:t>Using</w:t>
      </w:r>
      <w:r w:rsidR="00936881">
        <w:rPr>
          <w:rFonts w:ascii="Times New Roman" w:hAnsi="Times New Roman" w:cs="Times New Roman"/>
          <w:b/>
          <w:bCs/>
          <w:sz w:val="28"/>
          <w:szCs w:val="28"/>
        </w:rPr>
        <w:t xml:space="preserve"> Molecular Dynamics Simulations</w:t>
      </w:r>
    </w:p>
    <w:p w14:paraId="50F2D74E" w14:textId="77777777" w:rsidR="00936881" w:rsidRDefault="00936881">
      <w:pPr>
        <w:rPr>
          <w:rFonts w:ascii="Times New Roman" w:hAnsi="Times New Roman" w:cs="Times New Roman"/>
          <w:b/>
          <w:bCs/>
          <w:sz w:val="28"/>
          <w:szCs w:val="28"/>
        </w:rPr>
      </w:pPr>
    </w:p>
    <w:p w14:paraId="1D4CB5CA" w14:textId="60955DB9" w:rsidR="009C0415" w:rsidRDefault="009C0415">
      <w:pPr>
        <w:rPr>
          <w:rFonts w:ascii="Times New Roman" w:hAnsi="Times New Roman" w:cs="Times New Roman"/>
          <w:szCs w:val="24"/>
        </w:rPr>
      </w:pPr>
      <w:r>
        <w:rPr>
          <w:rFonts w:ascii="Times New Roman" w:hAnsi="Times New Roman" w:cs="Times New Roman"/>
          <w:szCs w:val="24"/>
        </w:rPr>
        <w:t>Rohit Satija</w:t>
      </w:r>
      <w:r>
        <w:rPr>
          <w:rFonts w:ascii="Times New Roman" w:hAnsi="Times New Roman" w:cs="Times New Roman"/>
          <w:szCs w:val="24"/>
          <w:vertAlign w:val="superscript"/>
        </w:rPr>
        <w:t>1</w:t>
      </w:r>
      <w:r>
        <w:rPr>
          <w:rFonts w:ascii="Times New Roman" w:hAnsi="Times New Roman" w:cs="Times New Roman"/>
          <w:szCs w:val="24"/>
        </w:rPr>
        <w:t>, Kaiming Tao</w:t>
      </w:r>
      <w:r>
        <w:rPr>
          <w:rFonts w:ascii="Times New Roman" w:hAnsi="Times New Roman" w:cs="Times New Roman"/>
          <w:szCs w:val="24"/>
          <w:vertAlign w:val="superscript"/>
        </w:rPr>
        <w:t>1</w:t>
      </w:r>
      <w:r>
        <w:rPr>
          <w:rFonts w:ascii="Times New Roman" w:hAnsi="Times New Roman" w:cs="Times New Roman"/>
          <w:szCs w:val="24"/>
        </w:rPr>
        <w:t>, Robert W. Shafer</w:t>
      </w:r>
      <w:r>
        <w:rPr>
          <w:rFonts w:ascii="Times New Roman" w:hAnsi="Times New Roman" w:cs="Times New Roman"/>
          <w:szCs w:val="24"/>
          <w:vertAlign w:val="superscript"/>
        </w:rPr>
        <w:t>1*</w:t>
      </w:r>
    </w:p>
    <w:p w14:paraId="0D641946" w14:textId="5286F938" w:rsidR="009C0415" w:rsidRDefault="00907754">
      <w:pPr>
        <w:rPr>
          <w:rFonts w:ascii="Times New Roman" w:hAnsi="Times New Roman" w:cs="Times New Roman"/>
          <w:szCs w:val="24"/>
        </w:rPr>
      </w:pPr>
      <w:r>
        <w:rPr>
          <w:rFonts w:ascii="Times New Roman" w:hAnsi="Times New Roman" w:cs="Times New Roman"/>
          <w:szCs w:val="24"/>
          <w:vertAlign w:val="superscript"/>
        </w:rPr>
        <w:t>1</w:t>
      </w:r>
      <w:r w:rsidR="009C0415">
        <w:rPr>
          <w:rFonts w:ascii="Times New Roman" w:hAnsi="Times New Roman" w:cs="Times New Roman"/>
          <w:szCs w:val="24"/>
        </w:rPr>
        <w:t>Division of Infectious Diseases, School of Medicine, Stanford University, Stanford, CA, USA</w:t>
      </w:r>
    </w:p>
    <w:p w14:paraId="16428EDC" w14:textId="24910838" w:rsidR="009C0415" w:rsidRPr="009C0415" w:rsidRDefault="009C0415">
      <w:pPr>
        <w:rPr>
          <w:rFonts w:ascii="Times New Roman" w:hAnsi="Times New Roman" w:cs="Times New Roman"/>
          <w:szCs w:val="24"/>
        </w:rPr>
      </w:pPr>
      <w:r>
        <w:rPr>
          <w:rFonts w:ascii="Times New Roman" w:hAnsi="Times New Roman" w:cs="Times New Roman"/>
          <w:szCs w:val="24"/>
        </w:rPr>
        <w:t>*Corresponding author (rshafer@stanford.edu)</w:t>
      </w:r>
    </w:p>
    <w:p w14:paraId="37C3B666" w14:textId="77777777" w:rsidR="009C0415" w:rsidRDefault="009C0415">
      <w:pPr>
        <w:rPr>
          <w:rFonts w:ascii="Times New Roman" w:hAnsi="Times New Roman" w:cs="Times New Roman"/>
          <w:b/>
          <w:bCs/>
          <w:sz w:val="28"/>
          <w:szCs w:val="28"/>
        </w:rPr>
      </w:pPr>
    </w:p>
    <w:p w14:paraId="59918D7D" w14:textId="505A6AE5" w:rsidR="00936881" w:rsidRDefault="00936881">
      <w:pPr>
        <w:rPr>
          <w:rFonts w:ascii="Times New Roman" w:hAnsi="Times New Roman" w:cs="Times New Roman"/>
          <w:b/>
          <w:bCs/>
          <w:sz w:val="28"/>
          <w:szCs w:val="28"/>
        </w:rPr>
      </w:pPr>
      <w:r>
        <w:rPr>
          <w:rFonts w:ascii="Times New Roman" w:hAnsi="Times New Roman" w:cs="Times New Roman"/>
          <w:b/>
          <w:bCs/>
          <w:sz w:val="28"/>
          <w:szCs w:val="28"/>
        </w:rPr>
        <w:t>Abstract</w:t>
      </w:r>
    </w:p>
    <w:p w14:paraId="3FFBCAC2" w14:textId="1A18D89A" w:rsidR="00936881" w:rsidRDefault="00936881">
      <w:pPr>
        <w:rPr>
          <w:rFonts w:ascii="Times New Roman" w:hAnsi="Times New Roman" w:cs="Times New Roman"/>
          <w:szCs w:val="24"/>
        </w:rPr>
      </w:pPr>
      <w:r w:rsidRPr="00936881">
        <w:rPr>
          <w:rFonts w:ascii="Times New Roman" w:hAnsi="Times New Roman" w:cs="Times New Roman"/>
          <w:szCs w:val="24"/>
        </w:rPr>
        <w:t xml:space="preserve">Doravirine (DOR) is a next-generation Non-Nucleotide Reverse Transcriptase Inhibitor (NNRTI) with durable clinical activity and a unique resistance profile, but publicly available phenotypic susceptibility data for DOR-associated resistance mutations remains limited. Here, we performed all-atom explicit-solvent molecular dynamics (MD) simulations of </w:t>
      </w:r>
      <w:r w:rsidR="00CC5E6F">
        <w:rPr>
          <w:rFonts w:ascii="Times New Roman" w:hAnsi="Times New Roman" w:cs="Times New Roman"/>
          <w:szCs w:val="24"/>
        </w:rPr>
        <w:t xml:space="preserve">DOR-bound </w:t>
      </w:r>
      <w:r w:rsidRPr="00936881">
        <w:rPr>
          <w:rFonts w:ascii="Times New Roman" w:hAnsi="Times New Roman" w:cs="Times New Roman"/>
          <w:szCs w:val="24"/>
        </w:rPr>
        <w:t xml:space="preserve">wild-type (WT) HIV-1 reverse transcriptase (RT) and 18 mutant genotypes </w:t>
      </w:r>
      <w:r w:rsidR="00276BFB">
        <w:rPr>
          <w:rFonts w:ascii="Times New Roman" w:hAnsi="Times New Roman" w:cs="Times New Roman"/>
          <w:szCs w:val="24"/>
        </w:rPr>
        <w:t xml:space="preserve">in an attempt </w:t>
      </w:r>
      <w:r w:rsidRPr="00936881">
        <w:rPr>
          <w:rFonts w:ascii="Times New Roman" w:hAnsi="Times New Roman" w:cs="Times New Roman"/>
          <w:szCs w:val="24"/>
        </w:rPr>
        <w:t>to fill this gap.</w:t>
      </w:r>
      <w:r>
        <w:rPr>
          <w:rFonts w:ascii="Times New Roman" w:hAnsi="Times New Roman" w:cs="Times New Roman"/>
          <w:szCs w:val="24"/>
        </w:rPr>
        <w:t xml:space="preserve"> </w:t>
      </w:r>
      <w:r w:rsidRPr="00936881">
        <w:rPr>
          <w:rFonts w:ascii="Times New Roman" w:hAnsi="Times New Roman" w:cs="Times New Roman"/>
          <w:szCs w:val="24"/>
        </w:rPr>
        <w:t>We observed that the relative RT-DOR binding energy</w:t>
      </w:r>
      <w:r w:rsidR="00B11FD5">
        <w:rPr>
          <w:rFonts w:ascii="Times New Roman" w:hAnsi="Times New Roman" w:cs="Times New Roman"/>
          <w:szCs w:val="24"/>
        </w:rPr>
        <w:t xml:space="preserve"> </w:t>
      </w:r>
      <w:r w:rsidR="0069357F">
        <w:rPr>
          <w:rFonts w:ascii="Times New Roman" w:hAnsi="Times New Roman" w:cs="Times New Roman"/>
          <w:szCs w:val="24"/>
        </w:rPr>
        <w:t>or its individual components</w:t>
      </w:r>
      <w:r w:rsidRPr="00936881">
        <w:rPr>
          <w:rFonts w:ascii="Times New Roman" w:hAnsi="Times New Roman" w:cs="Times New Roman"/>
          <w:szCs w:val="24"/>
        </w:rPr>
        <w:t xml:space="preserve">, computed from </w:t>
      </w:r>
      <w:r w:rsidR="009D5DAB">
        <w:rPr>
          <w:rFonts w:ascii="Times New Roman" w:hAnsi="Times New Roman" w:cs="Times New Roman"/>
          <w:szCs w:val="24"/>
        </w:rPr>
        <w:t>these</w:t>
      </w:r>
      <w:r w:rsidRPr="00936881">
        <w:rPr>
          <w:rFonts w:ascii="Times New Roman" w:hAnsi="Times New Roman" w:cs="Times New Roman"/>
          <w:szCs w:val="24"/>
        </w:rPr>
        <w:t xml:space="preserve"> simulations, </w:t>
      </w:r>
      <w:r w:rsidR="0089367D">
        <w:rPr>
          <w:rFonts w:ascii="Times New Roman" w:hAnsi="Times New Roman" w:cs="Times New Roman"/>
          <w:szCs w:val="24"/>
        </w:rPr>
        <w:t xml:space="preserve">demonstrate </w:t>
      </w:r>
      <w:r w:rsidR="00AC3FFE">
        <w:rPr>
          <w:rFonts w:ascii="Times New Roman" w:hAnsi="Times New Roman" w:cs="Times New Roman"/>
          <w:szCs w:val="24"/>
        </w:rPr>
        <w:t>weak</w:t>
      </w:r>
      <w:r w:rsidR="0069357F">
        <w:rPr>
          <w:rFonts w:ascii="Times New Roman" w:hAnsi="Times New Roman" w:cs="Times New Roman"/>
          <w:szCs w:val="24"/>
        </w:rPr>
        <w:t xml:space="preserve"> correlat</w:t>
      </w:r>
      <w:r w:rsidR="0089367D">
        <w:rPr>
          <w:rFonts w:ascii="Times New Roman" w:hAnsi="Times New Roman" w:cs="Times New Roman"/>
          <w:szCs w:val="24"/>
        </w:rPr>
        <w:t>ion</w:t>
      </w:r>
      <w:r w:rsidR="0069357F">
        <w:rPr>
          <w:rFonts w:ascii="Times New Roman" w:hAnsi="Times New Roman" w:cs="Times New Roman"/>
          <w:szCs w:val="24"/>
        </w:rPr>
        <w:t xml:space="preserve"> </w:t>
      </w:r>
      <w:r w:rsidRPr="00936881">
        <w:rPr>
          <w:rFonts w:ascii="Times New Roman" w:hAnsi="Times New Roman" w:cs="Times New Roman"/>
          <w:szCs w:val="24"/>
        </w:rPr>
        <w:t xml:space="preserve">with the available phenotypic </w:t>
      </w:r>
      <w:r w:rsidR="00AC3FFE">
        <w:rPr>
          <w:rFonts w:ascii="Times New Roman" w:hAnsi="Times New Roman" w:cs="Times New Roman"/>
          <w:szCs w:val="24"/>
        </w:rPr>
        <w:t xml:space="preserve">data for </w:t>
      </w:r>
      <w:r w:rsidRPr="00936881">
        <w:rPr>
          <w:rFonts w:ascii="Times New Roman" w:hAnsi="Times New Roman" w:cs="Times New Roman"/>
          <w:szCs w:val="24"/>
        </w:rPr>
        <w:t>DOR susceptibility</w:t>
      </w:r>
      <w:r w:rsidR="00AC3FFE">
        <w:rPr>
          <w:rFonts w:ascii="Times New Roman" w:hAnsi="Times New Roman" w:cs="Times New Roman"/>
          <w:szCs w:val="24"/>
        </w:rPr>
        <w:t xml:space="preserve"> to HIV</w:t>
      </w:r>
      <w:r w:rsidRPr="00936881">
        <w:rPr>
          <w:rFonts w:ascii="Times New Roman" w:hAnsi="Times New Roman" w:cs="Times New Roman"/>
          <w:szCs w:val="24"/>
        </w:rPr>
        <w:t xml:space="preserve">. </w:t>
      </w:r>
      <w:r w:rsidR="0069357F">
        <w:rPr>
          <w:rFonts w:ascii="Times New Roman" w:hAnsi="Times New Roman" w:cs="Times New Roman"/>
          <w:szCs w:val="24"/>
        </w:rPr>
        <w:t>However</w:t>
      </w:r>
      <w:r w:rsidRPr="00936881">
        <w:rPr>
          <w:rFonts w:ascii="Times New Roman" w:hAnsi="Times New Roman" w:cs="Times New Roman"/>
          <w:szCs w:val="24"/>
        </w:rPr>
        <w:t xml:space="preserve">, local trajectory-level analyses identified mutation-specific structural </w:t>
      </w:r>
      <w:r w:rsidR="002902D1">
        <w:rPr>
          <w:rFonts w:ascii="Times New Roman" w:hAnsi="Times New Roman" w:cs="Times New Roman"/>
          <w:szCs w:val="24"/>
        </w:rPr>
        <w:t xml:space="preserve">changes </w:t>
      </w:r>
      <w:r w:rsidR="007E41BA">
        <w:rPr>
          <w:rFonts w:ascii="Times New Roman" w:hAnsi="Times New Roman" w:cs="Times New Roman"/>
          <w:szCs w:val="24"/>
        </w:rPr>
        <w:t>associated with</w:t>
      </w:r>
      <w:r w:rsidR="002902D1">
        <w:rPr>
          <w:rFonts w:ascii="Times New Roman" w:hAnsi="Times New Roman" w:cs="Times New Roman"/>
          <w:szCs w:val="24"/>
        </w:rPr>
        <w:t xml:space="preserve"> DOR resistance</w:t>
      </w:r>
      <w:r w:rsidR="00C427E7">
        <w:rPr>
          <w:rFonts w:ascii="Times New Roman" w:hAnsi="Times New Roman" w:cs="Times New Roman"/>
          <w:szCs w:val="24"/>
        </w:rPr>
        <w:t>. For example,</w:t>
      </w:r>
      <w:r w:rsidRPr="00936881">
        <w:rPr>
          <w:rFonts w:ascii="Times New Roman" w:hAnsi="Times New Roman" w:cs="Times New Roman"/>
          <w:szCs w:val="24"/>
        </w:rPr>
        <w:t xml:space="preserve"> </w:t>
      </w:r>
      <w:r w:rsidR="00277ED3">
        <w:rPr>
          <w:rFonts w:ascii="Times New Roman" w:hAnsi="Times New Roman" w:cs="Times New Roman"/>
          <w:szCs w:val="24"/>
        </w:rPr>
        <w:t xml:space="preserve">simulations with </w:t>
      </w:r>
      <w:r w:rsidRPr="00936881">
        <w:rPr>
          <w:rFonts w:ascii="Times New Roman" w:hAnsi="Times New Roman" w:cs="Times New Roman"/>
          <w:szCs w:val="24"/>
        </w:rPr>
        <w:t>V106A-containing genotypes</w:t>
      </w:r>
      <w:r w:rsidR="00277ED3">
        <w:rPr>
          <w:rFonts w:ascii="Times New Roman" w:hAnsi="Times New Roman" w:cs="Times New Roman"/>
          <w:szCs w:val="24"/>
        </w:rPr>
        <w:t xml:space="preserve"> consistently</w:t>
      </w:r>
      <w:r w:rsidRPr="00936881">
        <w:rPr>
          <w:rFonts w:ascii="Times New Roman" w:hAnsi="Times New Roman" w:cs="Times New Roman"/>
          <w:szCs w:val="24"/>
        </w:rPr>
        <w:t xml:space="preserve"> shift DOR toward the </w:t>
      </w:r>
      <w:r w:rsidR="00C76E0F">
        <w:rPr>
          <w:rFonts w:ascii="Times New Roman" w:hAnsi="Times New Roman" w:cs="Times New Roman"/>
          <w:szCs w:val="24"/>
        </w:rPr>
        <w:t>103-108 loop</w:t>
      </w:r>
      <w:r w:rsidRPr="00936881">
        <w:rPr>
          <w:rFonts w:ascii="Times New Roman" w:hAnsi="Times New Roman" w:cs="Times New Roman"/>
          <w:szCs w:val="24"/>
        </w:rPr>
        <w:t xml:space="preserve">, leading to compensatory interactions with Lys104 and Ser105; V106I+F227C </w:t>
      </w:r>
      <w:r w:rsidR="00277ED3">
        <w:rPr>
          <w:rFonts w:ascii="Times New Roman" w:hAnsi="Times New Roman" w:cs="Times New Roman"/>
          <w:szCs w:val="24"/>
        </w:rPr>
        <w:t xml:space="preserve">simulations </w:t>
      </w:r>
      <w:r w:rsidRPr="00936881">
        <w:rPr>
          <w:rFonts w:ascii="Times New Roman" w:hAnsi="Times New Roman" w:cs="Times New Roman"/>
          <w:szCs w:val="24"/>
        </w:rPr>
        <w:t xml:space="preserve">sample DOR poses </w:t>
      </w:r>
      <w:r w:rsidR="0089367D" w:rsidRPr="00936881">
        <w:rPr>
          <w:rFonts w:ascii="Times New Roman" w:hAnsi="Times New Roman" w:cs="Times New Roman"/>
          <w:szCs w:val="24"/>
        </w:rPr>
        <w:t xml:space="preserve">distinct </w:t>
      </w:r>
      <w:r w:rsidRPr="00936881">
        <w:rPr>
          <w:rFonts w:ascii="Times New Roman" w:hAnsi="Times New Roman" w:cs="Times New Roman"/>
          <w:szCs w:val="24"/>
        </w:rPr>
        <w:t xml:space="preserve">from V106A+F227L despite </w:t>
      </w:r>
      <w:r w:rsidR="003F74A7">
        <w:rPr>
          <w:rFonts w:ascii="Times New Roman" w:hAnsi="Times New Roman" w:cs="Times New Roman"/>
          <w:szCs w:val="24"/>
        </w:rPr>
        <w:t>mutations at the same positions and similar</w:t>
      </w:r>
      <w:r w:rsidRPr="00936881">
        <w:rPr>
          <w:rFonts w:ascii="Times New Roman" w:hAnsi="Times New Roman" w:cs="Times New Roman"/>
          <w:szCs w:val="24"/>
        </w:rPr>
        <w:t xml:space="preserve"> phenotypic resistance; and G190E perturbs the </w:t>
      </w:r>
      <w:r w:rsidR="00C76E0F">
        <w:rPr>
          <w:rFonts w:ascii="Times New Roman" w:hAnsi="Times New Roman" w:cs="Times New Roman"/>
          <w:szCs w:val="24"/>
        </w:rPr>
        <w:t>pocket entrance</w:t>
      </w:r>
      <w:r w:rsidRPr="00936881">
        <w:rPr>
          <w:rFonts w:ascii="Times New Roman" w:hAnsi="Times New Roman" w:cs="Times New Roman"/>
          <w:szCs w:val="24"/>
        </w:rPr>
        <w:t xml:space="preserve">, </w:t>
      </w:r>
      <w:r w:rsidR="00EE65AE">
        <w:rPr>
          <w:rFonts w:ascii="Times New Roman" w:hAnsi="Times New Roman" w:cs="Times New Roman"/>
          <w:szCs w:val="24"/>
        </w:rPr>
        <w:t>disrupting</w:t>
      </w:r>
      <w:r w:rsidRPr="00936881">
        <w:rPr>
          <w:rFonts w:ascii="Times New Roman" w:hAnsi="Times New Roman" w:cs="Times New Roman"/>
          <w:szCs w:val="24"/>
        </w:rPr>
        <w:t xml:space="preserve"> </w:t>
      </w:r>
      <w:r w:rsidR="00EE65AE">
        <w:rPr>
          <w:rFonts w:ascii="Times New Roman" w:hAnsi="Times New Roman" w:cs="Times New Roman"/>
          <w:szCs w:val="24"/>
        </w:rPr>
        <w:t xml:space="preserve">DOR </w:t>
      </w:r>
      <w:r w:rsidRPr="00936881">
        <w:rPr>
          <w:rFonts w:ascii="Times New Roman" w:hAnsi="Times New Roman" w:cs="Times New Roman"/>
          <w:szCs w:val="24"/>
        </w:rPr>
        <w:t xml:space="preserve">contact with Val179. A custom logistic regression model trained on </w:t>
      </w:r>
      <w:r w:rsidR="00AD031C">
        <w:rPr>
          <w:rFonts w:ascii="Times New Roman" w:hAnsi="Times New Roman" w:cs="Times New Roman"/>
          <w:szCs w:val="24"/>
        </w:rPr>
        <w:t xml:space="preserve">select </w:t>
      </w:r>
      <w:r w:rsidRPr="00936881">
        <w:rPr>
          <w:rFonts w:ascii="Times New Roman" w:hAnsi="Times New Roman" w:cs="Times New Roman"/>
          <w:szCs w:val="24"/>
        </w:rPr>
        <w:t xml:space="preserve">MD-derived structural features is able to segregate low- and high-resistance genotypes, producing probabilities that correlate well with </w:t>
      </w:r>
      <w:r w:rsidR="00230A01">
        <w:rPr>
          <w:rFonts w:ascii="Times New Roman" w:hAnsi="Times New Roman" w:cs="Times New Roman"/>
          <w:szCs w:val="24"/>
        </w:rPr>
        <w:t xml:space="preserve">the </w:t>
      </w:r>
      <w:r w:rsidRPr="00936881">
        <w:rPr>
          <w:rFonts w:ascii="Times New Roman" w:hAnsi="Times New Roman" w:cs="Times New Roman"/>
          <w:szCs w:val="24"/>
        </w:rPr>
        <w:t xml:space="preserve">available </w:t>
      </w:r>
      <w:r w:rsidRPr="00230A01">
        <w:rPr>
          <w:rFonts w:ascii="Times New Roman" w:hAnsi="Times New Roman" w:cs="Times New Roman"/>
          <w:i/>
          <w:iCs/>
          <w:szCs w:val="24"/>
        </w:rPr>
        <w:t>in vitro</w:t>
      </w:r>
      <w:r w:rsidRPr="00936881">
        <w:rPr>
          <w:rFonts w:ascii="Times New Roman" w:hAnsi="Times New Roman" w:cs="Times New Roman"/>
          <w:szCs w:val="24"/>
        </w:rPr>
        <w:t xml:space="preserve"> DOR susceptibility data. Together, these results </w:t>
      </w:r>
      <w:r w:rsidR="00AC3FFE">
        <w:rPr>
          <w:rFonts w:ascii="Times New Roman" w:hAnsi="Times New Roman" w:cs="Times New Roman"/>
          <w:szCs w:val="24"/>
        </w:rPr>
        <w:t>demonstrate</w:t>
      </w:r>
      <w:r w:rsidRPr="00936881">
        <w:rPr>
          <w:rFonts w:ascii="Times New Roman" w:hAnsi="Times New Roman" w:cs="Times New Roman"/>
          <w:szCs w:val="24"/>
        </w:rPr>
        <w:t xml:space="preserve"> a structur</w:t>
      </w:r>
      <w:r w:rsidR="00232CAE">
        <w:rPr>
          <w:rFonts w:ascii="Times New Roman" w:hAnsi="Times New Roman" w:cs="Times New Roman"/>
          <w:szCs w:val="24"/>
        </w:rPr>
        <w:t xml:space="preserve">e-based </w:t>
      </w:r>
      <w:r w:rsidRPr="00936881">
        <w:rPr>
          <w:rFonts w:ascii="Times New Roman" w:hAnsi="Times New Roman" w:cs="Times New Roman"/>
          <w:szCs w:val="24"/>
        </w:rPr>
        <w:t xml:space="preserve">framework for interpreting DOR resistance, </w:t>
      </w:r>
      <w:r w:rsidR="00230A01" w:rsidRPr="00230A01">
        <w:rPr>
          <w:rFonts w:ascii="Times New Roman" w:hAnsi="Times New Roman" w:cs="Times New Roman"/>
          <w:szCs w:val="24"/>
        </w:rPr>
        <w:t xml:space="preserve">estimating the risk of DOR use in people living with HIV who carry pre-existing NNRTI mutations, and </w:t>
      </w:r>
      <w:r w:rsidR="00276BFB">
        <w:rPr>
          <w:rFonts w:ascii="Times New Roman" w:hAnsi="Times New Roman" w:cs="Times New Roman"/>
          <w:szCs w:val="24"/>
        </w:rPr>
        <w:t xml:space="preserve">possibly </w:t>
      </w:r>
      <w:r w:rsidR="00230A01" w:rsidRPr="00230A01">
        <w:rPr>
          <w:rFonts w:ascii="Times New Roman" w:hAnsi="Times New Roman" w:cs="Times New Roman"/>
          <w:szCs w:val="24"/>
        </w:rPr>
        <w:t>informing the design of future NNRTIs.</w:t>
      </w:r>
    </w:p>
    <w:p w14:paraId="26E8043D" w14:textId="77777777" w:rsidR="00230A01" w:rsidRDefault="00230A01">
      <w:pPr>
        <w:rPr>
          <w:rFonts w:ascii="Times New Roman" w:hAnsi="Times New Roman" w:cs="Times New Roman"/>
          <w:szCs w:val="24"/>
        </w:rPr>
      </w:pPr>
    </w:p>
    <w:p w14:paraId="386BB021" w14:textId="7AA541C1" w:rsidR="00901095" w:rsidRDefault="00901095">
      <w:pPr>
        <w:rPr>
          <w:rFonts w:ascii="Times New Roman" w:hAnsi="Times New Roman" w:cs="Times New Roman"/>
          <w:szCs w:val="24"/>
        </w:rPr>
      </w:pPr>
    </w:p>
    <w:p w14:paraId="74E0A401" w14:textId="77777777" w:rsidR="00901095" w:rsidRDefault="00901095">
      <w:pPr>
        <w:rPr>
          <w:rFonts w:ascii="Times New Roman" w:hAnsi="Times New Roman" w:cs="Times New Roman"/>
          <w:szCs w:val="24"/>
        </w:rPr>
      </w:pPr>
    </w:p>
    <w:p w14:paraId="2493260E" w14:textId="77777777" w:rsidR="00901095" w:rsidRDefault="00901095">
      <w:pPr>
        <w:rPr>
          <w:rFonts w:ascii="Times New Roman" w:hAnsi="Times New Roman" w:cs="Times New Roman"/>
          <w:szCs w:val="24"/>
        </w:rPr>
      </w:pPr>
    </w:p>
    <w:p w14:paraId="371FFCBC" w14:textId="77777777" w:rsidR="00901095" w:rsidRDefault="00901095">
      <w:pPr>
        <w:rPr>
          <w:rFonts w:ascii="Times New Roman" w:hAnsi="Times New Roman" w:cs="Times New Roman"/>
          <w:szCs w:val="24"/>
        </w:rPr>
      </w:pPr>
    </w:p>
    <w:p w14:paraId="2B53134A" w14:textId="77777777" w:rsidR="00901095" w:rsidRDefault="00901095">
      <w:pPr>
        <w:rPr>
          <w:rFonts w:ascii="Times New Roman" w:hAnsi="Times New Roman" w:cs="Times New Roman"/>
          <w:szCs w:val="24"/>
        </w:rPr>
      </w:pPr>
    </w:p>
    <w:p w14:paraId="0BF6812C" w14:textId="77777777" w:rsidR="00901095" w:rsidRDefault="00901095">
      <w:pPr>
        <w:rPr>
          <w:rFonts w:ascii="Times New Roman" w:hAnsi="Times New Roman" w:cs="Times New Roman"/>
          <w:szCs w:val="24"/>
        </w:rPr>
      </w:pPr>
    </w:p>
    <w:p w14:paraId="09138B8B" w14:textId="77777777" w:rsidR="00901095" w:rsidRDefault="00901095">
      <w:pPr>
        <w:rPr>
          <w:rFonts w:ascii="Times New Roman" w:hAnsi="Times New Roman" w:cs="Times New Roman"/>
          <w:szCs w:val="24"/>
        </w:rPr>
      </w:pPr>
    </w:p>
    <w:p w14:paraId="0B350431" w14:textId="77777777" w:rsidR="00901095" w:rsidRDefault="00901095">
      <w:pPr>
        <w:rPr>
          <w:rFonts w:ascii="Times New Roman" w:hAnsi="Times New Roman" w:cs="Times New Roman"/>
          <w:szCs w:val="24"/>
        </w:rPr>
      </w:pPr>
    </w:p>
    <w:p w14:paraId="7CE4DF69" w14:textId="77777777" w:rsidR="00901095" w:rsidRDefault="00901095">
      <w:pPr>
        <w:rPr>
          <w:rFonts w:ascii="Times New Roman" w:hAnsi="Times New Roman" w:cs="Times New Roman"/>
          <w:szCs w:val="24"/>
        </w:rPr>
      </w:pPr>
    </w:p>
    <w:p w14:paraId="758D7C67" w14:textId="77777777" w:rsidR="00901095" w:rsidRDefault="00901095">
      <w:pPr>
        <w:rPr>
          <w:rFonts w:ascii="Times New Roman" w:hAnsi="Times New Roman" w:cs="Times New Roman"/>
          <w:szCs w:val="24"/>
        </w:rPr>
      </w:pPr>
    </w:p>
    <w:p w14:paraId="1BC169F5" w14:textId="77777777" w:rsidR="00901095" w:rsidRDefault="00901095">
      <w:pPr>
        <w:rPr>
          <w:rFonts w:ascii="Times New Roman" w:hAnsi="Times New Roman" w:cs="Times New Roman"/>
          <w:szCs w:val="24"/>
        </w:rPr>
      </w:pPr>
    </w:p>
    <w:p w14:paraId="5E883F10" w14:textId="77777777" w:rsidR="00901095" w:rsidRDefault="00901095">
      <w:pPr>
        <w:rPr>
          <w:rFonts w:ascii="Times New Roman" w:hAnsi="Times New Roman" w:cs="Times New Roman"/>
          <w:szCs w:val="24"/>
        </w:rPr>
      </w:pPr>
    </w:p>
    <w:p w14:paraId="0E1AD892" w14:textId="77777777" w:rsidR="00907754" w:rsidRDefault="00907754">
      <w:pPr>
        <w:rPr>
          <w:rFonts w:ascii="Times New Roman" w:hAnsi="Times New Roman" w:cs="Times New Roman"/>
          <w:szCs w:val="24"/>
        </w:rPr>
      </w:pPr>
    </w:p>
    <w:p w14:paraId="0AFD65EF" w14:textId="77777777" w:rsidR="00901095" w:rsidRDefault="00901095">
      <w:pPr>
        <w:rPr>
          <w:rFonts w:ascii="Times New Roman" w:hAnsi="Times New Roman" w:cs="Times New Roman"/>
          <w:szCs w:val="24"/>
        </w:rPr>
      </w:pPr>
    </w:p>
    <w:p w14:paraId="04D6575A" w14:textId="77777777" w:rsidR="00901095" w:rsidRDefault="00901095">
      <w:pPr>
        <w:rPr>
          <w:rFonts w:ascii="Times New Roman" w:hAnsi="Times New Roman" w:cs="Times New Roman"/>
          <w:szCs w:val="24"/>
        </w:rPr>
      </w:pPr>
    </w:p>
    <w:p w14:paraId="302E1108" w14:textId="77777777" w:rsidR="00901095" w:rsidRDefault="00901095">
      <w:pPr>
        <w:rPr>
          <w:rFonts w:ascii="Times New Roman" w:hAnsi="Times New Roman" w:cs="Times New Roman"/>
          <w:szCs w:val="24"/>
        </w:rPr>
      </w:pPr>
    </w:p>
    <w:p w14:paraId="441B8F67" w14:textId="77777777" w:rsidR="00901095" w:rsidRDefault="00901095">
      <w:pPr>
        <w:rPr>
          <w:rFonts w:ascii="Times New Roman" w:hAnsi="Times New Roman" w:cs="Times New Roman"/>
          <w:szCs w:val="24"/>
        </w:rPr>
      </w:pPr>
    </w:p>
    <w:p w14:paraId="03DB355B" w14:textId="047CBC43" w:rsidR="00230A01" w:rsidRDefault="000366F8">
      <w:pPr>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16AF3EAC" w14:textId="614DF951" w:rsidR="003A1CB7" w:rsidRDefault="00A663E1">
      <w:pPr>
        <w:rPr>
          <w:rFonts w:ascii="Times New Roman" w:hAnsi="Times New Roman" w:cs="Times New Roman"/>
          <w:szCs w:val="24"/>
        </w:rPr>
      </w:pPr>
      <w:r>
        <w:rPr>
          <w:rFonts w:ascii="Times New Roman" w:hAnsi="Times New Roman" w:cs="Times New Roman"/>
          <w:szCs w:val="24"/>
        </w:rPr>
        <w:t xml:space="preserve">Doravirine (DOR) was </w:t>
      </w:r>
      <w:r w:rsidR="0036587A">
        <w:rPr>
          <w:rFonts w:ascii="Times New Roman" w:hAnsi="Times New Roman" w:cs="Times New Roman"/>
          <w:szCs w:val="24"/>
        </w:rPr>
        <w:t xml:space="preserve">first </w:t>
      </w:r>
      <w:r>
        <w:rPr>
          <w:rFonts w:ascii="Times New Roman" w:hAnsi="Times New Roman" w:cs="Times New Roman"/>
          <w:szCs w:val="24"/>
        </w:rPr>
        <w:t>approved in 2018 as a once-daily pill</w:t>
      </w:r>
      <w:r w:rsidR="00933E8B">
        <w:rPr>
          <w:rFonts w:ascii="Times New Roman" w:hAnsi="Times New Roman" w:cs="Times New Roman"/>
          <w:szCs w:val="24"/>
        </w:rPr>
        <w:t xml:space="preserve">, in combination with other antiretroviral </w:t>
      </w:r>
      <w:r w:rsidR="009B499D">
        <w:rPr>
          <w:rFonts w:ascii="Times New Roman" w:hAnsi="Times New Roman" w:cs="Times New Roman"/>
          <w:szCs w:val="24"/>
        </w:rPr>
        <w:t>therapy (ART) agents</w:t>
      </w:r>
      <w:r w:rsidR="00933E8B">
        <w:rPr>
          <w:rFonts w:ascii="Times New Roman" w:hAnsi="Times New Roman" w:cs="Times New Roman"/>
          <w:szCs w:val="24"/>
        </w:rPr>
        <w:t>,</w:t>
      </w:r>
      <w:r>
        <w:rPr>
          <w:rFonts w:ascii="Times New Roman" w:hAnsi="Times New Roman" w:cs="Times New Roman"/>
          <w:szCs w:val="24"/>
        </w:rPr>
        <w:t xml:space="preserve"> for the treatment of HIV-1 infection in treatment-naïve </w:t>
      </w:r>
      <w:r w:rsidR="00555948">
        <w:rPr>
          <w:rFonts w:ascii="Times New Roman" w:hAnsi="Times New Roman" w:cs="Times New Roman"/>
          <w:szCs w:val="24"/>
        </w:rPr>
        <w:t>individuals</w:t>
      </w:r>
      <w:r>
        <w:rPr>
          <w:rFonts w:ascii="Times New Roman" w:hAnsi="Times New Roman" w:cs="Times New Roman"/>
          <w:szCs w:val="24"/>
        </w:rPr>
        <w:t>.</w:t>
      </w:r>
      <w:r w:rsidR="00572245">
        <w:rPr>
          <w:rFonts w:ascii="Times New Roman" w:hAnsi="Times New Roman" w:cs="Times New Roman"/>
          <w:szCs w:val="24"/>
        </w:rPr>
        <w:fldChar w:fldCharType="begin"/>
      </w:r>
      <w:r w:rsidR="007D2F0E">
        <w:rPr>
          <w:rFonts w:ascii="Times New Roman" w:hAnsi="Times New Roman" w:cs="Times New Roman"/>
          <w:szCs w:val="24"/>
        </w:rPr>
        <w:instrText xml:space="preserve"> ADDIN ZOTERO_ITEM CSL_CITATION {"citationID":"zqeZinjz","properties":{"unsorted":false,"formattedCitation":"\\super 1\\nosupersub{}","plainCitation":"1","noteIndex":0},"citationItems":[{"id":160,"uris":["http://zotero.org/users/19404620/items/Y8NYQIVP"],"itemData":{"id":160,"type":"article-journal","abstract":"Read this Drug Watch article and more clinical summaries on NEJM Clinician.","container-title":"NEJM Clinician","language":"EN","license":"Copyright © 2026 Massachusetts Medical Society. All rights reserved.","publisher":"Massachusetts Medical Society","source":"clinician-nejm-org.laneproxy.stanford.edu","title":"Doravirine Approved for Treatment of HIV Infection","URL":"https://clinician.nejm.org/doravirine-approved-treatment-hiv-infection-nejm-jw.NA47512","author":[{"family":"Gandhi","given":"Rajesh T."}],"accessed":{"date-parts":[["2026",5,23]]},"issued":{"date-parts":[["2018",9,19]]}}}],"schema":"https://github.com/citation-style-language/schema/raw/master/csl-citation.json"} </w:instrText>
      </w:r>
      <w:r w:rsidR="00572245">
        <w:rPr>
          <w:rFonts w:ascii="Times New Roman" w:hAnsi="Times New Roman" w:cs="Times New Roman"/>
          <w:szCs w:val="24"/>
        </w:rPr>
        <w:fldChar w:fldCharType="separate"/>
      </w:r>
      <w:r w:rsidR="007D2F0E" w:rsidRPr="007D2F0E">
        <w:rPr>
          <w:rFonts w:ascii="Times New Roman" w:eastAsiaTheme="minorHAnsi" w:hAnsi="Times New Roman" w:cs="Times New Roman"/>
          <w:szCs w:val="24"/>
          <w:vertAlign w:val="superscript"/>
        </w:rPr>
        <w:t>1</w:t>
      </w:r>
      <w:r w:rsidR="00572245">
        <w:rPr>
          <w:rFonts w:ascii="Times New Roman" w:hAnsi="Times New Roman" w:cs="Times New Roman"/>
          <w:szCs w:val="24"/>
        </w:rPr>
        <w:fldChar w:fldCharType="end"/>
      </w:r>
      <w:r>
        <w:rPr>
          <w:rFonts w:ascii="Times New Roman" w:hAnsi="Times New Roman" w:cs="Times New Roman"/>
          <w:szCs w:val="24"/>
        </w:rPr>
        <w:t xml:space="preserve"> </w:t>
      </w:r>
      <w:r w:rsidR="00901095">
        <w:rPr>
          <w:rFonts w:ascii="Times New Roman" w:hAnsi="Times New Roman" w:cs="Times New Roman"/>
          <w:szCs w:val="24"/>
        </w:rPr>
        <w:t>I</w:t>
      </w:r>
      <w:r w:rsidR="00933E8B">
        <w:rPr>
          <w:rFonts w:ascii="Times New Roman" w:hAnsi="Times New Roman" w:cs="Times New Roman"/>
          <w:szCs w:val="24"/>
        </w:rPr>
        <w:t xml:space="preserve">ts durable efficacy and safety </w:t>
      </w:r>
      <w:r w:rsidR="0032366C">
        <w:rPr>
          <w:rFonts w:ascii="Times New Roman" w:hAnsi="Times New Roman" w:cs="Times New Roman"/>
          <w:szCs w:val="24"/>
        </w:rPr>
        <w:t xml:space="preserve">profile </w:t>
      </w:r>
      <w:r w:rsidR="00933E8B">
        <w:rPr>
          <w:rFonts w:ascii="Times New Roman" w:hAnsi="Times New Roman" w:cs="Times New Roman"/>
          <w:szCs w:val="24"/>
        </w:rPr>
        <w:t xml:space="preserve">was established in </w:t>
      </w:r>
      <w:r w:rsidR="006D52D1">
        <w:rPr>
          <w:rFonts w:ascii="Times New Roman" w:hAnsi="Times New Roman" w:cs="Times New Roman"/>
          <w:szCs w:val="24"/>
        </w:rPr>
        <w:t>long-</w:t>
      </w:r>
      <w:r w:rsidR="0032366C">
        <w:rPr>
          <w:rFonts w:ascii="Times New Roman" w:hAnsi="Times New Roman" w:cs="Times New Roman"/>
          <w:szCs w:val="24"/>
        </w:rPr>
        <w:t>running</w:t>
      </w:r>
      <w:r w:rsidR="006D52D1">
        <w:rPr>
          <w:rFonts w:ascii="Times New Roman" w:hAnsi="Times New Roman" w:cs="Times New Roman"/>
          <w:szCs w:val="24"/>
        </w:rPr>
        <w:t xml:space="preserve"> clinical trials</w:t>
      </w:r>
      <w:r w:rsidR="0032366C">
        <w:rPr>
          <w:rFonts w:ascii="Times New Roman" w:hAnsi="Times New Roman" w:cs="Times New Roman"/>
          <w:szCs w:val="24"/>
        </w:rPr>
        <w:fldChar w:fldCharType="begin"/>
      </w:r>
      <w:r w:rsidR="00E341D2">
        <w:rPr>
          <w:rFonts w:ascii="Times New Roman" w:hAnsi="Times New Roman" w:cs="Times New Roman"/>
          <w:szCs w:val="24"/>
        </w:rPr>
        <w:instrText xml:space="preserve"> ADDIN ZOTERO_ITEM CSL_CITATION {"citationID":"NnCLK7RW","properties":{"unsorted":false,"formattedCitation":"\\super 2\\uc0\\u8211{}6\\nosupersub{}","plainCitation":"2–6","noteIndex":0},"citationItems":[{"id":154,"uris":["http://zotero.org/users/19404620/items/5U4LF5TI"],"itemData":{"id":154,"type":"article-journal","container-title":"The Lancet HIV","DOI":"10.1016/S2352-3018(18)30021-3","ISSN":"2352-3018","issue":"5","journalAbbreviation":"The Lancet HIV","language":"English","page":"e211-e220","PMID":"29592840","publisher":"Elsevier","source":"www.thelancet.com","title":"Doravirine versus ritonavir-boosted darunavir in antiretroviral-naive adults with HIV-1 (DRIVE-FORWARD): 48-week results of a randomised, double-blind, phase 3, non-inferiority trial","title-short":"Doravirine versus ritonavir-boosted darunavir in antiretroviral-naive adults with HIV-1 (DRIVE-FORWARD)","volume":"5","author":[{"family":"Molina","given":"Jean-Michel"},{"family":"Squires","given":"Kathleen"},{"family":"Sax","given":"Paul E."},{"family":"Cahn","given":"Pedro"},{"family":"Lombaard","given":"Johan"},{"family":"DeJesus","given":"Edwin"},{"family":"Lai","given":"Ming-Tain"},{"family":"Xu","given":"Xia"},{"family":"Rodgers","given":"Anthony"},{"family":"Lupinacci","given":"Lisa"},{"family":"Kumar","given":"Sushma"},{"family":"Sklar","given":"Peter"},{"family":"Nguyen","given":"Bach-Yen"},{"family":"Hanna","given":"George J."},{"family":"Hwang","given":"Carey"},{"family":"Martins","given":"Marcelo"},{"family":"Cahn","given":"Pedro Enrique"},{"family":"Lopardo","given":"Gustavo D."},{"family":"Porteiro","given":"Norma"},{"family":"Bloch","given":"Mark Theo"},{"family":"Baker","given":"David Alfred"},{"family":"Roth","given":"Norman"},{"family":"Moore","given":"Richard James"},{"family":"Finlayson","given":"Robert James"},{"family":"McMahon","given":"James"},{"family":"Rieger","given":"Armin"},{"family":"Zoufaly","given":"Alexander"},{"family":"Hartl","given":"Sylvia"},{"family":"Zangerle","given":"Robert"},{"family":"Smaill","given":"Fiona"},{"family":"Walmsley","given":"Sharon L."},{"family":"Conway","given":"Brian"},{"family":"Rachlis","given":"Anita"},{"family":"Smith","given":"Graham H. R."},{"family":"Perez","given":"Carlos"},{"family":"Afani","given":"Alejandro"},{"family":"Barker","given":"Maria Isabel E. Campos"},{"family":"Chahin","given":"Carolina Eugenia"},{"family":"Reyes","given":"Marcelo Wolff"},{"family":"Gerstoft","given":"Jan"},{"family":"Weis","given":"Nina"},{"family":"Laursen","given":"Alex Lund"},{"family":"Molina","given":"Jean-Michel"},{"family":"Yazdanpanah","given":"Yazdan"},{"family":"Cotte","given":"Laurent"},{"family":"Raffi","given":"Francois"},{"family":"Morlat","given":"Philippe"},{"family":"Girard","given":"Pierre-Marie"},{"family":"Katlama","given":"Christine"},{"family":"Rockstroh","given":"Juergen K."},{"family":"Arasteh","given":"Keikawus"},{"family":"Esser","given":"Stefan"},{"family":"Stoehr","given":"Albrecht"},{"family":"Stellbrink","given":"Hans-Juergen"},{"family":"Stoll","given":"Matthias"},{"family":"Schuermann","given":"Dirk"},{"family":"Faetkenheuer","given":"Gerd"},{"family":"Bogner","given":"Johannes"},{"family":"Lutz","given":"Thomas"},{"family":"Baumgarten","given":"Axel"},{"family":"Jaeger","given":"Hans"},{"family":"Gori","given":"Andrea"},{"family":"Coltan","given":"Gabriel"},{"family":"Constandis","given":"Felicia"},{"family":"Erscoiu","given":"Simona Manuela"},{"family":"Prisacariu","given":"Liviu-Jany"},{"family":"Rugina","given":"Sorin"},{"family":"Streinu-Cercel","given":"Adrian"},{"family":"Pokrovsky","given":"Vadim Valentinovich"},{"family":"Zakharova","given":"Natalia V."},{"family":"Shuldyakov","given":"Andrey Anatolyevich"},{"family":"Ryamova","given":"Elena Pavlovna"},{"family":"Kulagin","given":"Valeriy Viktorovich"},{"family":"Tsybakova","given":"Olga Aleksandrovna"},{"family":"Orlova-Morozova","given":"Elena"},{"family":"Nagimova","given":"Firaya"},{"family":"Voronin","given":"Evgeniy"},{"family":"Shimonova","given":"Tatyana Evgenyevna"},{"family":"Kozyrev","given":"Oleg Anatolyevich"},{"family":"Orrell","given":"Catherine"},{"family":"Lombaard","given":"Johannes Jurgens"},{"family":"Botes","given":"Margaretha Elizabeth"},{"family":"Portilla","given":"Joaquin"},{"family":"Gatell","given":"Josep Maria"},{"family":"Perez","given":"Maria Jesus"},{"family":"Arribas","given":"Jose Ramon"},{"family":"Negredo","given":"Eugenia"},{"family":"Podzamczer","given":"Daniel"},{"family":"Pulido","given":"Federico"},{"family":"Troya","given":"Jesus"},{"family":"Santos","given":"Ignacio De","dropping-particle":"los"},{"family":"Berenguer","given":"Juan"},{"family":"Williams","given":"Ian G."},{"family":"Johnson","given":"Margaret A."},{"family":"Schembri","given":"Gabriel"},{"family":"Clarke","given":"Amanda"},{"family":"Gompels","given":"Mark"},{"family":"Fox","given":"Julie Meriel"},{"family":"Taylor","given":"Steven John"},{"family":"Kegg","given":"Stephen"},{"family":"Hagins","given":"Debbie P."},{"family":"Osiyemi","given":"Olayemi O."},{"family":"Prelutsky","given":"David James"},{"family":"Ramgopal","given":"Moti N."},{"family":"Dretler","given":"Robin"},{"family":"DeJesus","given":"Edwin"},{"family":"Sloan","given":"Louis"},{"family":"Lewis","given":"Stanley T."},{"family":"Clay","given":"Patrick G."},{"family":"Bellos","given":"Nicholaos C."},{"family":"Thompson","given":"Melanie A."},{"family":"Montero","given":"Jose"},{"family":"McDonald","given":"Cheryl K."},{"family":"Creticos","given":"Catherine"},{"family":"Shamblaw","given":"David"},{"family":"Terrelonge","given":"Antonio E."},{"family":"Valdes","given":"Martin"},{"family":"Tashima","given":"Karen T."},{"family":"Robbins","given":"William J."},{"family":"Felizarta","given":"Franco Antonio"},{"family":"Elion","given":"Richard A."},{"family":"Slim","given":"Jihad"},{"family":"Lalezari","given":"Jacob Paul"},{"family":"Lalla-Reddy","given":"Sujata N."},{"family":"Ruane","given":"Peter Jerome"},{"family":"Mills","given":"Anthony"},{"family":"Cade","given":"Jerry L."},{"family":"Campo","given":"Rafael E."},{"family":"Dietz","given":"Craig A."},{"family":"Blick","given":"Gary"},{"family":"Mayer","given":"Cynthia"},{"family":"Rondon","given":"Juan Carlos"},{"family":"Cook","given":"Paul P."},{"family":"Daar","given":"Eric"},{"family":"Kumar","given":"Princy N."},{"family":"Swindells","given":"Susan"},{"family":"Castro","given":"Jose Guillermo"},{"family":"Morales-Ramirez","given":"Javier O."},{"family":"Santiago","given":"Lizette"},{"family":"Santana-Bagur","given":"Jorge L."}],"issued":{"date-parts":[["2018",5,1]]}}},{"id":149,"uris":["http://zotero.org/users/19404620/items/YSUPTNHZ"],"itemData":{"id":149,"type":"article-journal","abstract":"Doravirine (DOR), a novel non-nucleoside reverse-transcriptase inhibitor (NNRTI), is active against wild-type Human Immunodeficiency Virus (HIV)-1 and the most common NNRTI-resistant variants, and has a favorable and unique in vitro resistance profile.DRIVE-AHEAD is a phase 3, double-blind, non-inferiority trial. Antiretroviral treatment–naive adults with ≥1000 HIV-1 RNA copies/mL were randomized (1:1) to once-daily, fixed-dose DOR at 100 mg, lamivudine at 300 mg, and tenofovir disoproxil fumarate (TDF) at 300 mg (DOR/3TC/TDF) or to efavirenz at 600 mg, emtricitabine at 200 mg, and TDF at 300 mg (EFV/FTC/TDF) for 96 weeks. The primary efficacy endpoint was the proportion of participants with &amp;lt;50 HIV-1 RNA copies/mL at week 48 (Food and Drug Administration snapshot approach; non-inferiority margin 10%).Of the 734 participants randomized, 728 were treated (364 per group) and included in the analyses. At week 48, 84.3% (307/364) of DOR/3TC/TDF recipients and 80.8% (294/364) of EFV/FTC/TDF recipients achieved &amp;lt;50 HIV-1 RNA copies/mL (difference 3.5%, 95% CI, -2.0, 9.0). DOR/3TC/TDF recipients had significantly lower rates of dizziness (8.8% vs 37.1%), sleep disorders/disturbances (12.1% vs 25.2%), and altered sensorium (4.4% vs 8.2%) than EFV/FTC/TDF recipients. Mean changes in fasting low-density lipoprotein cholesterol (LDL-C) and non-high-density lipoprotein cholesterol (non-HDL-C) were significantly different between DOR/3TC/TDF and EFV/FTC/TDF (−1.6 vs +8.7 mg/dL and −3.8 vs +13.3 mg/dL, respectively).In HIV-1 treatment-naive adults, DOR/3TC/TDF demonstrated non-inferior efficacy to EFV/FTC/TDF at week 48 and was well tolerated, with significantly fewer neuropsychiatric events and minimal changes in LDL-C and non–HDL-C compared with EFV/FTC/TDF.NCT02403674","container-title":"Clinical Infectious Diseases","DOI":"10.1093/cid/ciy540","ISSN":"1058-4838","issue":"4","journalAbbreviation":"Clin Infect Dis","page":"535-544","source":"Silverchair","title":"Doravirine/Lamivudine/Tenofovir Disoproxil Fumarate is Non-inferior to Efavirenz/Emtricitabine/Tenofovir Disoproxil Fumarate in Treatment-naive Adults With Human Immunodeficiency Virus–1 Infection: Week 48 Results of the DRIVE-AHEAD Trial","title-short":"Doravirine/Lamivudine/Tenofovir Disoproxil Fumarate is Non-inferior to Efavirenz/Emtricitabine/Tenofovir Disoproxil Fumarate in Treatment-naive Adults With Human Immunodeficiency Virus–1 Infection","volume":"68","author":[{"family":"Orkin","given":"Chloe"},{"family":"Squires","given":"Kathleen E"},{"family":"Molina","given":"Jean-Michel"},{"family":"Sax","given":"Paul E"},{"family":"Wong","given":"Wing-Wai"},{"family":"Sussmann","given":"Otto"},{"family":"Kaplan","given":"Richard"},{"family":"Lupinacci","given":"Lisa"},{"family":"Rodgers","given":"Anthony"},{"family":"Xu","given":"Xia"},{"family":"Lin","given":"Gina"},{"family":"Kumar","given":"Sushma"},{"family":"Sklar","given":"Peter"},{"family":"Nguyen","given":"Bach-Yen"},{"family":"Hanna","given":"George J"},{"family":"Hwang","given":"Carey"},{"family":"Martin","given":"Elizabeth A"},{"literal":"DRIVE-AHEAD Study Group"}],"issued":{"date-parts":[["2019",2,1]]}}},{"id":157,"uris":["http://zotero.org/users/19404620/items/DYQDMGPS"],"itemData":{"id":157,"type":"article-journal","container-title":"The Lancet HIV","DOI":"10.1016/S2352-3018(19)30336-4","ISSN":"2352-3018","issue":"1","journalAbbreviation":"The Lancet HIV","language":"English","page":"e16-e26","PMID":"31740348","publisher":"Elsevier","source":"www.thelancet.com","title":"Doravirine versus ritonavir-boosted darunavir in antiretroviral-naive adults with HIV-1 (DRIVE-FORWARD): 96-week results of a randomised, double-blind, non-inferiority, phase 3 trial","title-short":"Doravirine versus ritonavir-boosted darunavir in antiretroviral-naive adults with HIV-1 (DRIVE-FORWARD)","volume":"7","author":[{"family":"Molina","given":"Jean-Michel"},{"family":"Squires","given":"Kathleen"},{"family":"Sax","given":"Paul E."},{"family":"Cahn","given":"Pedro"},{"family":"Lombaard","given":"Johan"},{"family":"DeJesus","given":"Edwin"},{"family":"Lai","given":"Ming-Tain"},{"family":"Rodgers","given":"Anthony"},{"family":"Lupinacci","given":"Lisa"},{"family":"Kumar","given":"Sushma"},{"family":"Sklar","given":"Peter"},{"family":"Hanna","given":"George J."},{"family":"Hwang","given":"Carey"},{"family":"Martin","given":"Elizabeth Anne"},{"family":"Hagins","given":"Debbie P."},{"family":"Osiyemi","given":"Olayemi O."},{"family":"Prelutsky","given":"David James"},{"family":"Ramgopal","given":"Moti N."},{"family":"Scarsella","given":"Anthony John"},{"family":"Dretler","given":"Robin"},{"family":"DeJesus","given":"Edwin"},{"family":"Bettacchi","given":"Christopher J."},{"family":"Sims","given":"James"},{"family":"Clay","given":"Patrick G."},{"family":"Bellos","given":"Nicholaos C."},{"family":"Thompson","given":"Melanie A."},{"family":"Montero","given":"Jose"},{"family":"McDonald","given":"Cheryl K."},{"family":"Creticos","given":"Catherine"},{"family":"Shamblaw","given":"David"},{"family":"Mogyoros","given":"Miguel"},{"family":"Terrelonge","given":"Antonio E."},{"family":"Valdes","given":"Martin"},{"family":"Tashima","given":"Karen T."},{"family":"Robbins","given":"William J."},{"family":"Felizarta","given":"Franco Antonio"},{"family":"Elion","given":"Richard A."},{"family":"Slim","given":"Jihad"},{"family":"Win","given":"Sandra S."},{"family":"Lalla-Reddy","given":"Sujata N."},{"family":"Ruane","given":"Peter Jerome"},{"family":"Mills","given":"Anthony"},{"family":"Cade","given":"Jerry L."},{"family":"Dietz","given":"Craig A."},{"family":"Rubin","given":"David Scott"},{"family":"Mayer","given":"Cynthia"},{"family":"Rondon","given":"Juan Carlos"},{"family":"Cook","given":"Paul P."},{"family":"Daar","given":"Eric"},{"family":"Kumar","given":"Princy N."},{"family":"Swindells","given":"Susan"},{"family":"Castro","given":"Jose Guillermo"},{"family":"Melendez-Rivera","given":"Ivan"},{"family":"Morales-Ramirez","given":"Javier O."},{"family":"Santiago","given":"Lizette"},{"family":"Santana-Bagur","given":"Jorge L."},{"family":"Martins","given":"Marcelo"},{"family":"Cahn","given":"Pedro Enrique"},{"family":"Lopardo","given":"Gustavo D."},{"family":"Porteiro","given":"Norma"},{"family":"Bloch","given":"Mark Theo"},{"family":"Baker","given":"David Alfred"},{"family":"Roth","given":"Norman"},{"family":"Moore","given":"Richard James"},{"family":"Finlayson","given":"Robert James"},{"family":"McMahon","given":"James"},{"family":"Rieger","given":"Armin"},{"family":"Zoufaly","given":"Alexander"},{"family":"Hartl","given":"Sylvia"},{"family":"Zangerle","given":"Robert"},{"family":"Smaill","given":"Fiona"},{"family":"Walmsley","given":"Sharon L."},{"family":"Conway","given":"Brian"},{"family":"Rachlis","given":"Anita"},{"family":"Smith","given":"Graham H. R."},{"family":"Perez","given":"Carlos"},{"family":"Afani","given":"Alejandro"},{"family":"Campos","given":"Maria Isabel"},{"family":"Chahin","given":"Carolina Eugenia"},{"family":"Reyes","given":"Marcelo Wolff"},{"family":"Gerstoft","given":"Jan"},{"family":"Weis","given":"Nina"},{"family":"Laursen","given":"Alex Lund"},{"family":"Molina","given":"Jean-Michel"},{"family":"Yazdanpanah","given":"Yazdan"},{"family":"Cotte","given":"Laurent"},{"family":"Raffi","given":"Francois"},{"family":"Morlat","given":"Philippe"},{"family":"Girard","given":"Pierre-Marie"},{"family":"Katlama","given":"Christine"},{"family":"Rockstroh","given":"Juergen K."},{"family":"Arasteh","given":"Keikawus"},{"family":"Esser","given":"Stefan"},{"family":"Stoehr","given":"Albrecht"},{"family":"Stellbrink","given":"Hans-Juergen"},{"family":"Stoll","given":"Matthias"},{"family":"Schuermann","given":"Dirk"},{"family":"Faetkenheuer","given":"Gerd"},{"family":"Bogner","given":"Johannes"},{"family":"Lutz","given":"Thomas"},{"family":"Baumgarten","given":"Axel"},{"family":"Jaeger","given":"Hans"},{"family":"Gori","given":"Andrea"},{"family":"Coltan","given":"Gabriel"},{"family":"Constandis","given":"Felicia"},{"family":"Erscoiu","given":"Simona Manuela"},{"family":"Prisacariu","given":"Liviu-Jany"},{"family":"Rugina","given":"Sorin"},{"family":"Streinu-Cercel","given":"Adrian"},{"family":"Pokrovsky","given":"Vadim Valentinovich"},{"family":"Zakharova","given":"Natalia V."},{"family":"Shuldyakov","given":"Andrey Anatolyevich"},{"family":"Ryamova","given":"Elena Pavlovna"},{"family":"Kulagin","given":"Valeriy Viktorovich"},{"family":"Tsybakova","given":"Olga Aleksandrovna"},{"family":"Orlova-Morozova","given":"Elena"},{"family":"Nagimova","given":"Firaya"},{"family":"Voronin","given":"Evgeniy"},{"family":"Shimonova","given":"Tatyana Evgenyevna"},{"family":"Kozyrev","given":"Oleg Anatolyevich"},{"family":"Orrell","given":"Catherine"},{"family":"Lombaard","given":"Johannes Jurgens"},{"family":"Jager","given":"Marleen","dropping-particle":"de"},{"family":"Segorb","given":"Joaquin Portilla"},{"family":"Mallolas","given":"Josep"},{"family":"Elias","given":"Maria Jesus Perez"},{"family":"Gatell","given":"Josep M."},{"family":"Lopez","given":"Jose Ramon Arribas"},{"family":"Puigmal","given":"Eugenia Negredo"},{"family":"Palter","given":"Daniel Podzamczer"},{"family":"Ortega","given":"Federico Pulido"},{"family":"Garcia","given":"Jesus Troya"},{"family":"Gil","given":"Ignacio De los Santos"},{"family":"Berenguer","given":"Juan Berenguer"},{"family":"Williams","given":"Ian G."},{"family":"Johnson","given":"Margaret A."},{"family":"Schembri","given":"Gabriel"},{"family":"Clarke","given":"Amanda"},{"family":"Gompels","given":"Mark"},{"family":"Fox","given":"Julie Meriel"},{"family":"Taylor","given":"Steven John"},{"family":"Dockrell","given":"David Harold"},{"family":"Kegg","given":"Stephen"}],"issued":{"date-parts":[["2020",1,1]]}}},{"id":146,"uris":["http://zotero.org/users/19404620/items/8R94I2S6"],"itemData":{"id":146,"type":"article-journal","abstract":"Doravirine (DOR) is a nonnucleoside reverse-transcriptase inhibitor. In the phase 3 DRIVE-AHEAD trial in treatment-naive adults with human immunodeficiency virus type 1 (HIV-1) infection, DOR demonstrated noninferior efficacy compared with efavirenz (EFV) and superior profiles for neuropsychiatric tolerability and lipids at 48 weeks. We present data through week 96.DRIVE-AHEAD is a phase 3, multicenter, double-blind, noninferiority trial in antiretroviral treatment-naive adults with HIV-1 RNA ≥1000 copies/mL. Participants were randomized to a daily fixed-dose tablet of DOR (100 mg), lamivudine (3TC; 300 mg) and tenofovir disoproxil fumarate (TDF; 300 mg) (DOR/3TC/TDF) or EFV (600 mg), emtricitabine (FTC; 200 mg) and TDF (300 mg) (EFV/FTC/TDF). The efficacy end point of interest at week 96 was the proportion of participants with HIV-1 RNA levels &amp;lt;50 copies/mL (Food and Drug Administration Snapshot Approach) with a predefined noninferiority margin of 10% to support week 48 results. Safety end points of interest included prespecified neuropsychiatric adverse events and the mean change in fasting lipids at week 96.Of 734 participants randomized, 728 received study drugs and were included in analyses. At week 96, HIV-1 RNA &amp;lt;50 copies/mL was achieved by 77.5% of DOR/3TC/TDF vs 73.6% of EFV/FTC/TDF participants, with a treatment difference of 3.8% (95% confidence interval, –2.4% to 10%). Virologic failure rates were low and similar across treatment arms, with no additional resistance to DOR observed between weeks 48 and 96. Prespecified neuropsychiatric adverse events and rash were less frequent in DOR/3TC/TDF than in EFV/FTC/TDF participants through week 96. At week 96, fasting low-density lipoprotein cholesterol and non–high-density lipoprotein cholesterol (HDL-C) levels increased in the EFV/FTC/TDF group but not in the DOR/3TC/TDF group; the mean changes from baseline in total cholesterol/HDL-C ratio were similar.NCT02403674.","container-title":"Clinical Infectious Diseases","DOI":"10.1093/cid/ciaa822","ISSN":"1058-4838","issue":"1","journalAbbreviation":"Clin Infect Dis","page":"33-42","source":"Silverchair","title":"Doravirine/Lamivudine/Tenofovir Disoproxil Fumarate (TDF) Versus Efavirenz/Emtricitabine/TDF in Treatment-naive Adults With Human Immunodeficiency Virus Type 1 Infection: Week 96 Results of the Randomized, Double-blind, Phase 3 DRIVE-AHEAD Noninferiority Trial","title-short":"Doravirine/Lamivudine/Tenofovir Disoproxil Fumarate (TDF) Versus Efavirenz/Emtricitabine/TDF in Treatment-naive Adults With Human Immunodeficiency Virus Type 1 Infection","volume":"73","author":[{"family":"Orkin","given":"Chloe"},{"family":"Squires","given":"Kathleen E"},{"family":"Molina","given":"Jean-Michel"},{"family":"Sax","given":"Paul E"},{"family":"Sussmann","given":"Otto"},{"family":"Lin","given":"Gina"},{"family":"Kumar","given":"Sushma"},{"family":"Hanna","given":"George J"},{"family":"Hwang","given":"Carey"},{"family":"Martin","given":"Elizabeth"},{"family":"Teppler","given":"Hedy"}],"issued":{"date-parts":[["2021",7,1]]}}},{"id":119,"uris":["http://zotero.org/users/19404620/items/TL7N5CXL"],"itemData":{"id":119,"type":"article-journal","container-title":"The Lancet HIV","DOI":"10.1016/S2352-3018(23)00258-8","ISSN":"2352-3018","issue":"2","journalAbbreviation":"The Lancet HIV","language":"English","page":"e75-e85","PMID":"38141637","publisher":"Elsevier","source":"www.thelancet.com","title":"Safety and efficacy of doravirine as first-line therapy in adults with HIV-1: week 192 results from the open-label extensions of the DRIVE-FORWARD and DRIVE-AHEAD phase 3 trials","title-short":"Safety and efficacy of doravirine as first-line therapy in adults with HIV-1","volume":"11","author":[{"family":"Orkin","given":"Chloe"},{"family":"Molina","given":"Jean-Michel"},{"family":"Cahn","given":"Pedro"},{"family":"Lombaard","given":"Johannes"},{"family":"Supparatpinyo","given":"Khuanchai"},{"family":"Kumar","given":"Sushma"},{"family":"Campbell","given":"Havilland"},{"family":"Wan","given":"Hong"},{"family":"Teal","given":"Valerie"},{"family":"Xu","given":"Zhi Jin"},{"family":"Asante-Appiah","given":"Ernest"},{"family":"Sklar","given":"Peter"},{"family":"Teppler","given":"Hedy"},{"family":"Lahoulou","given":"Rima"},{"family":"Martins","given":"Marcelo D."},{"family":"Cahn","given":"Pedro E."},{"family":"Lopardo","given":"Gustavo D."},{"family":"Porteiro","given":"Norma"},{"family":"Bloch","given":"Mark Theo"},{"family":"Baker","given":"David Alfred"},{"family":"Roth","given":"Norman"},{"family":"Moore","given":"Richard J."},{"family":"Finlayson","given":"Robert James"},{"family":"McMahon","given":"James"},{"family":"Rieger","given":"Armin"},{"family":"Zoufaly","given":"Alexander"},{"family":"Schmied","given":"Brigitte"},{"family":"Hartl","given":"Sylvia"},{"family":"Zangerle","given":"Robert"},{"family":"Smaill","given":"Fiona"},{"family":"Walmsley","given":"Sharon L."},{"family":"Conway","given":"Brian"},{"family":"Rachlis","given":"Anita"},{"family":"Smith","given":"Graham H. R."},{"family":"Cortes","given":"Carlos Perez"},{"family":"Afani","given":"Alejandro"},{"family":"Barker","given":"Maria Isabel E. Campos"},{"family":"Anania","given":"Carolina Eugenia Chahin"},{"family":"Reyes","given":"Marcelo J. Wolff"},{"family":"Gerstoft","given":"Jan"},{"family":"Weis","given":"Nina"},{"family":"Laursen","given":"Alex Lund"},{"family":"Molina","given":"Jean-Michel"},{"family":"Yazdanpanah","given":"Yazdan"},{"family":"Cotte","given":"Laurent"},{"family":"Raffi","given":"Francois"},{"family":"Slama","given":"Laurence"},{"family":"Morlat","given":"Philippe"},{"family":"Girard","given":"Pierre-Marie"},{"family":"Katlama","given":"Christine"},{"family":"Rockstroh","given":"Juergen K."},{"family":"Arasteh","given":"Keikawus"},{"family":"Esser","given":"Stefan"},{"family":"Stoehr","given":"Albrecht"},{"family":"Stellbrink","given":"Hans-Juergen"},{"family":"Stoll","given":"Matthias"},{"family":"Schuermann","given":"Dirk"},{"family":"Faetkenheuer","given":"Gerd"},{"family":"Bogner","given":"Johannes Richard"},{"family":"Lutz","given":"Thomas"},{"family":"Baumgarten","given":"Axel"},{"family":"Jaeger","given":"Hans"},{"family":"Wiese","given":"Carmen"},{"family":"Gori","given":"Andrea"},{"family":"Migliorino","given":"Guglielmo Marco"},{"family":"Coltan","given":"Gabriel"},{"family":"Constandis","given":"Felicia"},{"family":"Erscoiu","given":"Simona M."},{"family":"Prisacariu","given":"Liviu-Jany"},{"family":"Rugina","given":"Sorin"},{"family":"Streinu-Cercel","given":"Adrian"},{"family":"Pokrovsky","given":"Vadim V."},{"family":"Zakharova","given":"Natalia"},{"family":"Shuldyakov","given":"Andrey Anatolyevich"},{"family":"Ryamova","given":"Elena Pavlovna"},{"family":"Kulagin","given":"Valeriy Viktorovich"},{"family":"Tsybakova","given":"Olga Aleksandrovna"},{"family":"Orlova-Morozova","given":"Elena"},{"family":"Nagimova","given":"Firaya"},{"family":"Voronin","given":"Evgeniy"},{"family":"Shimonova","given":"Tatiana Evgenyevna"},{"family":"Kozyrev","given":"Oleg Anatolyevich"},{"family":"Orrell","given":"Catherine"},{"family":"Lombaard","given":"Johannes Jurgens"},{"family":"Botes","given":"Margaretha Elizabeth"},{"family":"Jager","given":"Marleen","dropping-particle":"de"},{"family":"Segorb","given":"Joaquin Portilla"},{"family":"Artigas","given":"Josep Maria Gatell"},{"family":"Masferrer","given":"Josep Mallolas"},{"family":"Guillen","given":"Santiago Moreno"},{"family":"Elias","given":"Maria Jesus Perez"},{"family":"Lopez","given":"Jose R. Arribas"},{"family":"Puigmal","given":"Eugenia Negredo"},{"family":"Palter","given":"Daniel Podzamczer"},{"family":"Ortega","given":"Frederico Pulido"},{"family":"Garcia","given":"Jesus Troya"},{"family":"Gil","given":"Ignacio de los Santos"},{"family":"Berenguer","given":"Juan"},{"family":"Nelson","given":"Mark Richard"},{"family":"Williams","given":"Ian G."},{"family":"Johnson","given":"Margaret A."},{"family":"Khoo","given":"Saye"},{"family":"Schembri","given":"Gabriel"},{"family":"Clarke","given":"Amanda"},{"family":"Gompels","given":"Mark"},{"family":"Fox","given":"Julie Meriel"},{"family":"Lwanga","given":"Julianne"},{"family":"Taylor","given":"Steven John"},{"family":"Dockrell","given":"David Harold"},{"family":"Kegg","given":"Stephen"},{"family":"Hagins","given":"Debbie P."},{"family":"Osiyemi","given":"Olayemi O."},{"family":"Prelutsky","given":"David James"},{"family":"Ramgopal","given":"Moti N."},{"family":"Scarsella","given":"Anthony J."},{"family":"Dretler","given":"Robin"},{"family":"DeJesus","given":"Edwin"},{"family":"Bettacchi","given":"Christopher J."},{"family":"Iii","given":"James Sims"},{"family":"Clay","given":"Patrick G."},{"family":"Bellos","given":"Nicholaos C."},{"family":"Thompson","given":"Melanie A."},{"family":"Montero","given":"Jose"},{"family":"McDonald","given":"Cheryl K."},{"family":"Creticos","given":"Catherine"},{"family":"Shamblaw","given":"David"},{"family":"Terrelonge","given":"Antonio E."},{"family":"Valdes","given":"Martin"},{"family":"Tashima","given":"Karen T."},{"family":"Robbins","given":"William J."},{"family":"Elion","given":"Richard A."},{"family":"Goldstein","given":"Deborah"},{"family":"Slim","given":"Jihad"},{"family":"Lalezari","given":"Jacob Paul"},{"family":"Pushkin","given":"Richard"},{"family":"Lalla-Reddy","given":"Sujata N."},{"family":"Win","given":"Sanda S."},{"family":"Ruane","given":"Peter Jerome"},{"family":"Mills","given":"Anthony Martin"},{"family":"Cade","given":"Jerry L."},{"family":"Campo","given":"Rafael"},{"family":"Dietz","given":"Craig A."},{"family":"Hoffman-Terry","given":"Margaret"},{"family":"Blick","given":"Gary"},{"family":"Rubin","given":"David Scott"},{"family":"Mayer","given":"Cynthia"},{"family":"Rondon","given":"Juan Carlos"},{"family":"Cook","given":"Paul P."},{"family":"Daar","given":"Eric"},{"family":"Kumar","given":"Princy N."},{"family":"Swindells","given":"Susan"},{"family":"Castro","given":"Jose Guillermo"},{"family":"Morales-Ramirez","given":"Javier O."},{"family":"Santiago","given":"Lizette"},{"family":"Santana-Bagur","given":"Jorge L."},{"family":"Vandekerckhove","given":"Linos"},{"family":"Florence","given":"Eric"},{"family":"Wit","given":"Stephane De"},{"family":"Derdelinckx","given":"Inge"},{"family":"Vandercam","given":"Bernard"},{"family":"Belkhir","given":"Leila"},{"family":"Wet","given":"Joseph De"},{"family":"Lebouche","given":"Bertrand"},{"family":"Trottier","given":"Benoit"},{"family":"Longpre","given":"Daniele"},{"family":"Szabo","given":"Jason"},{"family":"LeBlanc","given":"Roger P."},{"family":"Jensen","given":"Werner"},{"family":"Gonzalez","given":"Alvaro Rojas"},{"family":"Beltran","given":"Carlos"},{"family":"Sussmann","given":"Otto Alberto"},{"family":"Velez","given":"Juan Diego"},{"family":"Onate","given":"Jose Millan"},{"family":"Nielsen","given":"Henrik"},{"family":"Degen","given":"Olaf"},{"family":"Stephan","given":"Christoph"},{"family":"Arathoon","given":"Eduardo"},{"family":"Lopez","given":"Rudy Manuel"},{"family":"Alvarado","given":"Evelyn Michelle Rojas"},{"family":"Patzan","given":"Luis Demetrio Gonzalez"},{"family":"Meija","given":"Carlos R."},{"family":"Pinzon","given":"Rodolfo"},{"family":"Parchment","given":"Charles"},{"family":"Sthoeger","given":"Zev"},{"family":"Chowers","given":"Michal"},{"family":"Riesenberg","given":"Klaris"},{"family":"Shahar","given":"Eduardo"},{"family":"Levy","given":"Itzchak"},{"family":"Perez","given":"Nora Patricia Quintero"},{"family":"Andrade-Villanueva","given":"Jaime Federico"},{"family":"Ramirez","given":"Brenda Eloisa Crabtree"},{"family":"Rijnders","given":"Bart"},{"family":"Hollander","given":"Jan G.","dropping-particle":"den"},{"family":"Handy","given":"Rupert"},{"family":"Morales","given":"Nilo Bonifacio"},{"family":"Hidalgo","given":"Jose Alfredo"},{"family":"Infante","given":"Rosa Mercedes"},{"family":"Prado","given":"Eduardo Demetrio Matos"},{"family":"Campos","given":"Pablo E."},{"family":"Chaves","given":"Eduardo Romulo Ticona"},{"family":"Pinedo","given":"Yvett"},{"family":"Pacheco","given":"Patricia"},{"family":"Maltez","given":"Fernando Manuel"},{"family":"Cunha","given":"Jose"},{"family":"Neves","given":"Isabel"},{"family":"Serrao","given":"Rosario"},{"family":"Melendez-Rivera","given":"Ivan"},{"family":"Mendoza-Rodriguez","given":"Rafael O."},{"family":"Maldonado-Rivera","given":"Sandra"},{"family":"Ortiz-Lasanta","given":"Grisell"},{"family":"Kizhlo","given":"Svetlana"},{"family":"Freud","given":"Hernando Knobel"},{"family":"Moreno","given":"Jose Sanz"},{"family":"Mendez","given":"Francisco Vera"},{"family":"Mohapi","given":"Lerato"},{"family":"Mitha","given":"Essack Aziz"},{"family":"Mahomed","given":"Akbar Anvar"},{"family":"Fouche","given":"Leon Frederik"},{"family":"Kaplan","given":"Richard"},{"family":"Siddique","given":"Naeem"},{"family":"Hoosen","given":"Farzana"},{"family":"Rassool","given":"Mohammed Siddique"},{"family":"Baraldi","given":"Ezio"},{"family":"Calmy","given":"Alexandra"},{"family":"Cavassini","given":"Matthias"},{"family":"Fehr","given":"Jan"},{"family":"Tsai","given":"Hung-Chin"},{"family":"Lin","given":"Hsi-Hsun"},{"family":"Huang","given":"Chun-Kai"},{"family":"Ko","given":"Wen-Chien"},{"family":"Lin","given":"Yu-Hui"},{"family":"Chen","given":"Su-Jung"},{"family":"Hung","given":"Chien-Ching"},{"family":"Avihingsanon","given":"Anchalee"},{"family":"Kiertiburanakul","given":"Sasisopin"},{"family":"Ratanasuwan","given":"Winai"},{"family":"Supparatpinyo","given":"Khuanchai"},{"family":"Chetchotisakd","given":"Ploenchan"},{"family":"Changpradub","given":"Dhitiwat"},{"family":"Orkin","given":"Chloe"},{"family":"Fox","given":"Ashini"},{"family":"Winston","given":"Alan"},{"family":"Ustianowski","given":"Andrew"},{"family":"Yangco","given":"Bienvenido G."},{"family":"Asmuth","given":"David Michael"},{"family":"Vigil","given":"Karen J."},{"family":"Berger","given":"Daniel S."},{"family":"Bhatti","given":"Laveeza"},{"family":"Campbell","given":"Thomas"},{"family":"Casey","given":"Kathleen K."},{"family":"Liu","given":"Edward"},{"family":"Crofoot","given":"Gordon E."},{"family":"Cunningham","given":"Douglas"},{"family":"Feinberg","given":"Judith"},{"family":"Fichtenbaum","given":"Carl"},{"family":"Felizarta","given":"Franco Antonio Balamban"},{"family":"Jefferson","given":"Thomas T."},{"family":"Johnson","given":"Marc Alexander"},{"family":"Lewis","given":"Stanley T."},{"family":"Luque","given":"Amneris E."},{"family":"Novak","given":"Richard M."},{"family":"Sloan","given":"Louis"},{"family":"Sweet","given":"Donna E."},{"family":"Towner","given":"William J."},{"family":"Zane","given":"Ryan"},{"family":"Riedel","given":"David J."},{"family":"Loftus","given":"Richard Anton"},{"family":"Shon","given":"Alyssa So Young"},{"family":"Mogyoros","given":"Miguel"},{"family":"Tebas","given":"Pablo"},{"family":"Scott","given":"Mia Louise"},{"family":"Parenti","given":"David M."},{"family":"Portillo","given":"Alexy Inciarte"}],"issued":{"date-parts":[["2024",2,1]]}}}],"schema":"https://github.com/citation-style-language/schema/raw/master/csl-citation.json"} </w:instrText>
      </w:r>
      <w:r w:rsidR="0032366C">
        <w:rPr>
          <w:rFonts w:ascii="Times New Roman" w:hAnsi="Times New Roman" w:cs="Times New Roman"/>
          <w:szCs w:val="24"/>
        </w:rPr>
        <w:fldChar w:fldCharType="separate"/>
      </w:r>
      <w:r w:rsidR="00E341D2" w:rsidRPr="00E341D2">
        <w:rPr>
          <w:rFonts w:ascii="Times New Roman" w:eastAsiaTheme="minorHAnsi" w:hAnsi="Times New Roman" w:cs="Times New Roman"/>
          <w:szCs w:val="24"/>
          <w:vertAlign w:val="superscript"/>
        </w:rPr>
        <w:t>2–6</w:t>
      </w:r>
      <w:r w:rsidR="0032366C">
        <w:rPr>
          <w:rFonts w:ascii="Times New Roman" w:hAnsi="Times New Roman" w:cs="Times New Roman"/>
          <w:szCs w:val="24"/>
        </w:rPr>
        <w:fldChar w:fldCharType="end"/>
      </w:r>
      <w:r w:rsidR="0032366C">
        <w:rPr>
          <w:rFonts w:ascii="Times New Roman" w:hAnsi="Times New Roman" w:cs="Times New Roman"/>
          <w:szCs w:val="24"/>
        </w:rPr>
        <w:t xml:space="preserve"> and</w:t>
      </w:r>
      <w:r w:rsidR="00020DEC">
        <w:rPr>
          <w:rFonts w:ascii="Times New Roman" w:hAnsi="Times New Roman" w:cs="Times New Roman"/>
          <w:szCs w:val="24"/>
        </w:rPr>
        <w:t>,</w:t>
      </w:r>
      <w:r w:rsidR="0032366C">
        <w:rPr>
          <w:rFonts w:ascii="Times New Roman" w:hAnsi="Times New Roman" w:cs="Times New Roman"/>
          <w:szCs w:val="24"/>
        </w:rPr>
        <w:t xml:space="preserve"> more recently</w:t>
      </w:r>
      <w:r w:rsidR="00020DEC">
        <w:rPr>
          <w:rFonts w:ascii="Times New Roman" w:hAnsi="Times New Roman" w:cs="Times New Roman"/>
          <w:szCs w:val="24"/>
        </w:rPr>
        <w:t>,</w:t>
      </w:r>
      <w:r w:rsidR="0032366C">
        <w:rPr>
          <w:rFonts w:ascii="Times New Roman" w:hAnsi="Times New Roman" w:cs="Times New Roman"/>
          <w:szCs w:val="24"/>
        </w:rPr>
        <w:t xml:space="preserve"> in real-world </w:t>
      </w:r>
      <w:r w:rsidR="00E21BA6">
        <w:rPr>
          <w:rFonts w:ascii="Times New Roman" w:hAnsi="Times New Roman" w:cs="Times New Roman"/>
          <w:szCs w:val="24"/>
        </w:rPr>
        <w:t>studies.</w:t>
      </w:r>
      <w:r w:rsidR="00546651">
        <w:rPr>
          <w:rFonts w:ascii="Times New Roman" w:hAnsi="Times New Roman" w:cs="Times New Roman"/>
          <w:szCs w:val="24"/>
        </w:rPr>
        <w:fldChar w:fldCharType="begin"/>
      </w:r>
      <w:r w:rsidR="00E341D2">
        <w:rPr>
          <w:rFonts w:ascii="Times New Roman" w:hAnsi="Times New Roman" w:cs="Times New Roman"/>
          <w:szCs w:val="24"/>
        </w:rPr>
        <w:instrText xml:space="preserve"> ADDIN ZOTERO_ITEM CSL_CITATION {"citationID":"7Y12b18n","properties":{"unsorted":false,"formattedCitation":"\\super 7\\nosupersub{}","plainCitation":"7","noteIndex":0},"citationItems":[{"id":152,"uris":["http://zotero.org/users/19404620/items/HAG665NM"],"itemData":{"id":152,"type":"article-journal","container-title":"Microbiology Spectrum","DOI":"10.1128/spectrum.00654-24","issue":"8","page":"e00654-24","publisher":"American Society for Microbiology","source":"journals-asm-org.stanford.idm.oclc.org (Atypon)","title":"Long-term effectiveness, safety, and tolerability of doravirine in antiretroviral-experienced people with HIV in real life","volume":"12","author":[{"family":"Mejías-Trueba","given":"Marta"},{"family":"Gutierrez-Valencia","given":"Alicia"},{"family":"Llaves-Flores","given":"Silvia"},{"family":"Roca-Oporto","given":"Cristina"},{"family":"Herrero","given":"Marta"},{"family":"Sotomayor de la Piedra","given":"César"},{"family":"Lopez-Cortes","given":"Luis F."},{"family":"Espinosa","given":"Nuria"}],"issued":{"date-parts":[["2024",6,25]]}}}],"schema":"https://github.com/citation-style-language/schema/raw/master/csl-citation.json"} </w:instrText>
      </w:r>
      <w:r w:rsidR="00546651">
        <w:rPr>
          <w:rFonts w:ascii="Times New Roman" w:hAnsi="Times New Roman" w:cs="Times New Roman"/>
          <w:szCs w:val="24"/>
        </w:rPr>
        <w:fldChar w:fldCharType="separate"/>
      </w:r>
      <w:r w:rsidR="00E341D2" w:rsidRPr="00E341D2">
        <w:rPr>
          <w:rFonts w:ascii="Times New Roman" w:eastAsiaTheme="minorHAnsi" w:hAnsi="Times New Roman" w:cs="Times New Roman"/>
          <w:szCs w:val="24"/>
          <w:vertAlign w:val="superscript"/>
        </w:rPr>
        <w:t>7</w:t>
      </w:r>
      <w:r w:rsidR="00546651">
        <w:rPr>
          <w:rFonts w:ascii="Times New Roman" w:hAnsi="Times New Roman" w:cs="Times New Roman"/>
          <w:szCs w:val="24"/>
        </w:rPr>
        <w:fldChar w:fldCharType="end"/>
      </w:r>
      <w:r w:rsidR="00546651">
        <w:rPr>
          <w:rFonts w:ascii="Times New Roman" w:hAnsi="Times New Roman" w:cs="Times New Roman"/>
          <w:szCs w:val="24"/>
        </w:rPr>
        <w:t xml:space="preserve"> </w:t>
      </w:r>
      <w:r w:rsidR="00FE1776">
        <w:rPr>
          <w:rFonts w:ascii="Times New Roman" w:hAnsi="Times New Roman" w:cs="Times New Roman"/>
          <w:szCs w:val="24"/>
        </w:rPr>
        <w:t>DOR</w:t>
      </w:r>
      <w:r w:rsidR="00FF129F">
        <w:rPr>
          <w:rFonts w:ascii="Times New Roman" w:hAnsi="Times New Roman" w:cs="Times New Roman"/>
          <w:szCs w:val="24"/>
        </w:rPr>
        <w:t xml:space="preserve"> belongs to the class of Non-Nucleo</w:t>
      </w:r>
      <w:r w:rsidR="00865EB5">
        <w:rPr>
          <w:rFonts w:ascii="Times New Roman" w:hAnsi="Times New Roman" w:cs="Times New Roman"/>
          <w:szCs w:val="24"/>
        </w:rPr>
        <w:t>s</w:t>
      </w:r>
      <w:r w:rsidR="00FF129F">
        <w:rPr>
          <w:rFonts w:ascii="Times New Roman" w:hAnsi="Times New Roman" w:cs="Times New Roman"/>
          <w:szCs w:val="24"/>
        </w:rPr>
        <w:t>ide Reverse Transcriptase Inhibitors (NNRTI</w:t>
      </w:r>
      <w:r w:rsidR="00CC4B34">
        <w:rPr>
          <w:rFonts w:ascii="Times New Roman" w:hAnsi="Times New Roman" w:cs="Times New Roman"/>
          <w:szCs w:val="24"/>
        </w:rPr>
        <w:t>s</w:t>
      </w:r>
      <w:r w:rsidR="00FF129F">
        <w:rPr>
          <w:rFonts w:ascii="Times New Roman" w:hAnsi="Times New Roman" w:cs="Times New Roman"/>
          <w:szCs w:val="24"/>
        </w:rPr>
        <w:t>) and</w:t>
      </w:r>
      <w:r w:rsidR="00FE1776">
        <w:rPr>
          <w:rFonts w:ascii="Times New Roman" w:hAnsi="Times New Roman" w:cs="Times New Roman"/>
          <w:szCs w:val="24"/>
        </w:rPr>
        <w:t xml:space="preserve"> </w:t>
      </w:r>
      <w:r w:rsidR="00FF129F">
        <w:rPr>
          <w:rFonts w:ascii="Times New Roman" w:hAnsi="Times New Roman" w:cs="Times New Roman"/>
          <w:szCs w:val="24"/>
        </w:rPr>
        <w:t xml:space="preserve">is commonly prescribed in combination with </w:t>
      </w:r>
      <w:r w:rsidR="00CC4B34">
        <w:rPr>
          <w:rFonts w:ascii="Times New Roman" w:hAnsi="Times New Roman" w:cs="Times New Roman"/>
          <w:szCs w:val="24"/>
        </w:rPr>
        <w:t>two Nucleo</w:t>
      </w:r>
      <w:r w:rsidR="00865EB5">
        <w:rPr>
          <w:rFonts w:ascii="Times New Roman" w:hAnsi="Times New Roman" w:cs="Times New Roman"/>
          <w:szCs w:val="24"/>
        </w:rPr>
        <w:t>s</w:t>
      </w:r>
      <w:r w:rsidR="00CC4B34">
        <w:rPr>
          <w:rFonts w:ascii="Times New Roman" w:hAnsi="Times New Roman" w:cs="Times New Roman"/>
          <w:szCs w:val="24"/>
        </w:rPr>
        <w:t>ide Reverse Transcriptase Inhibitors (NRTIs) – lamivudine (3TC) and tenofovir disoproxil fumarate (TDF).</w:t>
      </w:r>
      <w:r w:rsidR="00865EB5">
        <w:rPr>
          <w:rFonts w:ascii="Times New Roman" w:hAnsi="Times New Roman" w:cs="Times New Roman"/>
          <w:szCs w:val="24"/>
        </w:rPr>
        <w:fldChar w:fldCharType="begin"/>
      </w:r>
      <w:r w:rsidR="00865EB5">
        <w:rPr>
          <w:rFonts w:ascii="Times New Roman" w:hAnsi="Times New Roman" w:cs="Times New Roman"/>
          <w:szCs w:val="24"/>
        </w:rPr>
        <w:instrText xml:space="preserve"> ADDIN ZOTERO_ITEM CSL_CITATION {"citationID":"pbdq3MwJ","properties":{"unsorted":false,"formattedCitation":"\\super 8,9\\nosupersub{}","plainCitation":"8,9","noteIndex":0},"citationItems":[{"id":169,"uris":["http://zotero.org/users/19404620/items/S7WWFBWH"],"itemData":{"id":169,"type":"article-journal","abstract":"BackgroundDoravirine is a non-nucleoside reverse transcriptase inhibitor (NNRTI) showing high efficacy and tolerability in both naïve and experienced people living with HIV (PLWHIV) in randomized trials, but scarce data are available to date from the real-life experience.MethodsWe performed an observational, retrospective study of PLWHIV on suppressive antiretroviral therapy who switched to a daily single-tablet regimen containing doravirine 100 mg, lamivudine 300 mg, and tenofovir disoproxil fumarate 300 mg.ResultsAs a whole, 62 suppressed patients (51 men, median age, 51.7 years; median CD4 T+ lymphocyte count, 577 cells/mm3) were enrolled. After 12 months, 58 (93.5%) patients showed HIV RNA &lt;20 copies/mL and reasons for treatment failure were virological failure in one case, missing data in one case, and adverse events in two cases. At month 12, a significant decrease in median serum level of triglycerides (median change −61.2 mg/dL; p = .009) and total cholesterol (median change −38.4 mg/dL; p = .021) was reported, while a not significant median weight increase was registered (+0.55 kg).ConclusionsIn our study, simplification to a single-tablet regimen of doravirine/lamivudine/tenofovir disoproxil fumarate in virologically suppressed PLWHIV was effective and showed a good tolerability profile, in association with a significant improvement in serum lipid levels.","container-title":"International Journal of STD &amp; AIDS","DOI":"10.1177/09564624231195084","ISSN":"0956-4624","issue":"14","journalAbbreviation":"Int J STD AIDS","language":"EN","page":"1018-1023","publisher":"SAGE Publications","source":"SAGE Journals","title":"Doravirine/lamivudine/tenofovir disoproxil fumarate in virologically suppressed people living with HIV: A real-life experience","title-short":"Doravirine/lamivudine/tenofovir disoproxil fumarate in virologically suppressed people living with HIV","volume":"34","author":[{"family":"Calza","given":"Leonardo"},{"family":"Colangeli","given":"Vincenzo"},{"family":"Pensalfine","given":"Giulia"},{"family":"Appolloni","given":"Lucia"},{"family":"Vitale","given":"Salvatore"},{"family":"Bon","given":"Isabella"},{"family":"Viale","given":"Pierluigi"}],"issued":{"date-parts":[["2023",12,1]]}}},{"id":167,"uris":["http://zotero.org/users/19404620/items/TW4MGEKZ"],"itemData":{"id":167,"type":"article-journal","abstract":"Doravirine (DOR) has demonstrated good efficacy for the treatment of people with HIV (PWH); however, there is limited real-world research in developing countries. We retrospectively assessed the efficacy and safety of DOR/lamivudine (3TC)/tenofovir disoproxil fumarate (TDF) at 24 and 48 weeks in treatment-naïve and treatment-experienced PWH. A total of 83 PWH were included from January 1, 2022, to December 31, 2023. The median age was 40 years (32–54). Twenty-seven patients (32.5%) were treatment-naïve PWH, and 56 patients (67.5%) were treatment-experienced PWH, the most common switch was from integrase inhibitors (37/56) to DOR, followed by efavirenz (18/56) and nevirapine (1/56). In treatment-naïve PWH, the median CD4+ T-cell count was 222.9 ± 144.2 cells/mL at baseline, which increased to 337.8 ± 189.6 cells/μL at week 24 (p &lt; 0.001) and to 431.6 ± 259.9 cells/μL at week 48 (p &lt; 0.001). The overall VS rate was 76.9% (20/26) at week 24 and 93.3% (14/15) at week 48. Creatinine (Cr) significantly increased from baseline to week 48 (p = 0.013) but remained normal. There were no significant differences observed in BMI, glucose, estimated glomerular filtration rate (eGFR), liver enzymes, or plasma lipid levels between the baseline and follow-up data. In treatment-experienced PWH, there were no significant changes in the VS rate, CD4+ T-cell count, Cr, eGFR or liver enzymes between the baseline and follow-up data. However, compared to baseline, statistically significant reductions in plasma lipids were observed at week 24 and at week 48. There was also a significant decrease observed in BMI at week 48 compared with baseline. In addition, anxiety, depression and sleep disorders improved in those patients who switched regimens from efavirenz to DOR. We provide a short-term observational report of the efficacy and safety of DOR/3TC/TDF in routine clinical practice, further supporting its use in PWH.","container-title":"Annals of Medicine","DOI":"10.1080/07853890.2025.2564286","ISSN":"0785-3890","issue":"1","note":"_eprint: https://doi.org/10.1080/07853890.2025.2564286","page":"2564286","PMID":"41074542","publisher":"Taylor &amp; Francis","source":"Taylor and Francis+NEJM","title":"The efficacy and safety of doravirine/lamivudine/tenofovir disoproxil fumarate in treatment-naïve and treatment-experienced patients with HIV","volume":"57","author":[{"family":"Yang","given":"Honghong"},{"family":"Li","given":"Mei"},{"family":"Liu","given":"Qian"},{"family":"Zeng","given":"Qin"},{"family":"Yuan","given":"Jing"}],"issued":{"date-parts":[["2025",10,11]]}}}],"schema":"https://github.com/citation-style-language/schema/raw/master/csl-citation.json"} </w:instrText>
      </w:r>
      <w:r w:rsidR="00865EB5">
        <w:rPr>
          <w:rFonts w:ascii="Times New Roman" w:hAnsi="Times New Roman" w:cs="Times New Roman"/>
          <w:szCs w:val="24"/>
        </w:rPr>
        <w:fldChar w:fldCharType="separate"/>
      </w:r>
      <w:r w:rsidR="00865EB5" w:rsidRPr="00865EB5">
        <w:rPr>
          <w:rFonts w:ascii="Times New Roman" w:eastAsiaTheme="minorHAnsi" w:hAnsi="Times New Roman" w:cs="Times New Roman"/>
          <w:szCs w:val="24"/>
          <w:vertAlign w:val="superscript"/>
        </w:rPr>
        <w:t>8,9</w:t>
      </w:r>
      <w:r w:rsidR="00865EB5">
        <w:rPr>
          <w:rFonts w:ascii="Times New Roman" w:hAnsi="Times New Roman" w:cs="Times New Roman"/>
          <w:szCs w:val="24"/>
        </w:rPr>
        <w:fldChar w:fldCharType="end"/>
      </w:r>
      <w:r w:rsidR="00865EB5">
        <w:rPr>
          <w:rFonts w:ascii="Times New Roman" w:hAnsi="Times New Roman" w:cs="Times New Roman"/>
          <w:szCs w:val="24"/>
        </w:rPr>
        <w:t xml:space="preserve"> Recently, it has also been proven effective in combination with a novel Nucleoside Reverse Transcriptase Translocation Inhibitor (NRTTI), Islatravir.</w:t>
      </w:r>
      <w:r w:rsidR="003A1CB7">
        <w:rPr>
          <w:rFonts w:ascii="Times New Roman" w:hAnsi="Times New Roman" w:cs="Times New Roman"/>
          <w:szCs w:val="24"/>
        </w:rPr>
        <w:fldChar w:fldCharType="begin"/>
      </w:r>
      <w:r w:rsidR="003A1CB7">
        <w:rPr>
          <w:rFonts w:ascii="Times New Roman" w:hAnsi="Times New Roman" w:cs="Times New Roman"/>
          <w:szCs w:val="24"/>
        </w:rPr>
        <w:instrText xml:space="preserve"> ADDIN ZOTERO_ITEM CSL_CITATION {"citationID":"tgwROiXX","properties":{"unsorted":false,"formattedCitation":"\\super 10\\nosupersub{}","plainCitation":"10","noteIndex":0},"citationItems":[{"id":122,"uris":["http://zotero.org/users/19404620/items/E6HYR2P5"],"itemData":{"id":122,"type":"article-journal","container-title":"The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003A1CB7">
        <w:rPr>
          <w:rFonts w:ascii="Times New Roman" w:hAnsi="Times New Roman" w:cs="Times New Roman"/>
          <w:szCs w:val="24"/>
        </w:rPr>
        <w:fldChar w:fldCharType="separate"/>
      </w:r>
      <w:r w:rsidR="003A1CB7" w:rsidRPr="003A1CB7">
        <w:rPr>
          <w:rFonts w:ascii="Times New Roman" w:eastAsiaTheme="minorHAnsi" w:hAnsi="Times New Roman" w:cs="Times New Roman"/>
          <w:szCs w:val="24"/>
          <w:vertAlign w:val="superscript"/>
        </w:rPr>
        <w:t>10</w:t>
      </w:r>
      <w:r w:rsidR="003A1CB7">
        <w:rPr>
          <w:rFonts w:ascii="Times New Roman" w:hAnsi="Times New Roman" w:cs="Times New Roman"/>
          <w:szCs w:val="24"/>
        </w:rPr>
        <w:fldChar w:fldCharType="end"/>
      </w:r>
    </w:p>
    <w:p w14:paraId="4992AB1A" w14:textId="7231CDAE" w:rsidR="002B5128" w:rsidRPr="00536017" w:rsidRDefault="00037D36" w:rsidP="00536017">
      <w:pPr>
        <w:spacing w:before="240" w:after="240"/>
        <w:rPr>
          <w:rFonts w:ascii="Times New Roman" w:hAnsi="Times New Roman" w:cs="Times New Roman"/>
          <w:szCs w:val="24"/>
        </w:rPr>
      </w:pPr>
      <w:r>
        <w:rPr>
          <w:rFonts w:ascii="Times New Roman" w:hAnsi="Times New Roman" w:cs="Times New Roman"/>
          <w:szCs w:val="24"/>
        </w:rPr>
        <w:t xml:space="preserve">NNRTIs are generally considered to have favorable tolerability, fewer drug-drug interactions, and </w:t>
      </w:r>
      <w:r w:rsidR="00434A22">
        <w:rPr>
          <w:rFonts w:ascii="Times New Roman" w:hAnsi="Times New Roman" w:cs="Times New Roman"/>
          <w:szCs w:val="24"/>
        </w:rPr>
        <w:t>fewer side effects than other ART classes, such as Protease Inhibitors (PIs).</w:t>
      </w:r>
      <w:r w:rsidR="00B47808">
        <w:rPr>
          <w:rFonts w:ascii="Times New Roman" w:hAnsi="Times New Roman" w:cs="Times New Roman"/>
          <w:szCs w:val="24"/>
        </w:rPr>
        <w:fldChar w:fldCharType="begin"/>
      </w:r>
      <w:r w:rsidR="00B47808">
        <w:rPr>
          <w:rFonts w:ascii="Times New Roman" w:hAnsi="Times New Roman" w:cs="Times New Roman"/>
          <w:szCs w:val="24"/>
        </w:rPr>
        <w:instrText xml:space="preserve"> ADDIN ZOTERO_ITEM CSL_CITATION {"citationID":"iQdx1lom","properties":{"unsorted":false,"formattedCitation":"\\super 11\\nosupersub{}","plainCitation":"11","noteIndex":0},"citationItems":[{"id":173,"uris":["http://zotero.org/users/19404620/items/EALHXTYF"],"itemData":{"id":173,"type":"article-journal","abstract":"The availability of potent non-nucleoside reverse transcriptase inhibitor (NNRTI)-based regimens for antiretroviral therapy and concerns regarding protease inhibitor (PI)-related metabolic disturbances have led to significant shifts in treatment practices in HIV infection. NNRTI-based regimens may have several advantages over PI-based therapy for initial or prolonged therapy, including more convenient administration regimens, lower tablet volume, fewer drug interactions, and central nervous system penetration. No data from prospective clinical trials currently exist comparing the 3 approved agents (efavirenz, nevirapine or delavirdine). Both efavirenz and nevirapine have been compared to triple therapy with the PI indinavir over 48 weeks as initial therapy, with similar responses being observed with nevirapine regimens and superiority observed with efavirenz. A smaller 24-week study has suggested nevirapine may be superior to the PI nelfinavir. Limited comparative data in patients with high viral loads treated with nevirapine- or delavirdine-based regimens currently exist. However, cohort data and selected patient data from clinical trials suggest comparable activity to PI-based regimens in these patients. The superiority of efavirenz over indinavir-based regimens has been observed in comparative data in a subset of patients with high viral loads. In treatment-experienced patients, available uncontrolled data suggest these agents contribute to regimen efficacy in NNRTI-naïve, treatment-experienced patients. Efavirenz has demonstrated superiority over nelfinavir in nucleoside-experienced patients, although combining these 2 agents may represent the best approach in these circumstances. The tolerability of NNRTIs appears generally good with few individuals discontinuing in clinical studies as a result of adverse drug events. The majority of adverse events with NNRTIs occur within the first month, and are predictable and manageable without therapy interruption.","container-title":"Drugs","DOI":"10.2165/00003495-200161010-00003","ISSN":"1179-1950","issue":"1","journalAbbreviation":"Drugs","language":"en","page":"19-26","source":"Springer Link","title":"The Emerging Roles of Non-Nucleoside Reverse Transcriptase Inhibitors in Antiretroviral Therapy","volume":"61","author":[{"family":"Moyle","given":"Graeme"}],"issued":{"date-parts":[["2001",1,1]]}}}],"schema":"https://github.com/citation-style-language/schema/raw/master/csl-citation.json"} </w:instrText>
      </w:r>
      <w:r w:rsidR="00B47808">
        <w:rPr>
          <w:rFonts w:ascii="Times New Roman" w:hAnsi="Times New Roman" w:cs="Times New Roman"/>
          <w:szCs w:val="24"/>
        </w:rPr>
        <w:fldChar w:fldCharType="separate"/>
      </w:r>
      <w:r w:rsidR="00B47808" w:rsidRPr="00B47808">
        <w:rPr>
          <w:rFonts w:ascii="Times New Roman" w:eastAsiaTheme="minorHAnsi" w:hAnsi="Times New Roman" w:cs="Times New Roman"/>
          <w:szCs w:val="24"/>
          <w:vertAlign w:val="superscript"/>
        </w:rPr>
        <w:t>11</w:t>
      </w:r>
      <w:r w:rsidR="00B47808">
        <w:rPr>
          <w:rFonts w:ascii="Times New Roman" w:hAnsi="Times New Roman" w:cs="Times New Roman"/>
          <w:szCs w:val="24"/>
        </w:rPr>
        <w:fldChar w:fldCharType="end"/>
      </w:r>
      <w:r w:rsidR="00B47808">
        <w:rPr>
          <w:rFonts w:ascii="Times New Roman" w:hAnsi="Times New Roman" w:cs="Times New Roman"/>
          <w:szCs w:val="24"/>
        </w:rPr>
        <w:t xml:space="preserve"> However, early NNRTIs, such as efavirenz (EFV) and </w:t>
      </w:r>
      <w:r w:rsidR="00D34B15">
        <w:rPr>
          <w:rFonts w:ascii="Times New Roman" w:hAnsi="Times New Roman" w:cs="Times New Roman"/>
          <w:szCs w:val="24"/>
        </w:rPr>
        <w:t>n</w:t>
      </w:r>
      <w:r w:rsidR="00B47808">
        <w:rPr>
          <w:rFonts w:ascii="Times New Roman" w:hAnsi="Times New Roman" w:cs="Times New Roman"/>
          <w:szCs w:val="24"/>
        </w:rPr>
        <w:t>evirapine (NVP), were notorious for rapid selection of resistance mutations</w:t>
      </w:r>
      <w:r w:rsidR="00A017E0">
        <w:rPr>
          <w:rFonts w:ascii="Times New Roman" w:hAnsi="Times New Roman" w:cs="Times New Roman"/>
          <w:szCs w:val="24"/>
        </w:rPr>
        <w:t xml:space="preserve"> in viral samples isolated from treated </w:t>
      </w:r>
      <w:r w:rsidR="00751967">
        <w:rPr>
          <w:rFonts w:ascii="Times New Roman" w:hAnsi="Times New Roman" w:cs="Times New Roman"/>
          <w:szCs w:val="24"/>
        </w:rPr>
        <w:t>individuals</w:t>
      </w:r>
      <w:r w:rsidR="00B47808">
        <w:rPr>
          <w:rFonts w:ascii="Times New Roman" w:hAnsi="Times New Roman" w:cs="Times New Roman"/>
          <w:szCs w:val="24"/>
        </w:rPr>
        <w:t>.</w:t>
      </w:r>
      <w:r w:rsidR="00B47808">
        <w:rPr>
          <w:rFonts w:ascii="Times New Roman" w:hAnsi="Times New Roman" w:cs="Times New Roman"/>
          <w:szCs w:val="24"/>
        </w:rPr>
        <w:fldChar w:fldCharType="begin"/>
      </w:r>
      <w:r w:rsidR="00B47808">
        <w:rPr>
          <w:rFonts w:ascii="Times New Roman" w:hAnsi="Times New Roman" w:cs="Times New Roman"/>
          <w:szCs w:val="24"/>
        </w:rPr>
        <w:instrText xml:space="preserve"> ADDIN ZOTERO_ITEM CSL_CITATION {"citationID":"GCbtsIz7","properties":{"unsorted":false,"formattedCitation":"\\super 12,13\\nosupersub{}","plainCitation":"12,13","noteIndex":0},"citationItems":[{"id":175,"uris":["http://zotero.org/users/19404620/items/3P2W3PK8"],"itemData":{"id":175,"type":"article-journal","abstract":"Efavirenz, a non-nucleoside reverse transcriptase inhibitor, has been an important component of the treatment of HIV infection for 10 years and has contributed significantly to the evolution of highly active antiretroviral therapy (HAART). The efficacy of efavirenz has been established in numerous randomized trials and observational studies in HAART-naive patients, including those with advanced infection. In the ACTG A5142 study, efavirenz showed greater virological efficacy than the boosted protease inhibitor (PI), lopinavir. Efavirenz is more effective as a third agent than unboosted PIs or the nucleoside analogue abacavir. Some, but not all, studies have suggested that efavirenz (added to two nucleoside reverse transcriptase inhibitors) is more effective than nevirapine. Virological and immunological responses achieved with efavirenz-based HAART have been maintained for 7 years. Dosing convenience predicts adherence, and studies have demonstrated that patients can be switched from PI-based therapy to simplified, once-daily efavirenz-based regimens without losing virological control. The one-pill, once-daily formulation of efavirenz plus tenofovir and emtricitabine offers a particular advantage in this regard. Efavirenz also retains a role after failure of a first PI-based regimen. Efavirenz is generally well tolerated: rash and neuropsychiatric disturbances are the most notable adverse events. Neuropsychiatric disturbances generally develop early in treatment and they tend to resolve with continued administration, but they are persistent and troubling in a minority of patients. Efavirenz has less effect on plasma lipid profiles than some boosted PIs. Lipodystrophy can occur under treatment with efavirenz but it may be reduced if the concurrent use of thymidine analogues is avoided. Efavirenz resistance mutations (especially K103N) can be selected during long-term treatment, underscoring the importance of good adherence. Recent data have confirmed that efavirenz is a cost-effective option for first-line HAART. In light of these features, efavirenz retains a key role in HIV treatment strategies and is the first-line agent recommended in some guidelines.","container-title":"Journal of Antimicrobial Chemotherapy","DOI":"10.1093/jac/dkp334","ISSN":"0305-7453","issue":"5","journalAbbreviation":"J Antimicrob Chemother","page":"910-928","source":"Silverchair","title":"Efavirenz: a decade of clinical experience in the treatment of HIV","title-short":"Efavirenz","volume":"64","author":[{"family":"Maggiolo","given":"Franco"}],"issued":{"date-parts":[["2009",11,1]]}}},{"id":178,"uris":["http://zotero.org/users/19404620/items/X7P2CAZK"],"itemData":{"id":178,"type":"article-journal","abstract":"We built a cohort study of HIV patients taking long-term first-line Antiretroviral Therapy in 2003. In this assay, we focused on the development of primary drug resistance mutations against Non-Nucleoside Reverse Transcriptase Inhibitor (NNRTI), K103N, Y181C and G190A.","container-title":"AIDS Research and Therapy","DOI":"10.1186/1742-6405-11-36","ISSN":"1742-6405","issue":"1","journalAbbreviation":"AIDS Res Ther","language":"en","page":"36","source":"Springer Link","title":"The development of drug resistance mutations K103N Y181C and G190A in long term Nevirapine-containing antiviral therapy","volume":"11","author":[{"family":"Wang","given":"Yuncong"},{"family":"Xing","given":"Hui"},{"family":"Liao","given":"Lingjie"},{"family":"Wang","given":"Zhe"},{"family":"Su","given":"Bin"},{"family":"Zhao","given":"Quanbi"},{"family":"Feng","given":"Yi"},{"family":"Ma","given":"Pengfei"},{"family":"Liu","given":"Jia"},{"family":"Wu","given":"Jianjun"},{"family":"Ruan","given":"Yuhua"},{"family":"Shao","given":"Yiming"}],"issued":{"date-parts":[["2014",11,21]]}}}],"schema":"https://github.com/citation-style-language/schema/raw/master/csl-citation.json"} </w:instrText>
      </w:r>
      <w:r w:rsidR="00B47808">
        <w:rPr>
          <w:rFonts w:ascii="Times New Roman" w:hAnsi="Times New Roman" w:cs="Times New Roman"/>
          <w:szCs w:val="24"/>
        </w:rPr>
        <w:fldChar w:fldCharType="separate"/>
      </w:r>
      <w:r w:rsidR="00B47808" w:rsidRPr="00B47808">
        <w:rPr>
          <w:rFonts w:ascii="Times New Roman" w:eastAsiaTheme="minorHAnsi" w:hAnsi="Times New Roman" w:cs="Times New Roman"/>
          <w:szCs w:val="24"/>
          <w:vertAlign w:val="superscript"/>
        </w:rPr>
        <w:t>12,13</w:t>
      </w:r>
      <w:r w:rsidR="00B47808">
        <w:rPr>
          <w:rFonts w:ascii="Times New Roman" w:hAnsi="Times New Roman" w:cs="Times New Roman"/>
          <w:szCs w:val="24"/>
        </w:rPr>
        <w:fldChar w:fldCharType="end"/>
      </w:r>
      <w:r w:rsidR="00B47808">
        <w:rPr>
          <w:rFonts w:ascii="Times New Roman" w:hAnsi="Times New Roman" w:cs="Times New Roman"/>
          <w:szCs w:val="24"/>
        </w:rPr>
        <w:t xml:space="preserve"> </w:t>
      </w:r>
      <w:r w:rsidR="00316329">
        <w:rPr>
          <w:rFonts w:ascii="Times New Roman" w:hAnsi="Times New Roman" w:cs="Times New Roman"/>
          <w:szCs w:val="24"/>
        </w:rPr>
        <w:t xml:space="preserve">A </w:t>
      </w:r>
      <w:r w:rsidR="007D0ED8">
        <w:rPr>
          <w:rFonts w:ascii="Times New Roman" w:hAnsi="Times New Roman" w:cs="Times New Roman"/>
          <w:szCs w:val="24"/>
        </w:rPr>
        <w:t xml:space="preserve">subsequent </w:t>
      </w:r>
      <w:r w:rsidR="00316329">
        <w:rPr>
          <w:rFonts w:ascii="Times New Roman" w:hAnsi="Times New Roman" w:cs="Times New Roman"/>
          <w:szCs w:val="24"/>
        </w:rPr>
        <w:t xml:space="preserve">flurry of drug development effort led to the discovery of next-generation NNRTIs, such as etravirine (ETR) and </w:t>
      </w:r>
      <w:r w:rsidR="00693562">
        <w:rPr>
          <w:rFonts w:ascii="Times New Roman" w:hAnsi="Times New Roman" w:cs="Times New Roman"/>
          <w:szCs w:val="24"/>
        </w:rPr>
        <w:t>r</w:t>
      </w:r>
      <w:r w:rsidR="00316329">
        <w:rPr>
          <w:rFonts w:ascii="Times New Roman" w:hAnsi="Times New Roman" w:cs="Times New Roman"/>
          <w:szCs w:val="24"/>
        </w:rPr>
        <w:t xml:space="preserve">ilpivirine (RPV), which offered a </w:t>
      </w:r>
      <w:r w:rsidR="00FE7D2D">
        <w:rPr>
          <w:rFonts w:ascii="Times New Roman" w:hAnsi="Times New Roman" w:cs="Times New Roman"/>
          <w:szCs w:val="24"/>
        </w:rPr>
        <w:t xml:space="preserve">relatively </w:t>
      </w:r>
      <w:r w:rsidR="00316329">
        <w:rPr>
          <w:rFonts w:ascii="Times New Roman" w:hAnsi="Times New Roman" w:cs="Times New Roman"/>
          <w:szCs w:val="24"/>
        </w:rPr>
        <w:t>higher genetic barrier to resistance.</w:t>
      </w:r>
      <w:r w:rsidR="00FE7D2D">
        <w:rPr>
          <w:rFonts w:ascii="Times New Roman" w:hAnsi="Times New Roman" w:cs="Times New Roman"/>
          <w:szCs w:val="24"/>
        </w:rPr>
        <w:fldChar w:fldCharType="begin"/>
      </w:r>
      <w:r w:rsidR="00FE7D2D">
        <w:rPr>
          <w:rFonts w:ascii="Times New Roman" w:hAnsi="Times New Roman" w:cs="Times New Roman"/>
          <w:szCs w:val="24"/>
        </w:rPr>
        <w:instrText xml:space="preserve"> ADDIN ZOTERO_ITEM CSL_CITATION {"citationID":"QRLLgm1Q","properties":{"unsorted":false,"formattedCitation":"\\super 14,15\\nosupersub{}","plainCitation":"14,15","noteIndex":0},"citationItems":[{"id":180,"uris":["http://zotero.org/users/19404620/items/TZTDTXI7"],"itemData":{"id":180,"type":"article-journal","abstract":"Etravirine is a next-generation non-nucleoside reverse transcriptase inhibitor (NNRTI) developed for the treatment of HIV-1 infection. It has a high genetic barrier to the emergence of viral resistance, and maintains its antiviral activity in the presence of common NNRTI mutations. The pharmacokinetics of etravirine in HIV-infected patients at the recommended dosage of 200 mg twice daily demonstrates moderate intersubject variability and no time dependency. Due to substantially lower exposures when taken on an empty stomach, etravirine should be administered following a meal. The drug is highly protein bound (99.9%) to albumin and α1-acid glycoprotein and shows a relatively long elimination half-life of 30–40 hours. Etravirine is metabolized by cytochrome P450 (CYP) 3A, 2C9 and 2C19; the metabolites are subsequently glucuronidated by uridine diphosphate glucuronosyltransferase. Renal elimination of etravirine is negligible. Etravirine has the potential for interactions by inducing CYP3A and inhibiting CYP2C9 and 2C19; it is a mild inhibitor of P-glycoprotein but not a substrate. The drug interaction profile of etravirine has been well characterized and is manageable. No dosage adjustments are needed in patients with renal impairment or mild to moderate hepatic impairment. Race, sex, bodyweight and age do not affect the pharmacokinetics of etravirine. In the two phase III trials DUET-1 and DUET-2, no relationship was demonstrated between the pharmacokinetics of etravirine and the primary efficacy endpoint of viral load below 50 copies/mL or the safety profile of etravirine.","container-title":"Clinical Pharmacokinetics","DOI":"10.2165/10895940-000000000-00000","ISSN":"1179-1926","issue":"9","journalAbbreviation":"Clin Pharmacokinet","language":"en","page":"561-574","source":"Springer Link","title":"Clinical Pharmacokinetics and Pharmacodynamics of Etravirine","volume":"48","author":[{"family":"Schöller-Gyüre","given":"Monika"},{"family":"Kakuda","given":"Thomas N."},{"family":"Raoof","given":"Araz"},{"family":"De Smedt","given":"Goedele"},{"family":"Hoetelmans","given":"Richard M. W."}],"issued":{"date-parts":[["2009",9,1]]}}},{"id":182,"uris":["http://zotero.org/users/19404620/items/QMCUL39T"],"itemData":{"id":182,"type":"article-journal","abstract":"Rilpivirine (RPV) is a second-generation non-nucleoside reverse transcriptase inhibitor (NNRTI). It remains active against HIV strains harbouring mutations that affect first-generation agents. RPV is dosed once daily with food and has been coformulated into a single tablet containing tenofovir and emtricitabine. Two Phase III studies of treatment-naive patients found RPV and efavirenz to have similar safety and efficacy. However, suboptimal virological suppression with RPV occurred more commonly in patients with higher baseline viral loads (&gt;100,000 copies/ml). The most common mutation that emerged during RPV therapy was E138K, which often occurred in combination with M184I. E138K is likely to cause cross-resistance to other NNRTIs thereby limiting the further utilization of this class.","container-title":"Antiviral Therapy","DOI":"10.3851/IMP2254","ISSN":"1359-6535","issue":"8","language":"EN","page":"1495-1502","publisher":"SAGE Publications Ltd STM","source":"SAGE Journals","title":"Rilpivirine, a Novel Non-Nucleoside Reverse Transcriptase Inhibitor for the Management of HIV-1 Infection: A Systematic Review","title-short":"Rilpivirine, a Novel Non-Nucleoside Reverse Transcriptase Inhibitor for the Management of HIV-1 Infection","volume":"17","author":[{"family":"Schafer","given":"Jason J"},{"family":"Short","given":"William R"}],"issued":{"date-parts":[["2012",11,1]]}}}],"schema":"https://github.com/citation-style-language/schema/raw/master/csl-citation.json"} </w:instrText>
      </w:r>
      <w:r w:rsidR="00FE7D2D">
        <w:rPr>
          <w:rFonts w:ascii="Times New Roman" w:hAnsi="Times New Roman" w:cs="Times New Roman"/>
          <w:szCs w:val="24"/>
        </w:rPr>
        <w:fldChar w:fldCharType="separate"/>
      </w:r>
      <w:r w:rsidR="00FE7D2D" w:rsidRPr="00FE7D2D">
        <w:rPr>
          <w:rFonts w:ascii="Times New Roman" w:eastAsiaTheme="minorHAnsi" w:hAnsi="Times New Roman" w:cs="Times New Roman"/>
          <w:szCs w:val="24"/>
          <w:vertAlign w:val="superscript"/>
        </w:rPr>
        <w:t>14,15</w:t>
      </w:r>
      <w:r w:rsidR="00FE7D2D">
        <w:rPr>
          <w:rFonts w:ascii="Times New Roman" w:hAnsi="Times New Roman" w:cs="Times New Roman"/>
          <w:szCs w:val="24"/>
        </w:rPr>
        <w:fldChar w:fldCharType="end"/>
      </w:r>
      <w:r w:rsidR="00FE7D2D">
        <w:rPr>
          <w:rFonts w:ascii="Times New Roman" w:hAnsi="Times New Roman" w:cs="Times New Roman"/>
          <w:szCs w:val="24"/>
        </w:rPr>
        <w:t xml:space="preserve"> Even amongst these </w:t>
      </w:r>
      <w:r w:rsidR="005F5ED0">
        <w:rPr>
          <w:rFonts w:ascii="Times New Roman" w:hAnsi="Times New Roman" w:cs="Times New Roman"/>
          <w:szCs w:val="24"/>
        </w:rPr>
        <w:t>second</w:t>
      </w:r>
      <w:r w:rsidR="00FE7D2D">
        <w:rPr>
          <w:rFonts w:ascii="Times New Roman" w:hAnsi="Times New Roman" w:cs="Times New Roman"/>
          <w:szCs w:val="24"/>
        </w:rPr>
        <w:t xml:space="preserve"> generation NNRTIs, DOR </w:t>
      </w:r>
      <w:r w:rsidR="00D34B15">
        <w:rPr>
          <w:rFonts w:ascii="Times New Roman" w:hAnsi="Times New Roman" w:cs="Times New Roman"/>
          <w:szCs w:val="24"/>
        </w:rPr>
        <w:t>exhibits</w:t>
      </w:r>
      <w:r w:rsidR="00FE7D2D">
        <w:rPr>
          <w:rFonts w:ascii="Times New Roman" w:hAnsi="Times New Roman" w:cs="Times New Roman"/>
          <w:szCs w:val="24"/>
        </w:rPr>
        <w:t xml:space="preserve"> a unique drug resistance profile,</w:t>
      </w:r>
      <w:r w:rsidR="00EE4E1D">
        <w:rPr>
          <w:rFonts w:ascii="Times New Roman" w:hAnsi="Times New Roman" w:cs="Times New Roman"/>
          <w:szCs w:val="24"/>
        </w:rPr>
        <w:fldChar w:fldCharType="begin"/>
      </w:r>
      <w:r w:rsidR="00EE4E1D">
        <w:rPr>
          <w:rFonts w:ascii="Times New Roman" w:hAnsi="Times New Roman" w:cs="Times New Roman"/>
          <w:szCs w:val="24"/>
        </w:rPr>
        <w:instrText xml:space="preserve"> ADDIN ZOTERO_ITEM CSL_CITATION {"citationID":"5psEfeto","properties":{"unsorted":false,"formattedCitation":"\\super 16\\nosupersub{}","plainCitation":"16","noteIndex":0},"citationItems":[{"id":109,"uris":["http://zotero.org/users/19404620/items/NZIBLVPF"],"itemData":{"id":109,"type":"article-journal","abstract":"Since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sidR="00EE4E1D">
        <w:rPr>
          <w:rFonts w:ascii="Times New Roman" w:hAnsi="Times New Roman" w:cs="Times New Roman"/>
          <w:szCs w:val="24"/>
        </w:rPr>
        <w:fldChar w:fldCharType="separate"/>
      </w:r>
      <w:r w:rsidR="00EE4E1D" w:rsidRPr="00EE4E1D">
        <w:rPr>
          <w:rFonts w:ascii="Times New Roman" w:eastAsiaTheme="minorHAnsi" w:hAnsi="Times New Roman" w:cs="Times New Roman"/>
          <w:szCs w:val="24"/>
          <w:vertAlign w:val="superscript"/>
        </w:rPr>
        <w:t>16</w:t>
      </w:r>
      <w:r w:rsidR="00EE4E1D">
        <w:rPr>
          <w:rFonts w:ascii="Times New Roman" w:hAnsi="Times New Roman" w:cs="Times New Roman"/>
          <w:szCs w:val="24"/>
        </w:rPr>
        <w:fldChar w:fldCharType="end"/>
      </w:r>
      <w:r w:rsidR="00EE4E1D">
        <w:rPr>
          <w:rFonts w:ascii="Times New Roman" w:hAnsi="Times New Roman" w:cs="Times New Roman"/>
          <w:szCs w:val="24"/>
        </w:rPr>
        <w:t xml:space="preserve"> making it an attractive target for mechanistic studies.</w:t>
      </w:r>
    </w:p>
    <w:p w14:paraId="02F83E54" w14:textId="4BE8AE88" w:rsidR="00EE4E1D" w:rsidRDefault="00907754" w:rsidP="005F0819">
      <w:pPr>
        <w:spacing w:after="240"/>
        <w:rPr>
          <w:rFonts w:ascii="Times New Roman" w:hAnsi="Times New Roman" w:cs="Times New Roman"/>
          <w:szCs w:val="24"/>
        </w:rPr>
      </w:pPr>
      <w:r>
        <w:rPr>
          <w:rFonts w:ascii="Times New Roman" w:hAnsi="Times New Roman" w:cs="Times New Roman"/>
          <w:szCs w:val="24"/>
        </w:rPr>
        <w:t>NNRTIs operate by noncompetitively binding the HIV-1 Reverse Transcriptase (RT) enzyme</w:t>
      </w:r>
      <w:r w:rsidR="00CE48A5">
        <w:rPr>
          <w:rFonts w:ascii="Times New Roman" w:hAnsi="Times New Roman" w:cs="Times New Roman"/>
          <w:szCs w:val="24"/>
        </w:rPr>
        <w:t xml:space="preserve"> at an allosteric pocket,</w:t>
      </w:r>
      <w:r w:rsidR="00CE48A5">
        <w:rPr>
          <w:rFonts w:ascii="Times New Roman" w:hAnsi="Times New Roman" w:cs="Times New Roman"/>
          <w:szCs w:val="24"/>
        </w:rPr>
        <w:fldChar w:fldCharType="begin"/>
      </w:r>
      <w:r w:rsidR="00CE48A5">
        <w:rPr>
          <w:rFonts w:ascii="Times New Roman" w:hAnsi="Times New Roman" w:cs="Times New Roman"/>
          <w:szCs w:val="24"/>
        </w:rPr>
        <w:instrText xml:space="preserve"> ADDIN ZOTERO_ITEM CSL_CITATION {"citationID":"UvQEUgqP","properties":{"unsorted":false,"formattedCitation":"\\super 17,18\\nosupersub{}","plainCitation":"17,18","noteIndex":0},"citationItems":[{"id":184,"uris":["http://zotero.org/users/19404620/items/HVXGWQFU"],"itemData":{"id":184,"type":"article-journal","abstract":"A 3.5 angstrom resolution electron density map of the HIV-1 reverse transcriptase heterodimer complexed with nevirapine, a drug with potential for treatment of AIDS, reveals an asymmetric dimer. The polymerase (pol) domain of the 66-kilodalton subunit has a large cleft analogous to that of the Klenow fragment of Escherichia coli DNA polymerase I. However, the 51-kilodalton subunit of identical sequence has no such cleft because the four subdomains of the pol domain occupy completely different relative positions. Two of the four pol subdomains appear to be structurally related to subdomains of the Klenow fragment, including one containing the catalytic site. The subdomain that appears likely to bind the template strand at the pol active site has a different structure in the two polymerases. Duplex A-form RNA-DNA hybrid can be model-built into the cleft that runs between the ribonuclease H and pol active sites. Nevirapine is almost completely buried in a pocket near but not overlapping with the pol active site. Residues whose mutation results in drug resistance have been approximately located.","container-title":"Science","DOI":"10.1126/science.1377403","issue":"5065","page":"1783-1790","publisher":"American Association for the Advancement of Science","source":"science.org (Atypon)","title":"Crystal Structure at 3.5 Å Resolution of HIV-1 Reverse Transcriptase Complexed with an Inhibitor","volume":"256","author":[{"family":"Kohlstaedt","given":"L. A."},{"family":"Wang","given":"J."},{"family":"Friedman","given":"J. M."},{"family":"Rice","given":"P. A."},{"family":"Steitz","given":"T. A."}],"issued":{"date-parts":[["1992",6,26]]}}},{"id":186,"uris":["http://zotero.org/users/19404620/items/XCL8X2E6"],"itemData":{"id":186,"type":"article-journal","abstract":"The mechanism of inhibition of HIV-1 reverse transcriptase by three nonnucleoside inhibitors is described. Nevirapine, O-TIBO, and CI-TIBO each bind to a hydrophobic pocket in the enzyme-DNA complex close to the active site catalytic residues. Pre-steady-state kinetic analysis was used to establish the mechanism of inhibition by these noncompetitive inhibitors. Analysis of the pre-steady-state burst of DNA polymerization indicated that inhibitors blocked the chemical reaction, but did not interfere with nucleotide binding or the nucleotide-induced conformational change. Rather, in the presence of saturating concentrations of the inhibitors, the nucleoside triphosphate bound tightly (Kd, 100 nM), but nonproductively. The data suggest that an inhibitor combining the functionalities of a nonnucleoside inhibitor and a nucleotide analog could bind very tightly and specifically to reverse transcriptase and could be effective in the treatment of AIDS.","container-title":"Science","DOI":"10.1126/science.7532321","issue":"5200","page":"988-993","publisher":"American Association for the Advancement of Science","source":"science.org (Atypon)","title":"Mechanism of Inhibition of HIV-1 Reverse Transcriptase by Nonnucleoside Inhibitors","volume":"267","author":[{"family":"Spence","given":"Rebecca A."},{"family":"Kati","given":"Warren M."},{"family":"Anderson","given":"Karen S."},{"family":"Johnson","given":"Kenneth A."}],"issued":{"date-parts":[["1995",2,17]]}}}],"schema":"https://github.com/citation-style-language/schema/raw/master/csl-citation.json"} </w:instrText>
      </w:r>
      <w:r w:rsidR="00CE48A5">
        <w:rPr>
          <w:rFonts w:ascii="Times New Roman" w:hAnsi="Times New Roman" w:cs="Times New Roman"/>
          <w:szCs w:val="24"/>
        </w:rPr>
        <w:fldChar w:fldCharType="separate"/>
      </w:r>
      <w:r w:rsidR="00CE48A5" w:rsidRPr="00CE48A5">
        <w:rPr>
          <w:rFonts w:ascii="Times New Roman" w:eastAsiaTheme="minorHAnsi" w:hAnsi="Times New Roman" w:cs="Times New Roman"/>
          <w:szCs w:val="24"/>
          <w:vertAlign w:val="superscript"/>
        </w:rPr>
        <w:t>17,18</w:t>
      </w:r>
      <w:r w:rsidR="00CE48A5">
        <w:rPr>
          <w:rFonts w:ascii="Times New Roman" w:hAnsi="Times New Roman" w:cs="Times New Roman"/>
          <w:szCs w:val="24"/>
        </w:rPr>
        <w:fldChar w:fldCharType="end"/>
      </w:r>
      <w:r w:rsidR="002E2CAD">
        <w:rPr>
          <w:rFonts w:ascii="Times New Roman" w:hAnsi="Times New Roman" w:cs="Times New Roman"/>
          <w:szCs w:val="24"/>
        </w:rPr>
        <w:t xml:space="preserve"> often called the NNRTI binding pocket (NNIBP). </w:t>
      </w:r>
      <w:r w:rsidR="00724AC1">
        <w:rPr>
          <w:rFonts w:ascii="Times New Roman" w:hAnsi="Times New Roman" w:cs="Times New Roman"/>
          <w:szCs w:val="24"/>
        </w:rPr>
        <w:t>This NNIBP is ~10</w:t>
      </w:r>
      <w:r w:rsidR="00843133" w:rsidRPr="00843133">
        <w:rPr>
          <w:rFonts w:ascii="Times New Roman" w:hAnsi="Times New Roman" w:cs="Times New Roman"/>
          <w:szCs w:val="24"/>
        </w:rPr>
        <w:t>Å</w:t>
      </w:r>
      <w:r w:rsidR="00843133">
        <w:rPr>
          <w:rFonts w:ascii="Times New Roman" w:hAnsi="Times New Roman" w:cs="Times New Roman"/>
          <w:szCs w:val="24"/>
        </w:rPr>
        <w:t xml:space="preserve"> from the RT DNA polymerase active site</w:t>
      </w:r>
      <w:r w:rsidR="00F65150">
        <w:rPr>
          <w:rFonts w:ascii="Times New Roman" w:hAnsi="Times New Roman" w:cs="Times New Roman"/>
          <w:szCs w:val="24"/>
        </w:rPr>
        <w:t xml:space="preserve"> and forms only upon NNRTI binding, via an induced conformational change in the RT p66 subunit.</w:t>
      </w:r>
      <w:r w:rsidR="00F65150">
        <w:rPr>
          <w:rFonts w:ascii="Times New Roman" w:hAnsi="Times New Roman" w:cs="Times New Roman"/>
          <w:szCs w:val="24"/>
        </w:rPr>
        <w:fldChar w:fldCharType="begin"/>
      </w:r>
      <w:r w:rsidR="00F65150">
        <w:rPr>
          <w:rFonts w:ascii="Times New Roman" w:hAnsi="Times New Roman" w:cs="Times New Roman"/>
          <w:szCs w:val="24"/>
        </w:rPr>
        <w:instrText xml:space="preserve"> ADDIN ZOTERO_ITEM CSL_CITATION {"citationID":"vB520owO","properties":{"unsorted":false,"formattedCitation":"\\super 19,20\\nosupersub{}","plainCitation":"19,20","noteIndex":0},"citationItems":[{"id":188,"uris":["http://zotero.org/users/19404620/items/ZWDCU5HD"],"itemData":{"id":188,"type":"article-journal","abstract":"The crystal structure of the reverse transcriptase (RT) from the type 1 human immunodeficiency virus has been determined at 3.2-A resolution. Comparison with complexes between RT and the polymerase inhibitor Nevirapine [Kohlstaedt, L.A., Wang, J., Friedman, J.M., Rice, P.A. &amp; Steitz, T.A. (1992) Science 256, 1783-1790] and between RT and an oligonucleotide [Jacobo-Molina, A., Ding, J., Nanni, R., Clark, A. D., Lu, X., Tantillo, C., Williams, R. L., Kamer, G., Ferris, A. L., Clark, P., Hizi, A., Hughes, S. H. &amp; Arnold, E. (1993) Proc. Natl. Acad. Sci. USA 90, 6320-6324] reveals changes associated with ligand binding. The enzyme is a heterodimer (p66/p51), with domains labeled \"fingers,\" \"thumb,\" \"palm,\" and \"connection\" in both subunits, and a ribonuclease H domain in the larger subunit only. The most striking difference between RT and both complex structures is the change in orientation of the p66 thumb (approximately 33 degrees rotation). Smaller shifts relative to the core of the molecule were also found in other domains, including the p66 fingers and palm, which contain the polymerase active site. Within the polymerase catalytic region itself, there are no rearrangements between RT and the RT/DNA complex. In RT/Nevirapine, the drug binds in the p66 palm near the polymerase active site, a region that is well-packed hydrophobic core in the unliganded enzyme. Room for the drug is provided by movement of a small beta-sheet within the palm domain of the Nevirapine complex. The rearrangement within the palm and thumb, as well as domain shifts relative to the enzyme core, may prevent correct placement of the oligonucleotide substrate when the drug is bound.","container-title":"Proceedings of the National Academy of Sciences","DOI":"10.1073/pnas.92.4.1222","issue":"4","page":"1222-1226","publisher":"Proceedings of the National Academy of Sciences","source":"www-pnas-org.stanford.idm.oclc.org (Atypon)","title":"The structure of unliganded reverse transcriptase from the human immunodeficiency virus type 1.","volume":"92","author":[{"family":"Rodgers","given":"D W"},{"family":"Gamblin","given":"S J"},{"family":"Harris","given":"B A"},{"family":"Ray","given":"S"},{"family":"Culp","given":"J S"},{"family":"Hellmig","given":"B"},{"family":"Woolf","given":"D J"},{"family":"Debouck","given":"C"},{"family":"Harrison","given":"S C"}],"issued":{"date-parts":[["1995",2,14]]}}},{"id":78,"uris":["http://zotero.org/users/19404620/items/5GLYYNZX"],"itemData":{"id":78,"type":"article-journal","container-title":"Structure","DOI":"10.1016/S0969-2126(96)00091-3","ISSN":"0969-2126","issue":"7","journalAbbreviation":"Structure","language":"English","page":"853-860","PMID":"8805568","publisher":"Elsevier","source":"www.cell.com","title":"Structure of unliganded HIV-1 reverse transcriptase at 2.7 å resolution: implications of conformational changes for polymerization and inhibition mechanisms","title-short":"Structure of unliganded HIV-1 reverse transcriptase at 2.7 å resolution","volume":"4","author":[{"family":"Hsiou","given":"Y."},{"family":"Ding","given":"J."},{"family":"Das","given":"K."},{"family":"AD Clark","given":"Jr"},{"family":"Hughes","given":"S. H."},{"family":"Arnold","given":"E."}],"issued":{"date-parts":[["1996",7,1]]}}}],"schema":"https://github.com/citation-style-language/schema/raw/master/csl-citation.json"} </w:instrText>
      </w:r>
      <w:r w:rsidR="00F65150">
        <w:rPr>
          <w:rFonts w:ascii="Times New Roman" w:hAnsi="Times New Roman" w:cs="Times New Roman"/>
          <w:szCs w:val="24"/>
        </w:rPr>
        <w:fldChar w:fldCharType="separate"/>
      </w:r>
      <w:r w:rsidR="00F65150" w:rsidRPr="00F65150">
        <w:rPr>
          <w:rFonts w:ascii="Times New Roman" w:eastAsiaTheme="minorHAnsi" w:hAnsi="Times New Roman" w:cs="Times New Roman"/>
          <w:szCs w:val="24"/>
          <w:vertAlign w:val="superscript"/>
        </w:rPr>
        <w:t>19,20</w:t>
      </w:r>
      <w:r w:rsidR="00F65150">
        <w:rPr>
          <w:rFonts w:ascii="Times New Roman" w:hAnsi="Times New Roman" w:cs="Times New Roman"/>
          <w:szCs w:val="24"/>
        </w:rPr>
        <w:fldChar w:fldCharType="end"/>
      </w:r>
      <w:r w:rsidR="007D0ED8">
        <w:rPr>
          <w:rFonts w:ascii="Times New Roman" w:hAnsi="Times New Roman" w:cs="Times New Roman"/>
          <w:szCs w:val="24"/>
        </w:rPr>
        <w:t xml:space="preserve"> </w:t>
      </w:r>
      <w:r w:rsidR="001464A2">
        <w:rPr>
          <w:rFonts w:ascii="Times New Roman" w:hAnsi="Times New Roman" w:cs="Times New Roman"/>
          <w:szCs w:val="24"/>
        </w:rPr>
        <w:t>NNRTI binding</w:t>
      </w:r>
      <w:r w:rsidR="007D0ED8">
        <w:rPr>
          <w:rFonts w:ascii="Times New Roman" w:hAnsi="Times New Roman" w:cs="Times New Roman"/>
          <w:szCs w:val="24"/>
        </w:rPr>
        <w:t xml:space="preserve"> </w:t>
      </w:r>
      <w:r w:rsidR="001464A2">
        <w:rPr>
          <w:rFonts w:ascii="Times New Roman" w:hAnsi="Times New Roman" w:cs="Times New Roman"/>
          <w:szCs w:val="24"/>
        </w:rPr>
        <w:t>has been shown to</w:t>
      </w:r>
      <w:r w:rsidR="007D0ED8">
        <w:rPr>
          <w:rFonts w:ascii="Times New Roman" w:hAnsi="Times New Roman" w:cs="Times New Roman"/>
          <w:szCs w:val="24"/>
        </w:rPr>
        <w:t xml:space="preserve"> </w:t>
      </w:r>
      <w:r w:rsidR="001464A2">
        <w:rPr>
          <w:rFonts w:ascii="Times New Roman" w:hAnsi="Times New Roman" w:cs="Times New Roman"/>
          <w:szCs w:val="24"/>
        </w:rPr>
        <w:t>slow down</w:t>
      </w:r>
      <w:r w:rsidR="005A260A">
        <w:rPr>
          <w:rFonts w:ascii="Times New Roman" w:hAnsi="Times New Roman" w:cs="Times New Roman"/>
          <w:szCs w:val="24"/>
        </w:rPr>
        <w:t xml:space="preserve"> the polymerase activity</w:t>
      </w:r>
      <w:r w:rsidR="006B2CF8">
        <w:rPr>
          <w:rFonts w:ascii="Times New Roman" w:hAnsi="Times New Roman" w:cs="Times New Roman"/>
          <w:szCs w:val="24"/>
        </w:rPr>
        <w:t>, thus preventing HIV-1 infection,</w:t>
      </w:r>
      <w:r w:rsidR="005A260A">
        <w:rPr>
          <w:rFonts w:ascii="Times New Roman" w:hAnsi="Times New Roman" w:cs="Times New Roman"/>
          <w:szCs w:val="24"/>
        </w:rPr>
        <w:t xml:space="preserve"> through a dynamic allosteric mechanism.</w:t>
      </w:r>
      <w:r w:rsidR="005A260A">
        <w:rPr>
          <w:rFonts w:ascii="Times New Roman" w:hAnsi="Times New Roman" w:cs="Times New Roman"/>
          <w:szCs w:val="24"/>
        </w:rPr>
        <w:fldChar w:fldCharType="begin"/>
      </w:r>
      <w:r w:rsidR="005A260A">
        <w:rPr>
          <w:rFonts w:ascii="Times New Roman" w:hAnsi="Times New Roman" w:cs="Times New Roman"/>
          <w:szCs w:val="24"/>
        </w:rPr>
        <w:instrText xml:space="preserve"> ADDIN ZOTERO_ITEM CSL_CITATION {"citationID":"YAk1AJPi","properties":{"unsorted":false,"formattedCitation":"\\super 21\\nosupersub{}","plainCitation":"21","noteIndex":0},"citationItems":[{"id":127,"uris":["http://zotero.org/users/19404620/items/88BXE5MA"],"itemData":{"id":127,"type":"article-journal","abstract":"Non-nucleoside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005A260A">
        <w:rPr>
          <w:rFonts w:ascii="Times New Roman" w:hAnsi="Times New Roman" w:cs="Times New Roman"/>
          <w:szCs w:val="24"/>
        </w:rPr>
        <w:fldChar w:fldCharType="separate"/>
      </w:r>
      <w:r w:rsidR="005A260A" w:rsidRPr="005A260A">
        <w:rPr>
          <w:rFonts w:ascii="Times New Roman" w:eastAsiaTheme="minorHAnsi" w:hAnsi="Times New Roman" w:cs="Times New Roman"/>
          <w:szCs w:val="24"/>
          <w:vertAlign w:val="superscript"/>
        </w:rPr>
        <w:t>21</w:t>
      </w:r>
      <w:r w:rsidR="005A260A">
        <w:rPr>
          <w:rFonts w:ascii="Times New Roman" w:hAnsi="Times New Roman" w:cs="Times New Roman"/>
          <w:szCs w:val="24"/>
        </w:rPr>
        <w:fldChar w:fldCharType="end"/>
      </w:r>
      <w:r w:rsidR="00835458">
        <w:rPr>
          <w:rFonts w:ascii="Times New Roman" w:hAnsi="Times New Roman" w:cs="Times New Roman"/>
          <w:szCs w:val="24"/>
        </w:rPr>
        <w:t xml:space="preserve"> Since the NNIBP can more readily accommodate mutations </w:t>
      </w:r>
      <w:r w:rsidR="00B747D0">
        <w:rPr>
          <w:rFonts w:ascii="Times New Roman" w:hAnsi="Times New Roman" w:cs="Times New Roman"/>
          <w:szCs w:val="24"/>
        </w:rPr>
        <w:t>than</w:t>
      </w:r>
      <w:r w:rsidR="00835458">
        <w:rPr>
          <w:rFonts w:ascii="Times New Roman" w:hAnsi="Times New Roman" w:cs="Times New Roman"/>
          <w:szCs w:val="24"/>
        </w:rPr>
        <w:t xml:space="preserve"> the polymerase active site</w:t>
      </w:r>
      <w:r w:rsidR="00B747D0">
        <w:rPr>
          <w:rFonts w:ascii="Times New Roman" w:hAnsi="Times New Roman" w:cs="Times New Roman"/>
          <w:szCs w:val="24"/>
        </w:rPr>
        <w:t xml:space="preserve"> without a significant cost to enzyme fitness</w:t>
      </w:r>
      <w:r w:rsidR="00835458">
        <w:rPr>
          <w:rFonts w:ascii="Times New Roman" w:hAnsi="Times New Roman" w:cs="Times New Roman"/>
          <w:szCs w:val="24"/>
        </w:rPr>
        <w:t xml:space="preserve">, </w:t>
      </w:r>
      <w:r w:rsidR="00B747D0">
        <w:rPr>
          <w:rFonts w:ascii="Times New Roman" w:hAnsi="Times New Roman" w:cs="Times New Roman"/>
          <w:szCs w:val="24"/>
        </w:rPr>
        <w:t xml:space="preserve">emergence of </w:t>
      </w:r>
      <w:r w:rsidR="00835458">
        <w:rPr>
          <w:rFonts w:ascii="Times New Roman" w:hAnsi="Times New Roman" w:cs="Times New Roman"/>
          <w:szCs w:val="24"/>
        </w:rPr>
        <w:t xml:space="preserve">NNRTI resistance is </w:t>
      </w:r>
      <w:r w:rsidR="00C80D0A">
        <w:rPr>
          <w:rFonts w:ascii="Times New Roman" w:hAnsi="Times New Roman" w:cs="Times New Roman"/>
          <w:szCs w:val="24"/>
        </w:rPr>
        <w:t>unsurprising.</w:t>
      </w:r>
      <w:r w:rsidR="00B747D0">
        <w:rPr>
          <w:rFonts w:ascii="Times New Roman" w:hAnsi="Times New Roman" w:cs="Times New Roman"/>
          <w:szCs w:val="24"/>
        </w:rPr>
        <w:fldChar w:fldCharType="begin"/>
      </w:r>
      <w:r w:rsidR="00B747D0">
        <w:rPr>
          <w:rFonts w:ascii="Times New Roman" w:hAnsi="Times New Roman" w:cs="Times New Roman"/>
          <w:szCs w:val="24"/>
        </w:rPr>
        <w:instrText xml:space="preserve"> ADDIN ZOTERO_ITEM CSL_CITATION {"citationID":"8iPYHvpr","properties":{"unsorted":false,"formattedCitation":"\\super 22,23\\nosupersub{}","plainCitation":"22,23","noteIndex":0},"citationItems":[{"id":190,"uris":["http://zotero.org/users/19404620/items/8WXHTANG"],"itemData":{"id":190,"type":"article-journal","abstract":"The most significant advance in the medical management of HIV-1 infection has been the treatment of patients with antiviral drugs, which can suppress HIV-1 replication to undetectable levels. The discovery of HIV-1 as the causative agent of AIDS together with an ever-increasing understanding of the virus replication cycle have been instrumental in this effort by providing researchers with the knowledge and tools required to prosecute drug discovery efforts focused on targeted inhibition with specific pharmacological agents. To date, an arsenal of 24 Food and Drug Administration (FDA)-approved drugs are available for treatment of HIV-1 infections. These drugs are distributed into six distinct classes based on their molecular mechanism and resistance profiles: (1) nucleoside-analog reverse transcriptase inhibitors (NNRTIs), (2) non–nucleoside reverse transcriptase inhibitors (NNRTIs), (3) integrase inhibitors, (4) protease inhibitors (PIs), (5) fusion inhibitors, and (6) coreceptor antagonists. In this article, we will review the basic principles of antiretroviral drug therapy, the mode of drug action, and the factors leading to treatment failure (i.e., drug resistance).","container-title":"Cold Spring Harbor Perspectives in Medicine","DOI":"10.1101/cshperspect.a007161","ISSN":", 2157-1422","issue":"4","journalAbbreviation":"Cold Spring Harb Perspect Med","language":"en","page":"a007161","PMID":"22474613","publisher":"Cold Spring Harbor Laboratory Press","source":"perspectivesinmedicine.cshlp.org","title":"HIV-1 Antiretroviral Drug Therapy","volume":"2","author":[{"family":"Arts","given":"Eric J."},{"family":"Hazuda","given":"Daria J."}],"issued":{"date-parts":[["2012",4,1]]}}},{"id":62,"uris":["http://zotero.org/users/19404620/items/AEMYHYHK"],"itemData":{"id":62,"type":"article-journal","abstract":"HIV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B747D0">
        <w:rPr>
          <w:rFonts w:ascii="Times New Roman" w:hAnsi="Times New Roman" w:cs="Times New Roman"/>
          <w:szCs w:val="24"/>
        </w:rPr>
        <w:fldChar w:fldCharType="separate"/>
      </w:r>
      <w:r w:rsidR="00B747D0" w:rsidRPr="00B747D0">
        <w:rPr>
          <w:rFonts w:ascii="Times New Roman" w:eastAsiaTheme="minorHAnsi" w:hAnsi="Times New Roman" w:cs="Times New Roman"/>
          <w:szCs w:val="24"/>
          <w:vertAlign w:val="superscript"/>
        </w:rPr>
        <w:t>22,23</w:t>
      </w:r>
      <w:r w:rsidR="00B747D0">
        <w:rPr>
          <w:rFonts w:ascii="Times New Roman" w:hAnsi="Times New Roman" w:cs="Times New Roman"/>
          <w:szCs w:val="24"/>
        </w:rPr>
        <w:fldChar w:fldCharType="end"/>
      </w:r>
    </w:p>
    <w:p w14:paraId="0A2D5673" w14:textId="5C84AEA4" w:rsidR="005F5ED0" w:rsidRDefault="001464A2" w:rsidP="005F0819">
      <w:pPr>
        <w:spacing w:after="240"/>
        <w:rPr>
          <w:rFonts w:ascii="Times New Roman" w:hAnsi="Times New Roman" w:cs="Times New Roman"/>
          <w:szCs w:val="24"/>
        </w:rPr>
      </w:pPr>
      <w:r>
        <w:rPr>
          <w:rFonts w:ascii="Times New Roman" w:hAnsi="Times New Roman" w:cs="Times New Roman"/>
          <w:szCs w:val="24"/>
        </w:rPr>
        <w:t xml:space="preserve">NNRTI resistance mutations </w:t>
      </w:r>
      <w:r w:rsidR="0014494F">
        <w:rPr>
          <w:rFonts w:ascii="Times New Roman" w:hAnsi="Times New Roman" w:cs="Times New Roman"/>
          <w:szCs w:val="24"/>
        </w:rPr>
        <w:t xml:space="preserve">generally </w:t>
      </w:r>
      <w:r>
        <w:rPr>
          <w:rFonts w:ascii="Times New Roman" w:hAnsi="Times New Roman" w:cs="Times New Roman"/>
          <w:szCs w:val="24"/>
        </w:rPr>
        <w:t>decrease HIV-1 susceptibility by affecting interactions between the inhibitor and the NNIBP.</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{"citationID":"l7qHgsYU","properties":{"unsorted":false,"formattedCitation":"\\super 24\\nosupersub{}","plainCitation":"24","noteIndex":0},"citationItems":[{"id":193,"uris":["http://zotero.org/users/19404620/items/HGGZVZL2"],"itemData":{"id":193,"type":"article-journal","abstract":"The locations of HIV-1 RT nucleoside and non-nucleoside inhibitor-binding sites and inhibitor-resistance mutations are analyzed in the context of the three-dimensional structure of the enzyme and implications for mechanisms of drug inhibition and resistance are discussed. In order to help identify residues that may play a role in inhibitor binding, solvent accessibilities of amino acids that comprise the inhibitor-binding sites in the structure of HIV-1 RT complexed with a dsDNA template-primer are analyzed. While some mutations that cause resistance to nucleoside analogs, such as AZT, ddI, and ddC, are located near enough to the dNTP-binding site to direct interfere with binding of nucleoside analogs many are located away from the DNTP-binding site and more likely confer resistance by other mechanisms. Many of the latter mutations are located on the surface of the DNA-binding cleft and may lead to altered template-primer positioning or conformation, causing a distortion of the geometry of the polymerase active site and consequent discrimination between normal and altered DNTP substrates. Other nucleoside analog-resistance mutations located on the periphery of the DNTP-binding site may exert their effects via altered interactions with DNTP-binding site residues. The structure of the hydrophobic region in HIV-1 RT that binds non-nucleoside inhibitors, for example, nevirapine and TIBO, has been analyzed in the absence of bound ligand. The pocket that is present when non-nucleoside inhibitors are bond is not observed in the inhibitor-free structure of HIV-1 RT with dsdna. In particular it is filled by Tyr181 and Tyr188, suggesting that the pocket is formed primarily by rotation of these large aromatic side-chains. Existing biochemical data, taken together with the three-dimensional structure of HIV-1 RT, makes it possible to propose potential mechanisms of inhibition by non-nucleoside inhibitors. One such mechanism is local distortion of HIV-1 RT structural elements thought to participate in catalysis: the β9-β10 hairpin (which contains polymerase active site residues) and the β12-β13 hairpin (\"primer grip\"). An alternative possibility is restricted mobility of the p66 thumb subdomain, which is supported by the observation that structural elements of the non-nucleoside inhibitor-binding pocket may act as a \"hinge\" for the thumb. Mutations that have been shown to confer resistance to non-nucleoside inhibitors are observed to cluster around the pocket, suggesting that most of these resistance mutations lead to direct alteration of inhibitor binding. A comparison of residues in the non-nucleoside inhibitor-binding pocket of HIV-1 RT and the corresponding residues in HIV-2 RT can explain the low activity of non-nucleoside compounds against HIV-2 RT.","container-title":"Journal of Molecular Biology","DOI":"10.1006/jmbi.1994.1665","ISSN":"0022-2836","issue":"3","journalAbbreviation":"Journal of Molecular Biology","page":"369-387","source":"ScienceDirect","title":"Locations of Anti-AIDS Drug Binding Sites and Resistance Mutations in the Three-dimensional Structure of HIV-1 Reverse Transcriptase: Implications for Mechanisms of Drug Inhibition and Resistance","title-short":"Locations of Anti-AIDS Drug Binding Sites and Resistance Mutations in the Three-dimensional Structure of HIV-1 Reverse Transcriptase","volume":"243","author":[{"family":"Tantillo","given":"Chris"},{"family":"Ding","given":"Jianping"},{"family":"Jacobo-Molina","given":"Alfredo"},{"family":"Nanni","given":"Raymond G."},{"family":"Boyer","given":"Paul L."},{"family":"Hughes","given":"Stephen H."},{"family":"Pauwels","given":"Rudi"},{"family":"Andries","given":"Koen"},{"family":"Janssen","given":"Paul A. J."},{"family":"Arnold","given":"Edward"}],"issued":{"date-parts":[["1994",10,27]]}}}],"schema":"https://github.com/citation-style-language/schema/raw/master/csl-citation.json"} </w:instrText>
      </w:r>
      <w:r>
        <w:rPr>
          <w:rFonts w:ascii="Times New Roman" w:hAnsi="Times New Roman" w:cs="Times New Roman"/>
          <w:szCs w:val="24"/>
        </w:rPr>
        <w:fldChar w:fldCharType="separate"/>
      </w:r>
      <w:r w:rsidRPr="001464A2">
        <w:rPr>
          <w:rFonts w:ascii="Times New Roman" w:eastAsiaTheme="minorHAnsi" w:hAnsi="Times New Roman" w:cs="Times New Roman"/>
          <w:szCs w:val="24"/>
          <w:vertAlign w:val="superscript"/>
        </w:rPr>
        <w:t>24</w:t>
      </w:r>
      <w:r>
        <w:rPr>
          <w:rFonts w:ascii="Times New Roman" w:hAnsi="Times New Roman" w:cs="Times New Roman"/>
          <w:szCs w:val="24"/>
        </w:rPr>
        <w:fldChar w:fldCharType="end"/>
      </w:r>
      <w:r w:rsidR="0014494F">
        <w:rPr>
          <w:rFonts w:ascii="Times New Roman" w:hAnsi="Times New Roman" w:cs="Times New Roman"/>
          <w:szCs w:val="24"/>
        </w:rPr>
        <w:t xml:space="preserve"> K103N </w:t>
      </w:r>
      <w:r w:rsidR="005F7E90">
        <w:rPr>
          <w:rFonts w:ascii="Times New Roman" w:hAnsi="Times New Roman" w:cs="Times New Roman"/>
          <w:szCs w:val="24"/>
        </w:rPr>
        <w:t xml:space="preserve">may </w:t>
      </w:r>
      <w:r w:rsidR="00134A97">
        <w:rPr>
          <w:rFonts w:ascii="Times New Roman" w:hAnsi="Times New Roman" w:cs="Times New Roman"/>
          <w:szCs w:val="24"/>
        </w:rPr>
        <w:t xml:space="preserve">alter allosteric RT dynamics and permit </w:t>
      </w:r>
      <w:r w:rsidR="005A458B">
        <w:rPr>
          <w:rFonts w:ascii="Times New Roman" w:hAnsi="Times New Roman" w:cs="Times New Roman"/>
          <w:szCs w:val="24"/>
        </w:rPr>
        <w:t xml:space="preserve">a productive RT-template/primer-dNTP complex despite </w:t>
      </w:r>
      <w:r w:rsidR="00F25C75">
        <w:rPr>
          <w:rFonts w:ascii="Times New Roman" w:hAnsi="Times New Roman" w:cs="Times New Roman"/>
          <w:szCs w:val="24"/>
        </w:rPr>
        <w:t>NNRTI</w:t>
      </w:r>
      <w:r w:rsidR="005A458B">
        <w:rPr>
          <w:rFonts w:ascii="Times New Roman" w:hAnsi="Times New Roman" w:cs="Times New Roman"/>
          <w:szCs w:val="24"/>
        </w:rPr>
        <w:t xml:space="preserve"> binding</w:t>
      </w:r>
      <w:r w:rsidR="00214355">
        <w:rPr>
          <w:rFonts w:ascii="Times New Roman" w:hAnsi="Times New Roman" w:cs="Times New Roman"/>
          <w:szCs w:val="24"/>
        </w:rPr>
        <w:fldChar w:fldCharType="begin"/>
      </w:r>
      <w:r w:rsidR="005F7E90">
        <w:rPr>
          <w:rFonts w:ascii="Times New Roman" w:hAnsi="Times New Roman" w:cs="Times New Roman"/>
          <w:szCs w:val="24"/>
        </w:rPr>
        <w:instrText xml:space="preserve"> ADDIN ZOTERO_ITEM CSL_CITATION {"citationID":"PYosE16Q","properties":{"unsorted":false,"formattedCitation":"\\super 21\\nosupersub{}","plainCitation":"21","noteIndex":0},"citationItems":[{"id":127,"uris":["http://zotero.org/users/19404620/items/88BXE5MA"],"itemData":{"id":127,"type":"article-journal","abstract":"Non-nucleoside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00214355">
        <w:rPr>
          <w:rFonts w:ascii="Times New Roman" w:hAnsi="Times New Roman" w:cs="Times New Roman"/>
          <w:szCs w:val="24"/>
        </w:rPr>
        <w:fldChar w:fldCharType="separate"/>
      </w:r>
      <w:r w:rsidR="005F7E90" w:rsidRPr="005F7E90">
        <w:rPr>
          <w:rFonts w:ascii="Times New Roman" w:eastAsiaTheme="minorHAnsi" w:hAnsi="Times New Roman" w:cs="Times New Roman"/>
          <w:szCs w:val="24"/>
          <w:vertAlign w:val="superscript"/>
        </w:rPr>
        <w:t>21</w:t>
      </w:r>
      <w:r w:rsidR="00214355">
        <w:rPr>
          <w:rFonts w:ascii="Times New Roman" w:hAnsi="Times New Roman" w:cs="Times New Roman"/>
          <w:szCs w:val="24"/>
        </w:rPr>
        <w:fldChar w:fldCharType="end"/>
      </w:r>
      <w:r w:rsidR="00214355">
        <w:rPr>
          <w:rFonts w:ascii="Times New Roman" w:hAnsi="Times New Roman" w:cs="Times New Roman"/>
          <w:szCs w:val="24"/>
        </w:rPr>
        <w:t xml:space="preserve"> </w:t>
      </w:r>
      <w:r w:rsidR="005F7E90">
        <w:rPr>
          <w:rFonts w:ascii="Times New Roman" w:hAnsi="Times New Roman" w:cs="Times New Roman"/>
          <w:szCs w:val="24"/>
        </w:rPr>
        <w:t xml:space="preserve">or stabilize the closed </w:t>
      </w:r>
      <w:r w:rsidR="00DF6AF9">
        <w:rPr>
          <w:rFonts w:ascii="Times New Roman" w:hAnsi="Times New Roman" w:cs="Times New Roman"/>
          <w:szCs w:val="24"/>
        </w:rPr>
        <w:t>pocket</w:t>
      </w:r>
      <w:r w:rsidR="005F7E90">
        <w:rPr>
          <w:rFonts w:ascii="Times New Roman" w:hAnsi="Times New Roman" w:cs="Times New Roman"/>
          <w:szCs w:val="24"/>
        </w:rPr>
        <w:t xml:space="preserve"> form of RT, thus decreasing </w:t>
      </w:r>
      <w:r w:rsidR="005830D2">
        <w:rPr>
          <w:rFonts w:ascii="Times New Roman" w:hAnsi="Times New Roman" w:cs="Times New Roman"/>
          <w:szCs w:val="24"/>
        </w:rPr>
        <w:t xml:space="preserve">NNRTI </w:t>
      </w:r>
      <w:r w:rsidR="005F7E90">
        <w:rPr>
          <w:rFonts w:ascii="Times New Roman" w:hAnsi="Times New Roman" w:cs="Times New Roman"/>
          <w:szCs w:val="24"/>
        </w:rPr>
        <w:t>binding affinity.</w:t>
      </w:r>
      <w:r w:rsidR="00F25C75">
        <w:rPr>
          <w:rFonts w:ascii="Times New Roman" w:hAnsi="Times New Roman" w:cs="Times New Roman"/>
          <w:szCs w:val="24"/>
        </w:rPr>
        <w:fldChar w:fldCharType="begin"/>
      </w:r>
      <w:r w:rsidR="00F25C75">
        <w:rPr>
          <w:rFonts w:ascii="Times New Roman" w:hAnsi="Times New Roman" w:cs="Times New Roman"/>
          <w:szCs w:val="24"/>
        </w:rPr>
        <w:instrText xml:space="preserve"> ADDIN ZOTERO_ITEM CSL_CITATION {"citationID":"JTzsE6Jl","properties":{"unsorted":false,"formattedCitation":"\\super 25\\nosupersub{}","plainCitation":"25","noteIndex":0},"citationItems":[{"id":92,"uris":["http://zotero.org/users/19404620/items/W528QLF7"],"itemData":{"id":92,"type":"article-journal","abstract":"Inhibitors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rsidR="00F25C75">
        <w:rPr>
          <w:rFonts w:ascii="Times New Roman" w:hAnsi="Times New Roman" w:cs="Times New Roman"/>
          <w:szCs w:val="24"/>
        </w:rPr>
        <w:fldChar w:fldCharType="separate"/>
      </w:r>
      <w:r w:rsidR="00F25C75" w:rsidRPr="00F25C75">
        <w:rPr>
          <w:rFonts w:ascii="Times New Roman" w:eastAsiaTheme="minorHAnsi" w:hAnsi="Times New Roman" w:cs="Times New Roman"/>
          <w:szCs w:val="24"/>
          <w:vertAlign w:val="superscript"/>
        </w:rPr>
        <w:t>25</w:t>
      </w:r>
      <w:r w:rsidR="00F25C75">
        <w:rPr>
          <w:rFonts w:ascii="Times New Roman" w:hAnsi="Times New Roman" w:cs="Times New Roman"/>
          <w:szCs w:val="24"/>
        </w:rPr>
        <w:fldChar w:fldCharType="end"/>
      </w:r>
      <w:r w:rsidR="005F7E90">
        <w:rPr>
          <w:rFonts w:ascii="Times New Roman" w:hAnsi="Times New Roman" w:cs="Times New Roman"/>
          <w:szCs w:val="24"/>
        </w:rPr>
        <w:t xml:space="preserve"> </w:t>
      </w:r>
      <w:r w:rsidR="00214355">
        <w:rPr>
          <w:rFonts w:ascii="Times New Roman" w:hAnsi="Times New Roman" w:cs="Times New Roman"/>
          <w:szCs w:val="24"/>
        </w:rPr>
        <w:t xml:space="preserve">Y181C </w:t>
      </w:r>
      <w:r w:rsidR="00DF6AF9">
        <w:rPr>
          <w:rFonts w:ascii="Times New Roman" w:hAnsi="Times New Roman" w:cs="Times New Roman"/>
          <w:szCs w:val="24"/>
        </w:rPr>
        <w:t xml:space="preserve">may </w:t>
      </w:r>
      <w:r w:rsidR="00214355">
        <w:rPr>
          <w:rFonts w:ascii="Times New Roman" w:hAnsi="Times New Roman" w:cs="Times New Roman"/>
          <w:szCs w:val="24"/>
        </w:rPr>
        <w:t xml:space="preserve">remove </w:t>
      </w:r>
      <w:r w:rsidR="005475A5">
        <w:rPr>
          <w:rFonts w:ascii="Times New Roman" w:hAnsi="Times New Roman" w:cs="Times New Roman"/>
          <w:szCs w:val="24"/>
        </w:rPr>
        <w:t xml:space="preserve">critical </w:t>
      </w:r>
      <w:r w:rsidR="00214355">
        <w:rPr>
          <w:rFonts w:ascii="Times New Roman" w:hAnsi="Times New Roman" w:cs="Times New Roman"/>
          <w:szCs w:val="24"/>
        </w:rPr>
        <w:t xml:space="preserve">aromatic </w:t>
      </w:r>
      <w:r w:rsidR="00EC7DA4">
        <w:rPr>
          <w:rFonts w:ascii="Times New Roman" w:hAnsi="Times New Roman" w:cs="Times New Roman"/>
          <w:szCs w:val="24"/>
        </w:rPr>
        <w:t xml:space="preserve">ring </w:t>
      </w:r>
      <w:r w:rsidR="00214355">
        <w:rPr>
          <w:rFonts w:ascii="Times New Roman" w:hAnsi="Times New Roman" w:cs="Times New Roman"/>
          <w:szCs w:val="24"/>
        </w:rPr>
        <w:t>stacking</w:t>
      </w:r>
      <w:r w:rsidR="005475A5">
        <w:rPr>
          <w:rFonts w:ascii="Times New Roman" w:hAnsi="Times New Roman" w:cs="Times New Roman"/>
          <w:szCs w:val="24"/>
        </w:rPr>
        <w:t xml:space="preserve"> interactions between </w:t>
      </w:r>
      <w:r w:rsidR="00F25C75">
        <w:rPr>
          <w:rFonts w:ascii="Times New Roman" w:hAnsi="Times New Roman" w:cs="Times New Roman"/>
          <w:szCs w:val="24"/>
        </w:rPr>
        <w:t>NNRTIs</w:t>
      </w:r>
      <w:r w:rsidR="005475A5">
        <w:rPr>
          <w:rFonts w:ascii="Times New Roman" w:hAnsi="Times New Roman" w:cs="Times New Roman"/>
          <w:szCs w:val="24"/>
        </w:rPr>
        <w:t xml:space="preserve"> </w:t>
      </w:r>
      <w:r w:rsidR="00ED698D">
        <w:rPr>
          <w:rFonts w:ascii="Times New Roman" w:hAnsi="Times New Roman" w:cs="Times New Roman"/>
          <w:szCs w:val="24"/>
        </w:rPr>
        <w:t>and</w:t>
      </w:r>
      <w:r w:rsidR="005475A5">
        <w:rPr>
          <w:rFonts w:ascii="Times New Roman" w:hAnsi="Times New Roman" w:cs="Times New Roman"/>
          <w:szCs w:val="24"/>
        </w:rPr>
        <w:t xml:space="preserve"> the NNIBP.</w:t>
      </w:r>
      <w:r w:rsidR="00ED698D">
        <w:rPr>
          <w:rFonts w:ascii="Times New Roman" w:hAnsi="Times New Roman" w:cs="Times New Roman"/>
          <w:szCs w:val="24"/>
        </w:rPr>
        <w:fldChar w:fldCharType="begin"/>
      </w:r>
      <w:r w:rsidR="00ED698D">
        <w:rPr>
          <w:rFonts w:ascii="Times New Roman" w:hAnsi="Times New Roman" w:cs="Times New Roman"/>
          <w:szCs w:val="24"/>
        </w:rPr>
        <w:instrText xml:space="preserve"> ADDIN ZOTERO_ITEM CSL_CITATION {"citationID":"GcfR1wOu","properties":{"unsorted":false,"formattedCitation":"\\super 26,27\\nosupersub{}","plainCitation":"26,27","noteIndex":0},"citationItems":[{"id":69,"uris":["http://zotero.org/users/19404620/items/TX3QRYY7"],"itemData":{"id":69,"type":"article-journal","abstract":"Non-nucleoside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rsidR="00ED698D">
        <w:rPr>
          <w:rFonts w:ascii="Times New Roman" w:hAnsi="Times New Roman" w:cs="Times New Roman"/>
          <w:szCs w:val="24"/>
        </w:rPr>
        <w:fldChar w:fldCharType="separate"/>
      </w:r>
      <w:r w:rsidR="00ED698D" w:rsidRPr="00ED698D">
        <w:rPr>
          <w:rFonts w:ascii="Times New Roman" w:eastAsiaTheme="minorHAnsi" w:hAnsi="Times New Roman" w:cs="Times New Roman"/>
          <w:szCs w:val="24"/>
          <w:vertAlign w:val="superscript"/>
        </w:rPr>
        <w:t>26,27</w:t>
      </w:r>
      <w:r w:rsidR="00ED698D">
        <w:rPr>
          <w:rFonts w:ascii="Times New Roman" w:hAnsi="Times New Roman" w:cs="Times New Roman"/>
          <w:szCs w:val="24"/>
        </w:rPr>
        <w:fldChar w:fldCharType="end"/>
      </w:r>
      <w:r w:rsidR="00ED698D">
        <w:rPr>
          <w:rFonts w:ascii="Times New Roman" w:hAnsi="Times New Roman" w:cs="Times New Roman"/>
          <w:szCs w:val="24"/>
        </w:rPr>
        <w:t xml:space="preserve"> </w:t>
      </w:r>
      <w:r w:rsidR="00DF6AF9">
        <w:rPr>
          <w:rFonts w:ascii="Times New Roman" w:hAnsi="Times New Roman" w:cs="Times New Roman"/>
          <w:szCs w:val="24"/>
        </w:rPr>
        <w:t>G190A may add a bulge in a compact binding region, causing steric conflict with the NNRTI.</w:t>
      </w:r>
      <w:r w:rsidR="00D55C96">
        <w:rPr>
          <w:rFonts w:ascii="Times New Roman" w:hAnsi="Times New Roman" w:cs="Times New Roman"/>
          <w:szCs w:val="24"/>
        </w:rPr>
        <w:fldChar w:fldCharType="begin"/>
      </w:r>
      <w:r w:rsidR="00D55C96">
        <w:rPr>
          <w:rFonts w:ascii="Times New Roman" w:hAnsi="Times New Roman" w:cs="Times New Roman"/>
          <w:szCs w:val="24"/>
        </w:rPr>
        <w:instrText xml:space="preserve"> ADDIN ZOTERO_ITEM CSL_CITATION {"citationID":"TNU6oekF","properties":{"unsorted":false,"formattedCitation":"\\super 23\\nosupersub{}","plainCitation":"23","noteIndex":0},"citationItems":[{"id":62,"uris":["http://zotero.org/users/19404620/items/AEMYHYHK"],"itemData":{"id":62,"type":"article-journal","abstract":"HIV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D55C96">
        <w:rPr>
          <w:rFonts w:ascii="Times New Roman" w:hAnsi="Times New Roman" w:cs="Times New Roman"/>
          <w:szCs w:val="24"/>
        </w:rPr>
        <w:fldChar w:fldCharType="separate"/>
      </w:r>
      <w:r w:rsidR="00D55C96" w:rsidRPr="00D55C96">
        <w:rPr>
          <w:rFonts w:ascii="Times New Roman" w:eastAsiaTheme="minorHAnsi" w:hAnsi="Times New Roman" w:cs="Times New Roman"/>
          <w:szCs w:val="24"/>
          <w:vertAlign w:val="superscript"/>
        </w:rPr>
        <w:t>23</w:t>
      </w:r>
      <w:r w:rsidR="00D55C96">
        <w:rPr>
          <w:rFonts w:ascii="Times New Roman" w:hAnsi="Times New Roman" w:cs="Times New Roman"/>
          <w:szCs w:val="24"/>
        </w:rPr>
        <w:fldChar w:fldCharType="end"/>
      </w:r>
      <w:r w:rsidR="005F0819">
        <w:rPr>
          <w:rFonts w:ascii="Times New Roman" w:hAnsi="Times New Roman" w:cs="Times New Roman"/>
          <w:szCs w:val="24"/>
        </w:rPr>
        <w:t xml:space="preserve"> </w:t>
      </w:r>
      <w:r w:rsidR="005F5ED0">
        <w:rPr>
          <w:rFonts w:ascii="Times New Roman" w:hAnsi="Times New Roman" w:cs="Times New Roman"/>
          <w:szCs w:val="24"/>
        </w:rPr>
        <w:t>Second generation NNRTIs like ETR and RPV were specifically designed to counteract such common NNRTI resistance mutations by introducing positional and conformational flexibility, also called “wiggling” and “jiggling”.</w:t>
      </w:r>
      <w:r w:rsidR="00AA7A20">
        <w:rPr>
          <w:rFonts w:ascii="Times New Roman" w:hAnsi="Times New Roman" w:cs="Times New Roman"/>
          <w:szCs w:val="24"/>
        </w:rPr>
        <w:fldChar w:fldCharType="begin"/>
      </w:r>
      <w:r w:rsidR="00AA7A20">
        <w:rPr>
          <w:rFonts w:ascii="Times New Roman" w:hAnsi="Times New Roman" w:cs="Times New Roman"/>
          <w:szCs w:val="24"/>
        </w:rPr>
        <w:instrText xml:space="preserve"> ADDIN ZOTERO_ITEM CSL_CITATION {"citationID":"xp7Ub5B9","properties":{"unsorted":false,"formattedCitation":"\\super 28,29\\nosupersub{}","plainCitation":"28,29","noteIndex":0},"citationItems":[{"id":51,"uris":["http://zotero.org/users/19404620/items/KKL35H8K"],"itemData":{"id":51,"type":"article-journal","abstract":"Anti-AIDS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naïve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(“wiggling”) of DAPY analogues permits access to numerous conformational variants; and (3) the compact design of the DAPY analogues permits significant repositioning and reorientation (translation and rotation) within the pocket (“jiggling”).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A."},{"family":"Andries","given":"Koen"},{"family":"Pauwels","given":"Rudi"},{"family":"Béthune","given":"Marie-Pierre","non-dropping-particle":"de"},{"family":"Boyer","given":"Paul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w:instrText>
      </w:r>
      <w:r w:rsidR="00AA7A20">
        <w:rPr>
          <w:rFonts w:ascii="Cambria Math" w:hAnsi="Cambria Math" w:cs="Cambria Math"/>
          <w:szCs w:val="24"/>
        </w:rPr>
        <w:instrText>∼</w:instrText>
      </w:r>
      <w:r w:rsidR="00AA7A20">
        <w:rPr>
          <w:rFonts w:ascii="Times New Roman" w:hAnsi="Times New Roman" w:cs="Times New Roman"/>
          <w:szCs w:val="24"/>
        </w:rPr>
        <w:instrText xml:space="preserve">25–75 mg/day). We have determined the structure of wild-type HIV-1 RT complexed with TMC278 at 1.8 Å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Å) and L100I/K103N HIV-1 RTs (2.9 Å)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w:instrText>
      </w:r>
      <w:r w:rsidR="00AA7A20">
        <w:rPr>
          <w:rFonts w:ascii="Cambria Math" w:hAnsi="Cambria Math" w:cs="Cambria Math"/>
          <w:szCs w:val="24"/>
        </w:rPr>
        <w:instrText>∼</w:instrText>
      </w:r>
      <w:r w:rsidR="00AA7A20">
        <w:rPr>
          <w:rFonts w:ascii="Times New Roman" w:hAnsi="Times New Roman" w:cs="Times New Roman"/>
          <w:szCs w:val="24"/>
        </w:rPr>
        <w:instrText xml:space="preserve">1.5 Å shift of the conserved Y183MDD motif. In the L100I/K103N RT/TMC278 structure, the binding mode of TMC278 is significantly altered so that the drug conforms to changes in the binding pocket primarily caused by the L100I mutation. The flexible binding pocket acts as a molecular “shrink wrap”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rsidR="00AA7A20">
        <w:rPr>
          <w:rFonts w:ascii="Times New Roman" w:hAnsi="Times New Roman" w:cs="Times New Roman"/>
          <w:szCs w:val="24"/>
        </w:rPr>
        <w:fldChar w:fldCharType="separate"/>
      </w:r>
      <w:r w:rsidR="00AA7A20" w:rsidRPr="00AA7A20">
        <w:rPr>
          <w:rFonts w:ascii="Times New Roman" w:eastAsiaTheme="minorHAnsi" w:hAnsi="Times New Roman" w:cs="Times New Roman"/>
          <w:szCs w:val="24"/>
          <w:vertAlign w:val="superscript"/>
        </w:rPr>
        <w:t>28,29</w:t>
      </w:r>
      <w:r w:rsidR="00AA7A20">
        <w:rPr>
          <w:rFonts w:ascii="Times New Roman" w:hAnsi="Times New Roman" w:cs="Times New Roman"/>
          <w:szCs w:val="24"/>
        </w:rPr>
        <w:fldChar w:fldCharType="end"/>
      </w:r>
      <w:r w:rsidR="00AA7A20">
        <w:rPr>
          <w:rFonts w:ascii="Times New Roman" w:hAnsi="Times New Roman" w:cs="Times New Roman"/>
          <w:szCs w:val="24"/>
        </w:rPr>
        <w:t xml:space="preserve"> </w:t>
      </w:r>
      <w:r w:rsidR="00AA7A20" w:rsidRPr="00AA7A20">
        <w:rPr>
          <w:rFonts w:ascii="Times New Roman" w:hAnsi="Times New Roman" w:cs="Times New Roman"/>
          <w:szCs w:val="24"/>
        </w:rPr>
        <w:t>The flexible structure</w:t>
      </w:r>
      <w:r w:rsidR="00AA7A20">
        <w:rPr>
          <w:rFonts w:ascii="Times New Roman" w:hAnsi="Times New Roman" w:cs="Times New Roman"/>
          <w:szCs w:val="24"/>
        </w:rPr>
        <w:t>s</w:t>
      </w:r>
      <w:r w:rsidR="00AA7A20" w:rsidRPr="00AA7A20">
        <w:rPr>
          <w:rFonts w:ascii="Times New Roman" w:hAnsi="Times New Roman" w:cs="Times New Roman"/>
          <w:szCs w:val="24"/>
        </w:rPr>
        <w:t xml:space="preserve"> of ETR/RPV allow them to rotate within the </w:t>
      </w:r>
      <w:r w:rsidR="005F0819">
        <w:rPr>
          <w:rFonts w:ascii="Times New Roman" w:hAnsi="Times New Roman" w:cs="Times New Roman"/>
          <w:szCs w:val="24"/>
        </w:rPr>
        <w:t>NNIBP,</w:t>
      </w:r>
      <w:r w:rsidR="00AA7A20" w:rsidRPr="00AA7A20">
        <w:rPr>
          <w:rFonts w:ascii="Times New Roman" w:hAnsi="Times New Roman" w:cs="Times New Roman"/>
          <w:szCs w:val="24"/>
        </w:rPr>
        <w:t xml:space="preserve"> permitting multiple interactions with </w:t>
      </w:r>
      <w:r w:rsidR="005F0819">
        <w:rPr>
          <w:rFonts w:ascii="Times New Roman" w:hAnsi="Times New Roman" w:cs="Times New Roman"/>
          <w:szCs w:val="24"/>
        </w:rPr>
        <w:t>NNIBP residues</w:t>
      </w:r>
      <w:r w:rsidR="00AA7A20" w:rsidRPr="00AA7A20">
        <w:rPr>
          <w:rFonts w:ascii="Times New Roman" w:hAnsi="Times New Roman" w:cs="Times New Roman"/>
          <w:szCs w:val="24"/>
        </w:rPr>
        <w:t xml:space="preserve"> even in the presence of NNRTI mutations and thereby allowing them to retain activity against </w:t>
      </w:r>
      <w:r w:rsidR="005F0819">
        <w:rPr>
          <w:rFonts w:ascii="Times New Roman" w:hAnsi="Times New Roman" w:cs="Times New Roman"/>
          <w:szCs w:val="24"/>
        </w:rPr>
        <w:t>certain</w:t>
      </w:r>
      <w:r w:rsidR="00AA7A20" w:rsidRPr="00AA7A20">
        <w:rPr>
          <w:rFonts w:ascii="Times New Roman" w:hAnsi="Times New Roman" w:cs="Times New Roman"/>
          <w:szCs w:val="24"/>
        </w:rPr>
        <w:t xml:space="preserve"> mutant viruses.</w:t>
      </w:r>
      <w:r w:rsidR="005F0819">
        <w:rPr>
          <w:rFonts w:ascii="Times New Roman" w:hAnsi="Times New Roman" w:cs="Times New Roman"/>
          <w:szCs w:val="24"/>
        </w:rPr>
        <w:fldChar w:fldCharType="begin"/>
      </w:r>
      <w:r w:rsidR="005F0819">
        <w:rPr>
          <w:rFonts w:ascii="Times New Roman" w:hAnsi="Times New Roman" w:cs="Times New Roman"/>
          <w:szCs w:val="24"/>
        </w:rPr>
        <w:instrText xml:space="preserve"> ADDIN ZOTERO_ITEM CSL_CITATION {"citationID":"7lH4tafa","properties":{"unsorted":false,"formattedCitation":"\\super 23\\nosupersub{}","plainCitation":"23","noteIndex":0},"citationItems":[{"id":62,"uris":["http://zotero.org/users/19404620/items/AEMYHYHK"],"itemData":{"id":62,"type":"article-journal","abstract":"HIV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5F0819">
        <w:rPr>
          <w:rFonts w:ascii="Times New Roman" w:hAnsi="Times New Roman" w:cs="Times New Roman"/>
          <w:szCs w:val="24"/>
        </w:rPr>
        <w:fldChar w:fldCharType="separate"/>
      </w:r>
      <w:r w:rsidR="005F0819" w:rsidRPr="005F0819">
        <w:rPr>
          <w:rFonts w:ascii="Times New Roman" w:eastAsiaTheme="minorHAnsi" w:hAnsi="Times New Roman" w:cs="Times New Roman"/>
          <w:szCs w:val="24"/>
          <w:vertAlign w:val="superscript"/>
        </w:rPr>
        <w:t>23</w:t>
      </w:r>
      <w:r w:rsidR="005F0819">
        <w:rPr>
          <w:rFonts w:ascii="Times New Roman" w:hAnsi="Times New Roman" w:cs="Times New Roman"/>
          <w:szCs w:val="24"/>
        </w:rPr>
        <w:fldChar w:fldCharType="end"/>
      </w:r>
      <w:r w:rsidR="00AA7A20" w:rsidRPr="00AA7A20">
        <w:rPr>
          <w:rFonts w:ascii="Times New Roman" w:hAnsi="Times New Roman" w:cs="Times New Roman"/>
          <w:szCs w:val="24"/>
        </w:rPr>
        <w:t xml:space="preserve"> </w:t>
      </w:r>
    </w:p>
    <w:p w14:paraId="37AF2E30" w14:textId="38B3FEE2" w:rsidR="005F0819" w:rsidRPr="005F0819" w:rsidRDefault="005F0819" w:rsidP="005F0819">
      <w:pPr>
        <w:spacing w:after="240"/>
        <w:rPr>
          <w:rFonts w:ascii="Times New Roman" w:hAnsi="Times New Roman" w:cs="Times New Roman"/>
          <w:szCs w:val="24"/>
        </w:rPr>
      </w:pPr>
      <w:r w:rsidRPr="005F0819">
        <w:rPr>
          <w:rFonts w:ascii="Times New Roman" w:hAnsi="Times New Roman" w:cs="Times New Roman"/>
          <w:szCs w:val="24"/>
        </w:rPr>
        <w:t xml:space="preserve">Unlike ETR/RPV, DOR was designed by introducing cyclic constraints in a novel class of </w:t>
      </w:r>
      <w:proofErr w:type="spellStart"/>
      <w:r w:rsidRPr="005F0819">
        <w:rPr>
          <w:rFonts w:ascii="Times New Roman" w:hAnsi="Times New Roman" w:cs="Times New Roman"/>
          <w:szCs w:val="24"/>
        </w:rPr>
        <w:t>diaryl</w:t>
      </w:r>
      <w:proofErr w:type="spellEnd"/>
      <w:r w:rsidRPr="005F0819">
        <w:rPr>
          <w:rFonts w:ascii="Times New Roman" w:hAnsi="Times New Roman" w:cs="Times New Roman"/>
          <w:szCs w:val="24"/>
        </w:rPr>
        <w:t xml:space="preserve"> ether NNRTIs.</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{"citationID":"69f3xLDY","properties":{"unsorted":false,"formattedCitation":"\\super 30\\nosupersub{}","plainCitation":"30","noteIndex":0},"citationItems":[{"id":137,"uris":["http://zotero.org/users/19404620/items/RH8X5FM6"],"itemData":{"id":137,"type":"article-journal","abstract":"The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Pr>
          <w:rFonts w:ascii="Times New Roman" w:hAnsi="Times New Roman" w:cs="Times New Roman"/>
          <w:szCs w:val="24"/>
        </w:rPr>
        <w:fldChar w:fldCharType="separate"/>
      </w:r>
      <w:r w:rsidRPr="005F0819">
        <w:rPr>
          <w:rFonts w:ascii="Times New Roman" w:eastAsiaTheme="minorHAnsi" w:hAnsi="Times New Roman" w:cs="Times New Roman"/>
          <w:szCs w:val="24"/>
          <w:vertAlign w:val="superscript"/>
        </w:rPr>
        <w:t>30</w:t>
      </w:r>
      <w:r>
        <w:rPr>
          <w:rFonts w:ascii="Times New Roman" w:hAnsi="Times New Roman" w:cs="Times New Roman"/>
          <w:szCs w:val="24"/>
        </w:rPr>
        <w:fldChar w:fldCharType="end"/>
      </w:r>
      <w:r w:rsidRPr="005F0819">
        <w:rPr>
          <w:rFonts w:ascii="Times New Roman" w:hAnsi="Times New Roman" w:cs="Times New Roman"/>
          <w:szCs w:val="24"/>
        </w:rPr>
        <w:t xml:space="preserve"> DOR makes a unique H-bond </w:t>
      </w:r>
      <w:r>
        <w:rPr>
          <w:rFonts w:ascii="Times New Roman" w:hAnsi="Times New Roman" w:cs="Times New Roman"/>
          <w:szCs w:val="24"/>
        </w:rPr>
        <w:t>with</w:t>
      </w:r>
      <w:r w:rsidRPr="005F0819">
        <w:rPr>
          <w:rFonts w:ascii="Times New Roman" w:hAnsi="Times New Roman" w:cs="Times New Roman"/>
          <w:szCs w:val="24"/>
        </w:rPr>
        <w:t xml:space="preserve"> the backbone of Lys103, and the Tyr181 side chain is rotated by 90° away from Tyr188 when compared to apo, ETR, EFV, and RPV X-ray structures.</w:t>
      </w:r>
      <w:r>
        <w:rPr>
          <w:rFonts w:ascii="Times New Roman" w:hAnsi="Times New Roman" w:cs="Times New Roman"/>
          <w:szCs w:val="24"/>
        </w:rPr>
        <w:fldChar w:fldCharType="begin"/>
      </w:r>
      <w:r w:rsidR="002D20AA">
        <w:rPr>
          <w:rFonts w:ascii="Times New Roman" w:hAnsi="Times New Roman" w:cs="Times New Roman"/>
          <w:szCs w:val="24"/>
        </w:rPr>
        <w:instrText xml:space="preserve"> ADDIN ZOTERO_ITEM CSL_CITATION {"citationID":"7rUOIutJ","properties":{"unsorted":false,"formattedCitation":"\\super 16\\nosupersub{}","plainCitation":"16","noteIndex":0},"citationItems":[{"id":109,"uris":["http://zotero.org/users/19404620/items/NZIBLVPF"],"itemData":{"id":109,"type":"article-journal","abstract":"Since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Pr>
          <w:rFonts w:ascii="Times New Roman" w:hAnsi="Times New Roman" w:cs="Times New Roman"/>
          <w:szCs w:val="24"/>
        </w:rPr>
        <w:fldChar w:fldCharType="separate"/>
      </w:r>
      <w:r w:rsidR="002D20AA" w:rsidRPr="002D20AA">
        <w:rPr>
          <w:rFonts w:ascii="Times New Roman" w:eastAsiaTheme="minorHAnsi" w:hAnsi="Times New Roman" w:cs="Times New Roman"/>
          <w:szCs w:val="24"/>
          <w:vertAlign w:val="superscript"/>
        </w:rPr>
        <w:t>16</w:t>
      </w:r>
      <w:r>
        <w:rPr>
          <w:rFonts w:ascii="Times New Roman" w:hAnsi="Times New Roman" w:cs="Times New Roman"/>
          <w:szCs w:val="24"/>
        </w:rPr>
        <w:fldChar w:fldCharType="end"/>
      </w:r>
      <w:r w:rsidRPr="005F0819">
        <w:rPr>
          <w:rFonts w:ascii="Times New Roman" w:hAnsi="Times New Roman" w:cs="Times New Roman"/>
          <w:szCs w:val="24"/>
        </w:rPr>
        <w:t xml:space="preserve"> As a result, binding of DOR is likely less dependent on Lys103 and Tyr181 and consequently has a superior profile against common resistance mutations at these sites. On the other hand, the central phenyl ring in DOR makes a hydrophobic bond with Val106 that is often observed in </w:t>
      </w:r>
      <w:r w:rsidRPr="002D20AA">
        <w:rPr>
          <w:rFonts w:ascii="Times New Roman" w:hAnsi="Times New Roman" w:cs="Times New Roman"/>
          <w:i/>
          <w:iCs/>
          <w:szCs w:val="24"/>
        </w:rPr>
        <w:t>in vitro</w:t>
      </w:r>
      <w:r w:rsidRPr="005F0819">
        <w:rPr>
          <w:rFonts w:ascii="Times New Roman" w:hAnsi="Times New Roman" w:cs="Times New Roman"/>
          <w:szCs w:val="24"/>
        </w:rPr>
        <w:t xml:space="preserve"> susceptibility assays to be mutated to V106A,</w:t>
      </w:r>
      <w:r w:rsidR="00B24F5E">
        <w:rPr>
          <w:rFonts w:ascii="Times New Roman" w:hAnsi="Times New Roman" w:cs="Times New Roman"/>
          <w:szCs w:val="24"/>
        </w:rPr>
        <w:fldChar w:fldCharType="begin"/>
      </w:r>
      <w:r w:rsidR="00B24F5E">
        <w:rPr>
          <w:rFonts w:ascii="Times New Roman" w:hAnsi="Times New Roman" w:cs="Times New Roman"/>
          <w:szCs w:val="24"/>
        </w:rPr>
        <w:instrText xml:space="preserve"> ADDIN ZOTERO_ITEM CSL_CITATION {"citationID":"ibMX5gJQ","properties":{"unsorted":false,"formattedCitation":"\\super 31,32\\nosupersub{}","plainCitation":"31,32","noteIndex":0},"citationItems":[{"id":202,"uris":["http://zotero.org/users/19404620/items/4IJXPB4P"],"itemData":{"id":202,"type":"article-journal","abstract":"Nonnucleoside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B24F5E">
        <w:rPr>
          <w:rFonts w:ascii="Times New Roman" w:hAnsi="Times New Roman" w:cs="Times New Roman"/>
          <w:szCs w:val="24"/>
        </w:rPr>
        <w:fldChar w:fldCharType="separate"/>
      </w:r>
      <w:r w:rsidR="00B24F5E" w:rsidRPr="00B24F5E">
        <w:rPr>
          <w:rFonts w:ascii="Times New Roman" w:eastAsiaTheme="minorHAnsi" w:hAnsi="Times New Roman" w:cs="Times New Roman"/>
          <w:szCs w:val="24"/>
          <w:vertAlign w:val="superscript"/>
        </w:rPr>
        <w:t>31,32</w:t>
      </w:r>
      <w:r w:rsidR="00B24F5E">
        <w:rPr>
          <w:rFonts w:ascii="Times New Roman" w:hAnsi="Times New Roman" w:cs="Times New Roman"/>
          <w:szCs w:val="24"/>
        </w:rPr>
        <w:fldChar w:fldCharType="end"/>
      </w:r>
      <w:r w:rsidRPr="005F0819">
        <w:rPr>
          <w:rFonts w:ascii="Times New Roman" w:hAnsi="Times New Roman" w:cs="Times New Roman"/>
          <w:szCs w:val="24"/>
        </w:rPr>
        <w:t xml:space="preserve"> causing significant </w:t>
      </w:r>
      <w:r w:rsidRPr="005F0819">
        <w:rPr>
          <w:rFonts w:ascii="Times New Roman" w:hAnsi="Times New Roman" w:cs="Times New Roman"/>
          <w:szCs w:val="24"/>
        </w:rPr>
        <w:lastRenderedPageBreak/>
        <w:t xml:space="preserve">reduction in activity for DOR. Similarly, combinations of V106A/I with F227C/L, L234I, and P225H </w:t>
      </w:r>
      <w:r w:rsidR="00B24F5E">
        <w:rPr>
          <w:rFonts w:ascii="Times New Roman" w:hAnsi="Times New Roman" w:cs="Times New Roman"/>
          <w:szCs w:val="24"/>
        </w:rPr>
        <w:t xml:space="preserve">could </w:t>
      </w:r>
      <w:r w:rsidRPr="005F0819">
        <w:rPr>
          <w:rFonts w:ascii="Times New Roman" w:hAnsi="Times New Roman" w:cs="Times New Roman"/>
          <w:szCs w:val="24"/>
        </w:rPr>
        <w:t xml:space="preserve">cause &gt;100-fold reduction in susceptibility </w:t>
      </w:r>
      <w:r w:rsidR="00C808C3">
        <w:rPr>
          <w:rFonts w:ascii="Times New Roman" w:hAnsi="Times New Roman" w:cs="Times New Roman"/>
          <w:szCs w:val="24"/>
        </w:rPr>
        <w:t>to</w:t>
      </w:r>
      <w:r w:rsidRPr="005F0819">
        <w:rPr>
          <w:rFonts w:ascii="Times New Roman" w:hAnsi="Times New Roman" w:cs="Times New Roman"/>
          <w:szCs w:val="24"/>
        </w:rPr>
        <w:t xml:space="preserve"> DOR</w:t>
      </w:r>
      <w:r w:rsidR="00C808C3">
        <w:rPr>
          <w:rFonts w:ascii="Times New Roman" w:hAnsi="Times New Roman" w:cs="Times New Roman"/>
          <w:szCs w:val="24"/>
        </w:rPr>
        <w:fldChar w:fldCharType="begin"/>
      </w:r>
      <w:r w:rsidR="00C808C3">
        <w:rPr>
          <w:rFonts w:ascii="Times New Roman" w:hAnsi="Times New Roman" w:cs="Times New Roman"/>
          <w:szCs w:val="24"/>
        </w:rPr>
        <w:instrText xml:space="preserve"> ADDIN ZOTERO_ITEM CSL_CITATION {"citationID":"BnzBg6iq","properties":{"unsorted":false,"formattedCitation":"\\super 33\\nosupersub{}","plainCitation":"33","noteIndex":0},"citationItems":[{"id":107,"uris":["http://zotero.org/users/19404620/items/MU4N386R"],"itemData":{"id":107,"type":"article-journal","abstract":"Doravirine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rsidR="00C808C3">
        <w:rPr>
          <w:rFonts w:ascii="Times New Roman" w:hAnsi="Times New Roman" w:cs="Times New Roman"/>
          <w:szCs w:val="24"/>
        </w:rPr>
        <w:fldChar w:fldCharType="separate"/>
      </w:r>
      <w:r w:rsidR="00C808C3" w:rsidRPr="00C808C3">
        <w:rPr>
          <w:rFonts w:ascii="Times New Roman" w:eastAsiaTheme="minorHAnsi" w:hAnsi="Times New Roman" w:cs="Times New Roman"/>
          <w:szCs w:val="24"/>
          <w:vertAlign w:val="superscript"/>
        </w:rPr>
        <w:t>33</w:t>
      </w:r>
      <w:r w:rsidR="00C808C3">
        <w:rPr>
          <w:rFonts w:ascii="Times New Roman" w:hAnsi="Times New Roman" w:cs="Times New Roman"/>
          <w:szCs w:val="24"/>
        </w:rPr>
        <w:fldChar w:fldCharType="end"/>
      </w:r>
      <w:r w:rsidRPr="005F0819">
        <w:rPr>
          <w:rFonts w:ascii="Times New Roman" w:hAnsi="Times New Roman" w:cs="Times New Roman"/>
          <w:szCs w:val="24"/>
        </w:rPr>
        <w:t xml:space="preserve"> but not EFV, ETR, or RPV. </w:t>
      </w:r>
    </w:p>
    <w:p w14:paraId="5F8AA490" w14:textId="1755C7F6" w:rsidR="000156E3" w:rsidRDefault="00EB72A7" w:rsidP="000156E3">
      <w:pPr>
        <w:rPr>
          <w:rFonts w:ascii="Times New Roman" w:hAnsi="Times New Roman" w:cs="Times New Roman"/>
          <w:szCs w:val="24"/>
        </w:rPr>
      </w:pPr>
      <w:r>
        <w:rPr>
          <w:rFonts w:ascii="Times New Roman" w:hAnsi="Times New Roman" w:cs="Times New Roman"/>
          <w:noProof/>
          <w:szCs w:val="24"/>
        </w:rPr>
        <w:drawing>
          <wp:inline distT="0" distB="0" distL="0" distR="0" wp14:anchorId="50E4E92E" wp14:editId="5F974482">
            <wp:extent cx="5943600" cy="6109335"/>
            <wp:effectExtent l="0" t="0" r="0" b="0"/>
            <wp:docPr id="76057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7378" name="Picture 760573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109335"/>
                    </a:xfrm>
                    <a:prstGeom prst="rect">
                      <a:avLst/>
                    </a:prstGeom>
                  </pic:spPr>
                </pic:pic>
              </a:graphicData>
            </a:graphic>
          </wp:inline>
        </w:drawing>
      </w:r>
    </w:p>
    <w:p w14:paraId="08682620" w14:textId="05719561" w:rsidR="000366F8" w:rsidRPr="00B44656" w:rsidRDefault="000156E3">
      <w:pPr>
        <w:rPr>
          <w:rFonts w:ascii="Times New Roman" w:hAnsi="Times New Roman" w:cs="Times New Roman"/>
          <w:sz w:val="22"/>
          <w:szCs w:val="22"/>
        </w:rPr>
      </w:pPr>
      <w:r w:rsidRPr="00B44656">
        <w:rPr>
          <w:rFonts w:ascii="Times New Roman" w:hAnsi="Times New Roman" w:cs="Times New Roman"/>
          <w:b/>
          <w:bCs/>
          <w:sz w:val="22"/>
          <w:szCs w:val="22"/>
        </w:rPr>
        <w:t xml:space="preserve">Figure </w:t>
      </w:r>
      <w:r w:rsidR="00254253" w:rsidRPr="00B44656">
        <w:rPr>
          <w:rFonts w:ascii="Times New Roman" w:hAnsi="Times New Roman" w:cs="Times New Roman"/>
          <w:b/>
          <w:bCs/>
          <w:sz w:val="22"/>
          <w:szCs w:val="22"/>
        </w:rPr>
        <w:t>1</w:t>
      </w:r>
      <w:r w:rsidRPr="00B44656">
        <w:rPr>
          <w:rFonts w:ascii="Times New Roman" w:hAnsi="Times New Roman" w:cs="Times New Roman"/>
          <w:b/>
          <w:bCs/>
          <w:sz w:val="22"/>
          <w:szCs w:val="22"/>
        </w:rPr>
        <w:t>: Crystal structure of DOR bound to WT RT (PDB ID: 4NCG).</w:t>
      </w:r>
      <w:r w:rsidRPr="00B44656">
        <w:rPr>
          <w:rFonts w:ascii="Times New Roman" w:hAnsi="Times New Roman" w:cs="Times New Roman"/>
          <w:sz w:val="22"/>
          <w:szCs w:val="22"/>
        </w:rPr>
        <w:t xml:space="preserve"> </w:t>
      </w:r>
      <w:r w:rsidR="00EB72A7" w:rsidRPr="00B44656">
        <w:rPr>
          <w:rFonts w:ascii="Times New Roman" w:hAnsi="Times New Roman" w:cs="Times New Roman"/>
          <w:b/>
          <w:bCs/>
          <w:sz w:val="22"/>
          <w:szCs w:val="22"/>
        </w:rPr>
        <w:t>(A)</w:t>
      </w:r>
      <w:r w:rsidR="00EB72A7" w:rsidRPr="00B44656">
        <w:rPr>
          <w:rFonts w:ascii="Times New Roman" w:hAnsi="Times New Roman" w:cs="Times New Roman"/>
          <w:sz w:val="22"/>
          <w:szCs w:val="22"/>
        </w:rPr>
        <w:t xml:space="preserve"> Annotated structure of WT RT in complex with DOR simulated in this work. The NNIBP including DOR is highlighted in a light gray oval. </w:t>
      </w:r>
      <w:r w:rsidR="00EB72A7" w:rsidRPr="00B44656">
        <w:rPr>
          <w:rFonts w:ascii="Times New Roman" w:hAnsi="Times New Roman" w:cs="Times New Roman"/>
          <w:b/>
          <w:bCs/>
          <w:sz w:val="22"/>
          <w:szCs w:val="22"/>
        </w:rPr>
        <w:t xml:space="preserve">(B) </w:t>
      </w:r>
      <w:r w:rsidRPr="00B44656">
        <w:rPr>
          <w:rFonts w:ascii="Times New Roman" w:hAnsi="Times New Roman" w:cs="Times New Roman"/>
          <w:sz w:val="22"/>
          <w:szCs w:val="22"/>
        </w:rPr>
        <w:t xml:space="preserve">Visualization of DOR within the NNIBP, segmented into seven regions: β6 strand (blue), Pocket entrance (orange), 103-108 loop (yellow), Hydrophobic tunnel (green), β9-β10 hairpin (red), β12-β13 primer grip (purple), Distal pocket wall (teal). </w:t>
      </w:r>
      <w:r w:rsidR="00EB72A7" w:rsidRPr="00B44656">
        <w:rPr>
          <w:rFonts w:ascii="Times New Roman" w:hAnsi="Times New Roman" w:cs="Times New Roman"/>
          <w:b/>
          <w:bCs/>
          <w:sz w:val="22"/>
          <w:szCs w:val="22"/>
        </w:rPr>
        <w:t>(C)</w:t>
      </w:r>
      <w:r w:rsidR="00EB72A7" w:rsidRPr="00B44656">
        <w:rPr>
          <w:rFonts w:ascii="Times New Roman" w:hAnsi="Times New Roman" w:cs="Times New Roman"/>
          <w:i/>
          <w:iCs/>
          <w:sz w:val="22"/>
          <w:szCs w:val="22"/>
        </w:rPr>
        <w:t xml:space="preserve"> </w:t>
      </w:r>
      <w:r w:rsidR="00EB72A7" w:rsidRPr="00B44656">
        <w:rPr>
          <w:rFonts w:ascii="Times New Roman" w:hAnsi="Times New Roman" w:cs="Times New Roman"/>
          <w:sz w:val="22"/>
          <w:szCs w:val="22"/>
        </w:rPr>
        <w:t>Minimum heavy atom distances between DOR (yellow) and eight key NNIBP residues (pink).</w:t>
      </w:r>
    </w:p>
    <w:p w14:paraId="285C23AD" w14:textId="2FBBE093" w:rsidR="00EB72A7" w:rsidRPr="00C808C3" w:rsidRDefault="00EB72A7" w:rsidP="00EB72A7">
      <w:pPr>
        <w:spacing w:before="240" w:after="240"/>
        <w:rPr>
          <w:rFonts w:ascii="Times New Roman" w:hAnsi="Times New Roman" w:cs="Times New Roman"/>
          <w:szCs w:val="24"/>
        </w:rPr>
      </w:pPr>
      <w:r w:rsidRPr="005F0819">
        <w:rPr>
          <w:rFonts w:ascii="Times New Roman" w:hAnsi="Times New Roman" w:cs="Times New Roman"/>
          <w:szCs w:val="24"/>
        </w:rPr>
        <w:t xml:space="preserve">This unique resistance profile has allowed DOR to become an integral component of the standard of care in ART. Yet the limited availability of DOR-resistance data has precluded its use in </w:t>
      </w:r>
      <w:r w:rsidRPr="005F0819">
        <w:rPr>
          <w:rFonts w:ascii="Times New Roman" w:hAnsi="Times New Roman" w:cs="Times New Roman"/>
          <w:szCs w:val="24"/>
        </w:rPr>
        <w:lastRenderedPageBreak/>
        <w:t>persons with pre-existing NNRTI resistance. To investigate mechanisms of DOR resistance and explore computational approaches to fill gaps in DOR susceptibility data, we performed all-atom explicit solvent molecular dynamics (MD) simulations on 1</w:t>
      </w:r>
      <w:r>
        <w:rPr>
          <w:rFonts w:ascii="Times New Roman" w:hAnsi="Times New Roman" w:cs="Times New Roman"/>
          <w:szCs w:val="24"/>
        </w:rPr>
        <w:t>9</w:t>
      </w:r>
      <w:r w:rsidRPr="005F0819">
        <w:rPr>
          <w:rFonts w:ascii="Times New Roman" w:hAnsi="Times New Roman" w:cs="Times New Roman"/>
          <w:szCs w:val="24"/>
        </w:rPr>
        <w:t xml:space="preserve"> RT-DOR complexes, corresponding to wild-type</w:t>
      </w:r>
      <w:r>
        <w:rPr>
          <w:rFonts w:ascii="Times New Roman" w:hAnsi="Times New Roman" w:cs="Times New Roman"/>
          <w:szCs w:val="24"/>
        </w:rPr>
        <w:t xml:space="preserve"> (WT)</w:t>
      </w:r>
      <w:r w:rsidRPr="005F0819">
        <w:rPr>
          <w:rFonts w:ascii="Times New Roman" w:hAnsi="Times New Roman" w:cs="Times New Roman"/>
          <w:szCs w:val="24"/>
        </w:rPr>
        <w:t xml:space="preserve"> RT and 18 DOR-associated genotypes.</w:t>
      </w:r>
      <w:r>
        <w:rPr>
          <w:rFonts w:ascii="Times New Roman" w:hAnsi="Times New Roman" w:cs="Times New Roman"/>
          <w:szCs w:val="24"/>
        </w:rPr>
        <w:t xml:space="preserve"> </w:t>
      </w:r>
      <w:r w:rsidRPr="005F0819">
        <w:rPr>
          <w:rFonts w:ascii="Times New Roman" w:hAnsi="Times New Roman" w:cs="Times New Roman"/>
          <w:szCs w:val="24"/>
        </w:rPr>
        <w:t xml:space="preserve">Our results demonstrate that computational approaches relying on a combination of physics-based molecular dynamics simulations and machine learning models can </w:t>
      </w:r>
      <w:r>
        <w:rPr>
          <w:rFonts w:ascii="Times New Roman" w:hAnsi="Times New Roman" w:cs="Times New Roman"/>
          <w:szCs w:val="24"/>
        </w:rPr>
        <w:t>correlate with</w:t>
      </w:r>
      <w:r w:rsidRPr="005F0819">
        <w:rPr>
          <w:rFonts w:ascii="Times New Roman" w:hAnsi="Times New Roman" w:cs="Times New Roman"/>
          <w:szCs w:val="24"/>
        </w:rPr>
        <w:t xml:space="preserve">, and provide </w:t>
      </w:r>
      <w:r w:rsidR="0096776C">
        <w:rPr>
          <w:rFonts w:ascii="Times New Roman" w:hAnsi="Times New Roman" w:cs="Times New Roman"/>
          <w:szCs w:val="24"/>
        </w:rPr>
        <w:t>structural</w:t>
      </w:r>
      <w:r w:rsidRPr="005F0819">
        <w:rPr>
          <w:rFonts w:ascii="Times New Roman" w:hAnsi="Times New Roman" w:cs="Times New Roman"/>
          <w:szCs w:val="24"/>
        </w:rPr>
        <w:t xml:space="preserve"> interpretations for, mutation-induced changes in DOR susceptibility to HIV. Such computational approaches could </w:t>
      </w:r>
      <w:r>
        <w:rPr>
          <w:rFonts w:ascii="Times New Roman" w:hAnsi="Times New Roman" w:cs="Times New Roman"/>
          <w:szCs w:val="24"/>
        </w:rPr>
        <w:t xml:space="preserve">potentially </w:t>
      </w:r>
      <w:r w:rsidRPr="005F0819">
        <w:rPr>
          <w:rFonts w:ascii="Times New Roman" w:hAnsi="Times New Roman" w:cs="Times New Roman"/>
          <w:szCs w:val="24"/>
        </w:rPr>
        <w:t xml:space="preserve">be used to predict the risk of prescribing DOR in people with pre-existing NNRTI resistance mutations in the clinic as well as for rational design of </w:t>
      </w:r>
      <w:r>
        <w:rPr>
          <w:rFonts w:ascii="Times New Roman" w:hAnsi="Times New Roman" w:cs="Times New Roman"/>
          <w:szCs w:val="24"/>
        </w:rPr>
        <w:t>novel</w:t>
      </w:r>
      <w:r w:rsidRPr="005F0819">
        <w:rPr>
          <w:rFonts w:ascii="Times New Roman" w:hAnsi="Times New Roman" w:cs="Times New Roman"/>
          <w:szCs w:val="24"/>
        </w:rPr>
        <w:t xml:space="preserve"> NNRTIs with higher genetic barriers to drug resistance in the laboratory.</w:t>
      </w:r>
    </w:p>
    <w:p w14:paraId="71D162A3" w14:textId="77777777" w:rsidR="00EB72A7" w:rsidRDefault="00EB72A7" w:rsidP="00EB72A7">
      <w:pPr>
        <w:spacing w:after="240"/>
        <w:rPr>
          <w:rFonts w:ascii="Times New Roman" w:hAnsi="Times New Roman" w:cs="Times New Roman"/>
          <w:b/>
          <w:bCs/>
          <w:sz w:val="28"/>
          <w:szCs w:val="28"/>
        </w:rPr>
      </w:pPr>
      <w:r>
        <w:rPr>
          <w:rFonts w:ascii="Times New Roman" w:hAnsi="Times New Roman" w:cs="Times New Roman"/>
          <w:b/>
          <w:bCs/>
          <w:sz w:val="28"/>
          <w:szCs w:val="28"/>
        </w:rPr>
        <w:t>Results</w:t>
      </w:r>
    </w:p>
    <w:p w14:paraId="3F74EA6C" w14:textId="5B311C38" w:rsidR="0061294B" w:rsidRPr="00472985" w:rsidRDefault="00C965EE" w:rsidP="0061294B">
      <w:pPr>
        <w:rPr>
          <w:rFonts w:ascii="Times New Roman" w:hAnsi="Times New Roman" w:cs="Times New Roman"/>
          <w:b/>
          <w:bCs/>
          <w:szCs w:val="24"/>
          <w:u w:val="single"/>
        </w:rPr>
      </w:pPr>
      <w:r w:rsidRPr="00D55273">
        <w:rPr>
          <w:rFonts w:ascii="Times New Roman" w:hAnsi="Times New Roman" w:cs="Times New Roman"/>
          <w:b/>
          <w:bCs/>
          <w:szCs w:val="24"/>
          <w:u w:val="single"/>
        </w:rPr>
        <w:t>DOR Phenotypic susceptibility landscape</w:t>
      </w:r>
    </w:p>
    <w:p w14:paraId="166AC4BA" w14:textId="77777777" w:rsidR="00471553" w:rsidRDefault="00C965EE" w:rsidP="007D28A7">
      <w:pPr>
        <w:spacing w:after="240"/>
        <w:rPr>
          <w:rFonts w:ascii="Times New Roman" w:hAnsi="Times New Roman" w:cs="Times New Roman"/>
          <w:szCs w:val="24"/>
        </w:rPr>
      </w:pPr>
      <w:r w:rsidRPr="00C965EE">
        <w:rPr>
          <w:rFonts w:ascii="Times New Roman" w:hAnsi="Times New Roman" w:cs="Times New Roman"/>
          <w:szCs w:val="24"/>
        </w:rPr>
        <w:t xml:space="preserve">We assembled a panel of 18 DOR-associated genotypes for simulation together with WT RT. These genotypes were selected to cover three distinct categories: </w:t>
      </w:r>
    </w:p>
    <w:p w14:paraId="2D4A7C4B" w14:textId="1D8F051E" w:rsidR="00471553" w:rsidRPr="00471553" w:rsidRDefault="00FD5AE8" w:rsidP="00472985">
      <w:pPr>
        <w:pStyle w:val="ListParagraph"/>
        <w:numPr>
          <w:ilvl w:val="0"/>
          <w:numId w:val="1"/>
        </w:numPr>
        <w:spacing w:before="240" w:after="240"/>
        <w:rPr>
          <w:rFonts w:ascii="Times New Roman" w:hAnsi="Times New Roman" w:cs="Times New Roman"/>
          <w:szCs w:val="24"/>
        </w:rPr>
      </w:pPr>
      <w:r w:rsidRPr="00471553">
        <w:rPr>
          <w:rFonts w:ascii="Times New Roman" w:hAnsi="Times New Roman" w:cs="Times New Roman"/>
          <w:i/>
          <w:iCs/>
          <w:szCs w:val="24"/>
        </w:rPr>
        <w:t>Negative controls</w:t>
      </w:r>
      <w:r w:rsidRPr="00471553">
        <w:rPr>
          <w:rFonts w:ascii="Times New Roman" w:hAnsi="Times New Roman" w:cs="Times New Roman"/>
          <w:szCs w:val="24"/>
        </w:rPr>
        <w:t xml:space="preserve">: </w:t>
      </w:r>
      <w:r w:rsidR="00C965EE" w:rsidRPr="00471553">
        <w:rPr>
          <w:rFonts w:ascii="Times New Roman" w:hAnsi="Times New Roman" w:cs="Times New Roman"/>
          <w:szCs w:val="24"/>
        </w:rPr>
        <w:t>well-established low-impact control mutations</w:t>
      </w:r>
      <w:r w:rsidR="00BF3DF7" w:rsidRPr="00471553">
        <w:rPr>
          <w:rFonts w:ascii="Times New Roman" w:hAnsi="Times New Roman" w:cs="Times New Roman"/>
          <w:szCs w:val="24"/>
        </w:rPr>
        <w:t xml:space="preserve"> associated with little, if any, reduction in DOR susceptibility</w:t>
      </w:r>
      <w:r w:rsidR="00471553" w:rsidRPr="00471553">
        <w:rPr>
          <w:rFonts w:ascii="Times New Roman" w:hAnsi="Times New Roman" w:cs="Times New Roman"/>
          <w:szCs w:val="24"/>
        </w:rPr>
        <w:t>.</w:t>
      </w:r>
      <w:r w:rsidR="00C965EE" w:rsidRPr="00471553">
        <w:rPr>
          <w:rFonts w:ascii="Times New Roman" w:hAnsi="Times New Roman" w:cs="Times New Roman"/>
          <w:szCs w:val="24"/>
        </w:rPr>
        <w:t xml:space="preserve"> </w:t>
      </w:r>
      <w:r w:rsidR="00471553" w:rsidRPr="00471553">
        <w:rPr>
          <w:rFonts w:ascii="Times New Roman" w:hAnsi="Times New Roman" w:cs="Times New Roman"/>
          <w:szCs w:val="24"/>
        </w:rPr>
        <w:t xml:space="preserve">These include K103N, V106I, Y181C, and G190A. </w:t>
      </w:r>
    </w:p>
    <w:p w14:paraId="413287BE" w14:textId="7FA6A549" w:rsidR="00471553" w:rsidRDefault="00FD5AE8" w:rsidP="00472985">
      <w:pPr>
        <w:pStyle w:val="ListParagraph"/>
        <w:numPr>
          <w:ilvl w:val="0"/>
          <w:numId w:val="1"/>
        </w:numPr>
        <w:spacing w:before="240" w:after="240"/>
        <w:rPr>
          <w:rFonts w:ascii="Times New Roman" w:hAnsi="Times New Roman" w:cs="Times New Roman"/>
          <w:szCs w:val="24"/>
        </w:rPr>
      </w:pPr>
      <w:r w:rsidRPr="00471553">
        <w:rPr>
          <w:rFonts w:ascii="Times New Roman" w:hAnsi="Times New Roman" w:cs="Times New Roman"/>
          <w:i/>
          <w:iCs/>
          <w:szCs w:val="24"/>
        </w:rPr>
        <w:t>Positive controls</w:t>
      </w:r>
      <w:r w:rsidRPr="00471553">
        <w:rPr>
          <w:rFonts w:ascii="Times New Roman" w:hAnsi="Times New Roman" w:cs="Times New Roman"/>
          <w:szCs w:val="24"/>
        </w:rPr>
        <w:t xml:space="preserve">: </w:t>
      </w:r>
      <w:r w:rsidR="00C965EE" w:rsidRPr="00471553">
        <w:rPr>
          <w:rFonts w:ascii="Times New Roman" w:hAnsi="Times New Roman" w:cs="Times New Roman"/>
          <w:szCs w:val="24"/>
        </w:rPr>
        <w:t xml:space="preserve">canonical DOR-associated resistance </w:t>
      </w:r>
      <w:r w:rsidR="00BF3DF7" w:rsidRPr="00471553">
        <w:rPr>
          <w:rFonts w:ascii="Times New Roman" w:hAnsi="Times New Roman" w:cs="Times New Roman"/>
          <w:szCs w:val="24"/>
        </w:rPr>
        <w:t>mutations and mutation patterns, consistently associated with reduced susceptibility</w:t>
      </w:r>
      <w:r w:rsidR="00471553">
        <w:rPr>
          <w:rFonts w:ascii="Times New Roman" w:hAnsi="Times New Roman" w:cs="Times New Roman"/>
          <w:szCs w:val="24"/>
        </w:rPr>
        <w:t xml:space="preserve">. These were chosen to be </w:t>
      </w:r>
      <w:r w:rsidR="00EC4578" w:rsidRPr="00C965EE">
        <w:rPr>
          <w:rFonts w:ascii="Times New Roman" w:hAnsi="Times New Roman" w:cs="Times New Roman"/>
          <w:szCs w:val="24"/>
        </w:rPr>
        <w:t>K103N+M230L</w:t>
      </w:r>
      <w:r w:rsidR="00EC4578">
        <w:rPr>
          <w:rFonts w:ascii="Times New Roman" w:hAnsi="Times New Roman" w:cs="Times New Roman"/>
          <w:szCs w:val="24"/>
        </w:rPr>
        <w:t>,</w:t>
      </w:r>
      <w:r w:rsidR="00EC4578" w:rsidRPr="00C965EE">
        <w:rPr>
          <w:rFonts w:ascii="Times New Roman" w:hAnsi="Times New Roman" w:cs="Times New Roman"/>
          <w:szCs w:val="24"/>
        </w:rPr>
        <w:t xml:space="preserve"> </w:t>
      </w:r>
      <w:r w:rsidR="00471553" w:rsidRPr="00C965EE">
        <w:rPr>
          <w:rFonts w:ascii="Times New Roman" w:hAnsi="Times New Roman" w:cs="Times New Roman"/>
          <w:szCs w:val="24"/>
        </w:rPr>
        <w:t xml:space="preserve">V106A, Y188L, Y318F, A98G+F227C, V106A+F227L, V106A+L234I, V106A+P225H, </w:t>
      </w:r>
      <w:r w:rsidR="00EC4578">
        <w:rPr>
          <w:rFonts w:ascii="Times New Roman" w:hAnsi="Times New Roman" w:cs="Times New Roman"/>
          <w:szCs w:val="24"/>
        </w:rPr>
        <w:t xml:space="preserve">and </w:t>
      </w:r>
      <w:r w:rsidR="00471553" w:rsidRPr="00C965EE">
        <w:rPr>
          <w:rFonts w:ascii="Times New Roman" w:hAnsi="Times New Roman" w:cs="Times New Roman"/>
          <w:szCs w:val="24"/>
        </w:rPr>
        <w:t>V106I+F227C</w:t>
      </w:r>
      <w:r w:rsidR="00471553">
        <w:rPr>
          <w:rFonts w:ascii="Times New Roman" w:hAnsi="Times New Roman" w:cs="Times New Roman"/>
          <w:szCs w:val="24"/>
        </w:rPr>
        <w:t>.</w:t>
      </w:r>
    </w:p>
    <w:p w14:paraId="58174DC4" w14:textId="675CF9E8" w:rsidR="00471553" w:rsidRPr="00472985" w:rsidRDefault="00BF3DF7" w:rsidP="00472985">
      <w:pPr>
        <w:pStyle w:val="ListParagraph"/>
        <w:numPr>
          <w:ilvl w:val="0"/>
          <w:numId w:val="1"/>
        </w:numPr>
        <w:spacing w:before="240" w:after="240"/>
        <w:rPr>
          <w:rFonts w:ascii="Times New Roman" w:hAnsi="Times New Roman" w:cs="Times New Roman"/>
          <w:szCs w:val="24"/>
        </w:rPr>
      </w:pPr>
      <w:r w:rsidRPr="00471553">
        <w:rPr>
          <w:rFonts w:ascii="Times New Roman" w:hAnsi="Times New Roman" w:cs="Times New Roman"/>
          <w:i/>
          <w:iCs/>
          <w:szCs w:val="24"/>
        </w:rPr>
        <w:t>Uncertain phenotype</w:t>
      </w:r>
      <w:r w:rsidR="00FD5AE8" w:rsidRPr="00471553">
        <w:rPr>
          <w:rFonts w:ascii="Times New Roman" w:hAnsi="Times New Roman" w:cs="Times New Roman"/>
          <w:szCs w:val="24"/>
        </w:rPr>
        <w:t xml:space="preserve">: </w:t>
      </w:r>
      <w:r w:rsidRPr="00471553">
        <w:rPr>
          <w:rFonts w:ascii="Times New Roman" w:hAnsi="Times New Roman" w:cs="Times New Roman"/>
          <w:szCs w:val="24"/>
        </w:rPr>
        <w:t>mutations and mutation patterns associated</w:t>
      </w:r>
      <w:r w:rsidR="00C965EE" w:rsidRPr="00471553">
        <w:rPr>
          <w:rFonts w:ascii="Times New Roman" w:hAnsi="Times New Roman" w:cs="Times New Roman"/>
          <w:szCs w:val="24"/>
        </w:rPr>
        <w:t xml:space="preserve"> with limited or </w:t>
      </w:r>
      <w:r w:rsidRPr="00471553">
        <w:rPr>
          <w:rFonts w:ascii="Times New Roman" w:hAnsi="Times New Roman" w:cs="Times New Roman"/>
          <w:szCs w:val="24"/>
        </w:rPr>
        <w:t>inconsistent reductions in</w:t>
      </w:r>
      <w:r w:rsidR="00C965EE" w:rsidRPr="00471553">
        <w:rPr>
          <w:rFonts w:ascii="Times New Roman" w:hAnsi="Times New Roman" w:cs="Times New Roman"/>
          <w:szCs w:val="24"/>
        </w:rPr>
        <w:t xml:space="preserve"> susceptibility. </w:t>
      </w:r>
      <w:r w:rsidR="00471553">
        <w:rPr>
          <w:rFonts w:ascii="Times New Roman" w:hAnsi="Times New Roman" w:cs="Times New Roman"/>
          <w:szCs w:val="24"/>
        </w:rPr>
        <w:t xml:space="preserve">These were </w:t>
      </w:r>
      <w:r w:rsidR="00471553" w:rsidRPr="00C965EE">
        <w:rPr>
          <w:rFonts w:ascii="Times New Roman" w:hAnsi="Times New Roman" w:cs="Times New Roman"/>
          <w:szCs w:val="24"/>
        </w:rPr>
        <w:t>K103N+L100I, K103N+P225H, V106I, V106M, G190E, and G190S</w:t>
      </w:r>
      <w:r w:rsidR="00471553">
        <w:rPr>
          <w:rFonts w:ascii="Times New Roman" w:hAnsi="Times New Roman" w:cs="Times New Roman"/>
          <w:szCs w:val="24"/>
        </w:rPr>
        <w:t>.</w:t>
      </w:r>
      <w:r w:rsidR="00471553" w:rsidRPr="00C965EE">
        <w:rPr>
          <w:rFonts w:ascii="Times New Roman" w:hAnsi="Times New Roman" w:cs="Times New Roman"/>
          <w:szCs w:val="24"/>
        </w:rPr>
        <w:t xml:space="preserve"> </w:t>
      </w:r>
    </w:p>
    <w:p w14:paraId="46845287" w14:textId="400F74F0" w:rsidR="007D28A7" w:rsidRDefault="004B60F7" w:rsidP="000156E3">
      <w:pPr>
        <w:spacing w:before="240" w:after="240"/>
        <w:rPr>
          <w:rFonts w:ascii="Times New Roman" w:hAnsi="Times New Roman" w:cs="Times New Roman"/>
          <w:szCs w:val="24"/>
        </w:rPr>
      </w:pPr>
      <w:r>
        <w:rPr>
          <w:rFonts w:ascii="Times New Roman" w:hAnsi="Times New Roman" w:cs="Times New Roman"/>
          <w:szCs w:val="24"/>
        </w:rPr>
        <w:t>Table</w:t>
      </w:r>
      <w:r w:rsidR="00C965EE" w:rsidRPr="00471553">
        <w:rPr>
          <w:rFonts w:ascii="Times New Roman" w:hAnsi="Times New Roman" w:cs="Times New Roman"/>
          <w:szCs w:val="24"/>
        </w:rPr>
        <w:t xml:space="preserve"> 1 summarizes the median fold-change in DOR susceptibility used to define the panel and Supplementary Table 1 </w:t>
      </w:r>
      <w:r w:rsidR="0080051D">
        <w:rPr>
          <w:rFonts w:ascii="Times New Roman" w:hAnsi="Times New Roman" w:cs="Times New Roman"/>
          <w:szCs w:val="24"/>
        </w:rPr>
        <w:t>traces the isolate-level data indexed in the Stanford HIVDB</w:t>
      </w:r>
      <w:r w:rsidR="00FB45FB">
        <w:rPr>
          <w:rFonts w:ascii="Times New Roman" w:hAnsi="Times New Roman" w:cs="Times New Roman"/>
          <w:szCs w:val="24"/>
        </w:rPr>
        <w:t xml:space="preserve"> (</w:t>
      </w:r>
      <w:r w:rsidR="00FB45FB" w:rsidRPr="00FB45FB">
        <w:rPr>
          <w:rFonts w:ascii="Times New Roman" w:hAnsi="Times New Roman" w:cs="Times New Roman"/>
          <w:szCs w:val="24"/>
        </w:rPr>
        <w:t>https://hivdb.stanford.edu/</w:t>
      </w:r>
      <w:r w:rsidR="00FB45FB">
        <w:rPr>
          <w:rFonts w:ascii="Times New Roman" w:hAnsi="Times New Roman" w:cs="Times New Roman"/>
          <w:szCs w:val="24"/>
        </w:rPr>
        <w:t>)</w:t>
      </w:r>
      <w:r w:rsidR="00C965EE" w:rsidRPr="00471553">
        <w:rPr>
          <w:rFonts w:ascii="Times New Roman" w:hAnsi="Times New Roman" w:cs="Times New Roman"/>
          <w:szCs w:val="24"/>
        </w:rPr>
        <w:t>.</w:t>
      </w:r>
      <w:r w:rsidR="00471553">
        <w:rPr>
          <w:rFonts w:ascii="Times New Roman" w:hAnsi="Times New Roman" w:cs="Times New Roman"/>
          <w:szCs w:val="24"/>
        </w:rPr>
        <w:t xml:space="preserve"> </w:t>
      </w:r>
      <w:r w:rsidR="005F6D6C">
        <w:rPr>
          <w:rFonts w:ascii="Times New Roman" w:hAnsi="Times New Roman" w:cs="Times New Roman"/>
          <w:szCs w:val="24"/>
        </w:rPr>
        <w:t>The susceptibility data were derived from assays performed using the</w:t>
      </w:r>
      <w:r w:rsidR="00C965EE" w:rsidRPr="00C965EE">
        <w:rPr>
          <w:rFonts w:ascii="Times New Roman" w:hAnsi="Times New Roman" w:cs="Times New Roman"/>
          <w:szCs w:val="24"/>
        </w:rPr>
        <w:t xml:space="preserve"> Monogram </w:t>
      </w:r>
      <w:proofErr w:type="spellStart"/>
      <w:r w:rsidR="00C965EE" w:rsidRPr="00C965EE">
        <w:rPr>
          <w:rFonts w:ascii="Times New Roman" w:hAnsi="Times New Roman" w:cs="Times New Roman"/>
          <w:szCs w:val="24"/>
        </w:rPr>
        <w:t>PhenoSense</w:t>
      </w:r>
      <w:proofErr w:type="spellEnd"/>
      <w:r w:rsidR="00C965EE" w:rsidRPr="00C965EE">
        <w:rPr>
          <w:rFonts w:ascii="Times New Roman" w:hAnsi="Times New Roman" w:cs="Times New Roman"/>
          <w:szCs w:val="24"/>
        </w:rPr>
        <w:t xml:space="preserve"> </w:t>
      </w:r>
      <w:r w:rsidR="005F6D6C">
        <w:rPr>
          <w:rFonts w:ascii="Times New Roman" w:hAnsi="Times New Roman" w:cs="Times New Roman"/>
          <w:szCs w:val="24"/>
        </w:rPr>
        <w:t>assay and the relatively similar</w:t>
      </w:r>
      <w:r w:rsidR="00C965EE" w:rsidRPr="00C965EE">
        <w:rPr>
          <w:rFonts w:ascii="Times New Roman" w:hAnsi="Times New Roman" w:cs="Times New Roman"/>
          <w:szCs w:val="24"/>
        </w:rPr>
        <w:t xml:space="preserve"> Merck reporter-gene </w:t>
      </w:r>
      <w:r w:rsidR="005F6D6C">
        <w:rPr>
          <w:rFonts w:ascii="Times New Roman" w:hAnsi="Times New Roman" w:cs="Times New Roman"/>
          <w:szCs w:val="24"/>
        </w:rPr>
        <w:t>assay. Isolates undergoing testing were either</w:t>
      </w:r>
      <w:r w:rsidR="00C965EE" w:rsidRPr="00C965EE">
        <w:rPr>
          <w:rFonts w:ascii="Times New Roman" w:hAnsi="Times New Roman" w:cs="Times New Roman"/>
          <w:szCs w:val="24"/>
        </w:rPr>
        <w:t xml:space="preserve"> site-directed mutant</w:t>
      </w:r>
      <w:r w:rsidR="005F6D6C">
        <w:rPr>
          <w:rFonts w:ascii="Times New Roman" w:hAnsi="Times New Roman" w:cs="Times New Roman"/>
          <w:szCs w:val="24"/>
        </w:rPr>
        <w:t>s or clinical isolates for which known NNRTI-resistance mutations were specified.</w:t>
      </w:r>
      <w:r w:rsidR="00B67051" w:rsidRPr="00985CF1">
        <w:rPr>
          <w:rFonts w:ascii="Times New Roman" w:hAnsi="Times New Roman" w:cs="Times New Roman"/>
          <w:szCs w:val="24"/>
        </w:rPr>
        <w:t xml:space="preserve"> </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1648"/>
        <w:gridCol w:w="1504"/>
        <w:gridCol w:w="999"/>
        <w:gridCol w:w="2151"/>
        <w:gridCol w:w="2050"/>
      </w:tblGrid>
      <w:tr w:rsidR="00A361BD" w:rsidRPr="00A361BD" w14:paraId="1F174D65" w14:textId="77777777" w:rsidTr="00FB45FB">
        <w:trPr>
          <w:trHeight w:val="260"/>
        </w:trPr>
        <w:tc>
          <w:tcPr>
            <w:tcW w:w="9558" w:type="dxa"/>
            <w:gridSpan w:val="6"/>
            <w:tcBorders>
              <w:bottom w:val="single" w:sz="4" w:space="0" w:color="auto"/>
            </w:tcBorders>
          </w:tcPr>
          <w:p w14:paraId="7F5FF3C2" w14:textId="566D4D2E" w:rsidR="00A361BD" w:rsidRPr="00FB45FB" w:rsidRDefault="00A361BD" w:rsidP="00DF404F">
            <w:pPr>
              <w:rPr>
                <w:rFonts w:ascii="Times New Roman" w:hAnsi="Times New Roman" w:cs="Times New Roman"/>
                <w:b/>
                <w:bCs/>
                <w:color w:val="000000"/>
                <w:szCs w:val="24"/>
              </w:rPr>
            </w:pPr>
            <w:r w:rsidRPr="00FB45FB">
              <w:rPr>
                <w:rFonts w:ascii="Times New Roman" w:hAnsi="Times New Roman" w:cs="Times New Roman"/>
                <w:b/>
                <w:bCs/>
                <w:color w:val="000000"/>
                <w:szCs w:val="24"/>
              </w:rPr>
              <w:t xml:space="preserve">Table 1. </w:t>
            </w:r>
            <w:r w:rsidR="00EA6F61" w:rsidRPr="00FB45FB">
              <w:rPr>
                <w:rFonts w:ascii="Times New Roman" w:hAnsi="Times New Roman" w:cs="Times New Roman"/>
                <w:b/>
                <w:bCs/>
                <w:color w:val="000000"/>
                <w:szCs w:val="24"/>
              </w:rPr>
              <w:t>Fold-change in DOR susceptibility associated with selected genotypes</w:t>
            </w:r>
          </w:p>
        </w:tc>
      </w:tr>
      <w:tr w:rsidR="00A361BD" w:rsidRPr="00A361BD" w14:paraId="1E6F70F0" w14:textId="77777777" w:rsidTr="00FB45FB">
        <w:trPr>
          <w:trHeight w:val="539"/>
        </w:trPr>
        <w:tc>
          <w:tcPr>
            <w:tcW w:w="1206" w:type="dxa"/>
            <w:tcBorders>
              <w:top w:val="single" w:sz="4" w:space="0" w:color="auto"/>
              <w:bottom w:val="single" w:sz="4" w:space="0" w:color="auto"/>
            </w:tcBorders>
            <w:hideMark/>
          </w:tcPr>
          <w:p w14:paraId="5C00CF2A" w14:textId="0DAB9D7F" w:rsidR="00A361BD" w:rsidRPr="00FB45FB" w:rsidRDefault="00EA6F61"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Mutation </w:t>
            </w:r>
            <w:r w:rsidR="00FB45FB">
              <w:rPr>
                <w:rFonts w:ascii="Times New Roman" w:hAnsi="Times New Roman" w:cs="Times New Roman"/>
                <w:b/>
                <w:bCs/>
                <w:color w:val="000000"/>
                <w:sz w:val="22"/>
                <w:szCs w:val="22"/>
              </w:rPr>
              <w:t>c</w:t>
            </w:r>
            <w:r w:rsidRPr="00FB45FB">
              <w:rPr>
                <w:rFonts w:ascii="Times New Roman" w:hAnsi="Times New Roman" w:cs="Times New Roman"/>
                <w:b/>
                <w:bCs/>
                <w:color w:val="000000"/>
                <w:sz w:val="22"/>
                <w:szCs w:val="22"/>
              </w:rPr>
              <w:t>ategory</w:t>
            </w:r>
          </w:p>
        </w:tc>
        <w:tc>
          <w:tcPr>
            <w:tcW w:w="1648" w:type="dxa"/>
            <w:tcBorders>
              <w:top w:val="single" w:sz="4" w:space="0" w:color="auto"/>
              <w:bottom w:val="single" w:sz="4" w:space="0" w:color="auto"/>
            </w:tcBorders>
            <w:hideMark/>
          </w:tcPr>
          <w:p w14:paraId="2618764B" w14:textId="1264F098" w:rsidR="00A361BD" w:rsidRPr="00FB45FB" w:rsidRDefault="00A361BD" w:rsidP="00DF404F">
            <w:pPr>
              <w:spacing w:line="480" w:lineRule="auto"/>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Mutation</w:t>
            </w:r>
          </w:p>
        </w:tc>
        <w:tc>
          <w:tcPr>
            <w:tcW w:w="1504" w:type="dxa"/>
            <w:tcBorders>
              <w:top w:val="single" w:sz="4" w:space="0" w:color="auto"/>
              <w:bottom w:val="single" w:sz="4" w:space="0" w:color="auto"/>
            </w:tcBorders>
            <w:hideMark/>
          </w:tcPr>
          <w:p w14:paraId="137EF4A3" w14:textId="7AC75B56" w:rsidR="00A361BD" w:rsidRPr="00FB45FB" w:rsidRDefault="00A361BD"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Median fold-change in susceptibility vs WT </w:t>
            </w:r>
          </w:p>
        </w:tc>
        <w:tc>
          <w:tcPr>
            <w:tcW w:w="999" w:type="dxa"/>
            <w:tcBorders>
              <w:top w:val="single" w:sz="4" w:space="0" w:color="auto"/>
              <w:bottom w:val="single" w:sz="4" w:space="0" w:color="auto"/>
            </w:tcBorders>
            <w:hideMark/>
          </w:tcPr>
          <w:p w14:paraId="087BDF72" w14:textId="484BB222" w:rsidR="00A361BD" w:rsidRPr="00FB45FB" w:rsidRDefault="00A361BD"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Number of </w:t>
            </w:r>
            <w:r w:rsidR="00FB45FB">
              <w:rPr>
                <w:rFonts w:ascii="Times New Roman" w:hAnsi="Times New Roman" w:cs="Times New Roman"/>
                <w:b/>
                <w:bCs/>
                <w:color w:val="000000"/>
                <w:sz w:val="22"/>
                <w:szCs w:val="22"/>
              </w:rPr>
              <w:t>i</w:t>
            </w:r>
            <w:r w:rsidRPr="00FB45FB">
              <w:rPr>
                <w:rFonts w:ascii="Times New Roman" w:hAnsi="Times New Roman" w:cs="Times New Roman"/>
                <w:b/>
                <w:bCs/>
                <w:color w:val="000000"/>
                <w:sz w:val="22"/>
                <w:szCs w:val="22"/>
              </w:rPr>
              <w:t>solates</w:t>
            </w:r>
          </w:p>
        </w:tc>
        <w:tc>
          <w:tcPr>
            <w:tcW w:w="2151" w:type="dxa"/>
            <w:tcBorders>
              <w:top w:val="single" w:sz="4" w:space="0" w:color="auto"/>
              <w:bottom w:val="single" w:sz="4" w:space="0" w:color="auto"/>
            </w:tcBorders>
            <w:hideMark/>
          </w:tcPr>
          <w:p w14:paraId="1337BDCE" w14:textId="2FB99EE1" w:rsidR="00A361BD" w:rsidRPr="00FB45FB" w:rsidRDefault="00FB45FB" w:rsidP="00DF404F">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Raw f</w:t>
            </w:r>
            <w:r w:rsidR="00A361BD" w:rsidRPr="00FB45FB">
              <w:rPr>
                <w:rFonts w:ascii="Times New Roman" w:hAnsi="Times New Roman" w:cs="Times New Roman"/>
                <w:b/>
                <w:bCs/>
                <w:color w:val="000000"/>
                <w:sz w:val="22"/>
                <w:szCs w:val="22"/>
              </w:rPr>
              <w:t>old</w:t>
            </w:r>
            <w:r>
              <w:rPr>
                <w:rFonts w:ascii="Times New Roman" w:hAnsi="Times New Roman" w:cs="Times New Roman"/>
                <w:b/>
                <w:bCs/>
                <w:color w:val="000000"/>
                <w:sz w:val="22"/>
                <w:szCs w:val="22"/>
              </w:rPr>
              <w:t>-change</w:t>
            </w:r>
            <w:r w:rsidR="00A361BD" w:rsidRPr="00FB45FB">
              <w:rPr>
                <w:rFonts w:ascii="Times New Roman" w:hAnsi="Times New Roman" w:cs="Times New Roman"/>
                <w:b/>
                <w:bCs/>
                <w:color w:val="000000"/>
                <w:sz w:val="22"/>
                <w:szCs w:val="22"/>
              </w:rPr>
              <w:t xml:space="preserve"> </w:t>
            </w:r>
            <w:r>
              <w:rPr>
                <w:rFonts w:ascii="Times New Roman" w:hAnsi="Times New Roman" w:cs="Times New Roman"/>
                <w:b/>
                <w:bCs/>
                <w:color w:val="000000"/>
                <w:sz w:val="22"/>
                <w:szCs w:val="22"/>
              </w:rPr>
              <w:t>v</w:t>
            </w:r>
            <w:r w:rsidR="00A361BD" w:rsidRPr="00FB45FB">
              <w:rPr>
                <w:rFonts w:ascii="Times New Roman" w:hAnsi="Times New Roman" w:cs="Times New Roman"/>
                <w:b/>
                <w:bCs/>
                <w:color w:val="000000"/>
                <w:sz w:val="22"/>
                <w:szCs w:val="22"/>
              </w:rPr>
              <w:t>alues</w:t>
            </w:r>
          </w:p>
        </w:tc>
        <w:tc>
          <w:tcPr>
            <w:tcW w:w="2050" w:type="dxa"/>
            <w:tcBorders>
              <w:top w:val="single" w:sz="4" w:space="0" w:color="auto"/>
              <w:bottom w:val="single" w:sz="4" w:space="0" w:color="auto"/>
            </w:tcBorders>
            <w:hideMark/>
          </w:tcPr>
          <w:p w14:paraId="35913372" w14:textId="2A63562C" w:rsidR="00A361BD" w:rsidRPr="00FB45FB" w:rsidRDefault="00A361BD"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Primary </w:t>
            </w:r>
            <w:r w:rsidR="00FB45FB">
              <w:rPr>
                <w:rFonts w:ascii="Times New Roman" w:hAnsi="Times New Roman" w:cs="Times New Roman"/>
                <w:b/>
                <w:bCs/>
                <w:color w:val="000000"/>
                <w:sz w:val="22"/>
                <w:szCs w:val="22"/>
              </w:rPr>
              <w:t>s</w:t>
            </w:r>
            <w:r w:rsidRPr="00FB45FB">
              <w:rPr>
                <w:rFonts w:ascii="Times New Roman" w:hAnsi="Times New Roman" w:cs="Times New Roman"/>
                <w:b/>
                <w:bCs/>
                <w:color w:val="000000"/>
                <w:sz w:val="22"/>
                <w:szCs w:val="22"/>
              </w:rPr>
              <w:t xml:space="preserve">ource </w:t>
            </w:r>
            <w:r w:rsidR="00FB45FB">
              <w:rPr>
                <w:rFonts w:ascii="Times New Roman" w:hAnsi="Times New Roman" w:cs="Times New Roman"/>
                <w:b/>
                <w:bCs/>
                <w:color w:val="000000"/>
                <w:sz w:val="22"/>
                <w:szCs w:val="22"/>
              </w:rPr>
              <w:t>s</w:t>
            </w:r>
            <w:r w:rsidRPr="00FB45FB">
              <w:rPr>
                <w:rFonts w:ascii="Times New Roman" w:hAnsi="Times New Roman" w:cs="Times New Roman"/>
                <w:b/>
                <w:bCs/>
                <w:color w:val="000000"/>
                <w:sz w:val="22"/>
                <w:szCs w:val="22"/>
              </w:rPr>
              <w:t>tudies</w:t>
            </w:r>
          </w:p>
        </w:tc>
      </w:tr>
      <w:tr w:rsidR="00A361BD" w:rsidRPr="00A361BD" w14:paraId="7A064A66" w14:textId="77777777" w:rsidTr="00FB45FB">
        <w:trPr>
          <w:trHeight w:val="340"/>
        </w:trPr>
        <w:tc>
          <w:tcPr>
            <w:tcW w:w="1206" w:type="dxa"/>
            <w:vMerge w:val="restart"/>
            <w:tcBorders>
              <w:top w:val="single" w:sz="4" w:space="0" w:color="auto"/>
            </w:tcBorders>
            <w:vAlign w:val="center"/>
            <w:hideMark/>
          </w:tcPr>
          <w:p w14:paraId="344C5678" w14:textId="70897925" w:rsidR="00A361BD" w:rsidRPr="00FB45FB" w:rsidRDefault="00A361BD" w:rsidP="00FB45FB">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Negative Control</w:t>
            </w:r>
          </w:p>
        </w:tc>
        <w:tc>
          <w:tcPr>
            <w:tcW w:w="1648" w:type="dxa"/>
            <w:tcBorders>
              <w:top w:val="single" w:sz="4" w:space="0" w:color="auto"/>
            </w:tcBorders>
            <w:hideMark/>
          </w:tcPr>
          <w:p w14:paraId="6F9E04AB" w14:textId="5B2CDBF8"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V106I</w:t>
            </w:r>
          </w:p>
        </w:tc>
        <w:tc>
          <w:tcPr>
            <w:tcW w:w="1504" w:type="dxa"/>
            <w:tcBorders>
              <w:top w:val="single" w:sz="4" w:space="0" w:color="auto"/>
            </w:tcBorders>
            <w:hideMark/>
          </w:tcPr>
          <w:p w14:paraId="1C26147A" w14:textId="06FA5337"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1.1</w:t>
            </w:r>
          </w:p>
        </w:tc>
        <w:tc>
          <w:tcPr>
            <w:tcW w:w="999" w:type="dxa"/>
            <w:tcBorders>
              <w:top w:val="single" w:sz="4" w:space="0" w:color="auto"/>
            </w:tcBorders>
            <w:hideMark/>
          </w:tcPr>
          <w:p w14:paraId="7BEC45A3" w14:textId="17D7EE86" w:rsidR="00A361BD" w:rsidRPr="00FB45FB" w:rsidRDefault="00006FB2"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2</w:t>
            </w:r>
          </w:p>
        </w:tc>
        <w:tc>
          <w:tcPr>
            <w:tcW w:w="2151" w:type="dxa"/>
            <w:tcBorders>
              <w:top w:val="single" w:sz="4" w:space="0" w:color="auto"/>
            </w:tcBorders>
            <w:hideMark/>
          </w:tcPr>
          <w:p w14:paraId="32387CB2" w14:textId="4CEC9951" w:rsidR="00A361BD" w:rsidRPr="00FB45FB" w:rsidRDefault="00006FB2"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[0.8, 1.4]</w:t>
            </w:r>
          </w:p>
        </w:tc>
        <w:tc>
          <w:tcPr>
            <w:tcW w:w="2050" w:type="dxa"/>
            <w:tcBorders>
              <w:top w:val="single" w:sz="4" w:space="0" w:color="auto"/>
            </w:tcBorders>
            <w:hideMark/>
          </w:tcPr>
          <w:p w14:paraId="3C148385" w14:textId="24D8FCB9" w:rsidR="00A361BD" w:rsidRPr="00FB45FB" w:rsidRDefault="005170F9"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30352F" w:rsidRPr="00FB45FB">
              <w:rPr>
                <w:rFonts w:ascii="Times New Roman" w:hAnsi="Times New Roman" w:cs="Times New Roman"/>
                <w:color w:val="000000"/>
                <w:sz w:val="22"/>
                <w:szCs w:val="22"/>
              </w:rPr>
              <w:instrText xml:space="preserve"> ADDIN ZOTERO_ITEM CSL_CITATION {"citationID":"fElh6OGk","properties":{"unsorted":false,"formattedCitation":"\\super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30352F"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00F77AFE" w:rsidRPr="00FB45FB">
              <w:rPr>
                <w:rFonts w:ascii="Times New Roman" w:hAnsi="Times New Roman" w:cs="Times New Roman"/>
                <w:color w:val="000000"/>
                <w:sz w:val="22"/>
                <w:szCs w:val="22"/>
              </w:rPr>
              <w:fldChar w:fldCharType="begin"/>
            </w:r>
            <w:r w:rsidR="00F77AFE" w:rsidRPr="00FB45FB">
              <w:rPr>
                <w:rFonts w:ascii="Times New Roman" w:hAnsi="Times New Roman" w:cs="Times New Roman"/>
                <w:color w:val="000000"/>
                <w:sz w:val="22"/>
                <w:szCs w:val="22"/>
              </w:rPr>
              <w:instrText xml:space="preserve"> ADDIN ZOTERO_ITEM CSL_CITATION {"citationID":"ASLIIhEz","properties":{"unsorted":false,"formattedCitation":"\\super 10\\nosupersub{}","plainCitation":"10","noteIndex":0},"citationItems":[{"id":122,"uris":["http://zotero.org/users/19404620/items/E6HYR2P5"],"itemData":{"id":122,"type":"article-journal","container-title":"The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00F77AFE" w:rsidRPr="00FB45FB">
              <w:rPr>
                <w:rFonts w:ascii="Times New Roman" w:hAnsi="Times New Roman" w:cs="Times New Roman"/>
                <w:color w:val="000000"/>
                <w:sz w:val="22"/>
                <w:szCs w:val="22"/>
              </w:rPr>
              <w:fldChar w:fldCharType="separate"/>
            </w:r>
            <w:r w:rsidR="00F77AFE" w:rsidRPr="00FB45FB">
              <w:rPr>
                <w:rFonts w:ascii="Times New Roman" w:eastAsiaTheme="minorHAnsi" w:hAnsi="Times New Roman" w:cs="Times New Roman"/>
                <w:color w:val="000000"/>
                <w:sz w:val="22"/>
                <w:szCs w:val="22"/>
                <w:vertAlign w:val="superscript"/>
              </w:rPr>
              <w:t>10</w:t>
            </w:r>
            <w:r w:rsidR="00F77AFE" w:rsidRPr="00FB45FB">
              <w:rPr>
                <w:rFonts w:ascii="Times New Roman" w:hAnsi="Times New Roman" w:cs="Times New Roman"/>
                <w:color w:val="000000"/>
                <w:sz w:val="22"/>
                <w:szCs w:val="22"/>
              </w:rPr>
              <w:fldChar w:fldCharType="end"/>
            </w:r>
          </w:p>
        </w:tc>
      </w:tr>
      <w:tr w:rsidR="00A361BD" w:rsidRPr="00A361BD" w14:paraId="4E89E4C9" w14:textId="77777777" w:rsidTr="00FB45FB">
        <w:trPr>
          <w:trHeight w:val="340"/>
        </w:trPr>
        <w:tc>
          <w:tcPr>
            <w:tcW w:w="1206" w:type="dxa"/>
            <w:vMerge/>
            <w:hideMark/>
          </w:tcPr>
          <w:p w14:paraId="5E611706" w14:textId="1CD29A91" w:rsidR="00A361BD" w:rsidRPr="00FB45FB" w:rsidRDefault="00A361BD" w:rsidP="00FB45FB">
            <w:pPr>
              <w:rPr>
                <w:rFonts w:ascii="Times New Roman" w:hAnsi="Times New Roman" w:cs="Times New Roman"/>
                <w:color w:val="000000"/>
                <w:sz w:val="22"/>
                <w:szCs w:val="22"/>
              </w:rPr>
            </w:pPr>
          </w:p>
        </w:tc>
        <w:tc>
          <w:tcPr>
            <w:tcW w:w="1648" w:type="dxa"/>
            <w:hideMark/>
          </w:tcPr>
          <w:p w14:paraId="4DBD37A4" w14:textId="32D1BB21"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w:t>
            </w:r>
          </w:p>
        </w:tc>
        <w:tc>
          <w:tcPr>
            <w:tcW w:w="1504" w:type="dxa"/>
            <w:hideMark/>
          </w:tcPr>
          <w:p w14:paraId="6F0C6F15" w14:textId="5804712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1.2</w:t>
            </w:r>
          </w:p>
        </w:tc>
        <w:tc>
          <w:tcPr>
            <w:tcW w:w="999" w:type="dxa"/>
            <w:hideMark/>
          </w:tcPr>
          <w:p w14:paraId="4B0E7708" w14:textId="407C5613"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6</w:t>
            </w:r>
          </w:p>
        </w:tc>
        <w:tc>
          <w:tcPr>
            <w:tcW w:w="2151" w:type="dxa"/>
            <w:hideMark/>
          </w:tcPr>
          <w:p w14:paraId="04F9583C" w14:textId="5D0A27D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[0.6, 1.2, 1.2, 1.3, 2.8, 3.0]</w:t>
            </w:r>
          </w:p>
        </w:tc>
        <w:tc>
          <w:tcPr>
            <w:tcW w:w="2050" w:type="dxa"/>
            <w:hideMark/>
          </w:tcPr>
          <w:p w14:paraId="6CBA9F9B" w14:textId="7793E5D1" w:rsidR="00A361BD" w:rsidRPr="00FB45FB" w:rsidRDefault="00F8679F"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162BB5" w:rsidRPr="00FB45FB">
              <w:rPr>
                <w:rFonts w:ascii="Times New Roman" w:hAnsi="Times New Roman" w:cs="Times New Roman"/>
                <w:color w:val="000000"/>
                <w:sz w:val="22"/>
                <w:szCs w:val="22"/>
              </w:rPr>
              <w:instrText xml:space="preserve"> ADDIN ZOTERO_ITEM CSL_CITATION {"citationID":"OQAQvJEJ","properties":{"unsorted":false,"formattedCitation":"\\super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A361BD" w:rsidRPr="00A361BD" w14:paraId="4772D7A5" w14:textId="77777777" w:rsidTr="00FB45FB">
        <w:trPr>
          <w:trHeight w:val="340"/>
        </w:trPr>
        <w:tc>
          <w:tcPr>
            <w:tcW w:w="1206" w:type="dxa"/>
            <w:vMerge/>
            <w:hideMark/>
          </w:tcPr>
          <w:p w14:paraId="1B1AC704" w14:textId="17B3CB05" w:rsidR="00A361BD" w:rsidRPr="00FB45FB" w:rsidRDefault="00A361BD" w:rsidP="00FB45FB">
            <w:pPr>
              <w:rPr>
                <w:rFonts w:ascii="Times New Roman" w:hAnsi="Times New Roman" w:cs="Times New Roman"/>
                <w:color w:val="000000"/>
                <w:sz w:val="22"/>
                <w:szCs w:val="22"/>
              </w:rPr>
            </w:pPr>
          </w:p>
        </w:tc>
        <w:tc>
          <w:tcPr>
            <w:tcW w:w="1648" w:type="dxa"/>
            <w:hideMark/>
          </w:tcPr>
          <w:p w14:paraId="6D51AFAE" w14:textId="295C1CEB"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Y181C</w:t>
            </w:r>
          </w:p>
        </w:tc>
        <w:tc>
          <w:tcPr>
            <w:tcW w:w="1504" w:type="dxa"/>
            <w:hideMark/>
          </w:tcPr>
          <w:p w14:paraId="71CD8E22" w14:textId="77A2853E"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1.4</w:t>
            </w:r>
          </w:p>
        </w:tc>
        <w:tc>
          <w:tcPr>
            <w:tcW w:w="999" w:type="dxa"/>
            <w:hideMark/>
          </w:tcPr>
          <w:p w14:paraId="75D2AC27" w14:textId="63152DD7"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4</w:t>
            </w:r>
          </w:p>
        </w:tc>
        <w:tc>
          <w:tcPr>
            <w:tcW w:w="2151" w:type="dxa"/>
            <w:hideMark/>
          </w:tcPr>
          <w:p w14:paraId="2E235379" w14:textId="2BD5B8C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[1.2, 1.3, 1.5, 6.0]</w:t>
            </w:r>
          </w:p>
        </w:tc>
        <w:tc>
          <w:tcPr>
            <w:tcW w:w="2050" w:type="dxa"/>
            <w:hideMark/>
          </w:tcPr>
          <w:p w14:paraId="1C4613D0" w14:textId="17EFAD6D" w:rsidR="00A361BD" w:rsidRPr="00FB45FB" w:rsidRDefault="009B4EB6"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162BB5" w:rsidRPr="00FB45FB">
              <w:rPr>
                <w:rFonts w:ascii="Times New Roman" w:hAnsi="Times New Roman" w:cs="Times New Roman"/>
                <w:color w:val="000000"/>
                <w:sz w:val="22"/>
                <w:szCs w:val="22"/>
              </w:rPr>
              <w:instrText xml:space="preserve"> ADDIN ZOTERO_ITEM CSL_CITATION {"citationID":"TUXQIXQi","properties":{"unsorted":false,"formattedCitation":"\\super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A361BD" w:rsidRPr="00A361BD" w14:paraId="27DE1F07" w14:textId="77777777" w:rsidTr="00FB45FB">
        <w:trPr>
          <w:trHeight w:val="359"/>
        </w:trPr>
        <w:tc>
          <w:tcPr>
            <w:tcW w:w="1206" w:type="dxa"/>
            <w:vMerge/>
            <w:tcBorders>
              <w:bottom w:val="single" w:sz="4" w:space="0" w:color="auto"/>
            </w:tcBorders>
            <w:hideMark/>
          </w:tcPr>
          <w:p w14:paraId="1BC7C0EA" w14:textId="322E0F40" w:rsidR="00A361BD" w:rsidRPr="00FB45FB" w:rsidRDefault="00A361BD" w:rsidP="00FB45FB">
            <w:pPr>
              <w:rPr>
                <w:rFonts w:ascii="Times New Roman" w:hAnsi="Times New Roman" w:cs="Times New Roman"/>
                <w:color w:val="000000"/>
                <w:sz w:val="22"/>
                <w:szCs w:val="22"/>
              </w:rPr>
            </w:pPr>
          </w:p>
        </w:tc>
        <w:tc>
          <w:tcPr>
            <w:tcW w:w="1648" w:type="dxa"/>
            <w:tcBorders>
              <w:bottom w:val="single" w:sz="4" w:space="0" w:color="auto"/>
            </w:tcBorders>
            <w:hideMark/>
          </w:tcPr>
          <w:p w14:paraId="5940A108" w14:textId="223F9081"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G190A</w:t>
            </w:r>
          </w:p>
        </w:tc>
        <w:tc>
          <w:tcPr>
            <w:tcW w:w="1504" w:type="dxa"/>
            <w:tcBorders>
              <w:bottom w:val="single" w:sz="4" w:space="0" w:color="auto"/>
            </w:tcBorders>
            <w:hideMark/>
          </w:tcPr>
          <w:p w14:paraId="1F6E8973" w14:textId="7AC854E2"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2.7</w:t>
            </w:r>
          </w:p>
        </w:tc>
        <w:tc>
          <w:tcPr>
            <w:tcW w:w="999" w:type="dxa"/>
            <w:tcBorders>
              <w:bottom w:val="single" w:sz="4" w:space="0" w:color="auto"/>
            </w:tcBorders>
            <w:hideMark/>
          </w:tcPr>
          <w:p w14:paraId="6E9BB693" w14:textId="67EB6CE5"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tcBorders>
              <w:bottom w:val="single" w:sz="4" w:space="0" w:color="auto"/>
            </w:tcBorders>
            <w:hideMark/>
          </w:tcPr>
          <w:p w14:paraId="66B80F46" w14:textId="76EFA686"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[1.8, 3.6]</w:t>
            </w:r>
          </w:p>
        </w:tc>
        <w:tc>
          <w:tcPr>
            <w:tcW w:w="2050" w:type="dxa"/>
            <w:tcBorders>
              <w:bottom w:val="single" w:sz="4" w:space="0" w:color="auto"/>
            </w:tcBorders>
            <w:hideMark/>
          </w:tcPr>
          <w:p w14:paraId="3E2EE398" w14:textId="1484FC53" w:rsidR="00A361BD" w:rsidRPr="00FB45FB" w:rsidRDefault="009B4EB6" w:rsidP="00FB45FB">
            <w:pPr>
              <w:jc w:val="center"/>
              <w:rPr>
                <w:rFonts w:ascii="Times New Roman" w:hAnsi="Times New Roman" w:cs="Times New Roman"/>
                <w:color w:val="000000"/>
                <w:sz w:val="22"/>
                <w:szCs w:val="22"/>
              </w:rPr>
            </w:pPr>
            <w:bookmarkStart w:id="0" w:name="_Hlk230520854"/>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162BB5" w:rsidRPr="00FB45FB">
              <w:rPr>
                <w:rFonts w:ascii="Times New Roman" w:hAnsi="Times New Roman" w:cs="Times New Roman"/>
                <w:color w:val="000000"/>
                <w:sz w:val="22"/>
                <w:szCs w:val="22"/>
              </w:rPr>
              <w:instrText xml:space="preserve"> ADDIN ZOTERO_ITEM CSL_CITATION {"citationID":"qNCfGXhs","properties":{"unsorted":false,"formattedCitation":"\\super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bookmarkEnd w:id="0"/>
          </w:p>
        </w:tc>
      </w:tr>
      <w:tr w:rsidR="008D0480" w:rsidRPr="00A361BD" w14:paraId="5BC6997C" w14:textId="77777777" w:rsidTr="00FB45FB">
        <w:trPr>
          <w:trHeight w:val="340"/>
        </w:trPr>
        <w:tc>
          <w:tcPr>
            <w:tcW w:w="1206" w:type="dxa"/>
            <w:vMerge w:val="restart"/>
            <w:tcBorders>
              <w:top w:val="single" w:sz="4" w:space="0" w:color="auto"/>
            </w:tcBorders>
            <w:vAlign w:val="center"/>
            <w:hideMark/>
          </w:tcPr>
          <w:p w14:paraId="0F591D19" w14:textId="646315CD" w:rsidR="008D0480" w:rsidRPr="00FB45FB" w:rsidRDefault="008D0480" w:rsidP="00FB45FB">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lastRenderedPageBreak/>
              <w:t>Positive Control</w:t>
            </w:r>
          </w:p>
        </w:tc>
        <w:tc>
          <w:tcPr>
            <w:tcW w:w="1648" w:type="dxa"/>
            <w:tcBorders>
              <w:top w:val="single" w:sz="4" w:space="0" w:color="auto"/>
            </w:tcBorders>
            <w:hideMark/>
          </w:tcPr>
          <w:p w14:paraId="68BDFB7B" w14:textId="05D46D07"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Y318F</w:t>
            </w:r>
          </w:p>
        </w:tc>
        <w:tc>
          <w:tcPr>
            <w:tcW w:w="1504" w:type="dxa"/>
            <w:tcBorders>
              <w:top w:val="single" w:sz="4" w:space="0" w:color="auto"/>
            </w:tcBorders>
            <w:hideMark/>
          </w:tcPr>
          <w:p w14:paraId="5B658EC0" w14:textId="370AECC1"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11</w:t>
            </w:r>
          </w:p>
        </w:tc>
        <w:tc>
          <w:tcPr>
            <w:tcW w:w="999" w:type="dxa"/>
            <w:tcBorders>
              <w:top w:val="single" w:sz="4" w:space="0" w:color="auto"/>
            </w:tcBorders>
            <w:hideMark/>
          </w:tcPr>
          <w:p w14:paraId="62223942" w14:textId="062F390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3</w:t>
            </w:r>
          </w:p>
        </w:tc>
        <w:tc>
          <w:tcPr>
            <w:tcW w:w="2151" w:type="dxa"/>
            <w:tcBorders>
              <w:top w:val="single" w:sz="4" w:space="0" w:color="auto"/>
            </w:tcBorders>
            <w:hideMark/>
          </w:tcPr>
          <w:p w14:paraId="55FB8D30" w14:textId="5D4D0D0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Unavailable (see Table 2 in source study)</w:t>
            </w:r>
          </w:p>
        </w:tc>
        <w:tc>
          <w:tcPr>
            <w:tcW w:w="2050" w:type="dxa"/>
            <w:tcBorders>
              <w:top w:val="single" w:sz="4" w:space="0" w:color="auto"/>
            </w:tcBorders>
            <w:hideMark/>
          </w:tcPr>
          <w:p w14:paraId="2E646014" w14:textId="76AB0F42" w:rsidR="008D0480" w:rsidRPr="00FB45FB" w:rsidRDefault="00554FD7"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Asante-Appiah et al (2021)</w:t>
            </w:r>
            <w:r w:rsidR="00162BB5" w:rsidRPr="00FB45FB">
              <w:rPr>
                <w:rFonts w:ascii="Times New Roman" w:hAnsi="Times New Roman" w:cs="Times New Roman"/>
                <w:color w:val="000000"/>
                <w:sz w:val="22"/>
                <w:szCs w:val="22"/>
              </w:rPr>
              <w:fldChar w:fldCharType="begin"/>
            </w:r>
            <w:r w:rsidR="00162BB5" w:rsidRPr="00FB45FB">
              <w:rPr>
                <w:rFonts w:ascii="Times New Roman" w:hAnsi="Times New Roman" w:cs="Times New Roman"/>
                <w:color w:val="000000"/>
                <w:sz w:val="22"/>
                <w:szCs w:val="22"/>
              </w:rPr>
              <w:instrText xml:space="preserve"> ADDIN ZOTERO_ITEM CSL_CITATION {"citationID":"EX1gvYm7","properties":{"unsorted":false,"formattedCitation":"\\super 34\\nosupersub{}","plainCitation":"34","noteIndex":0},"citationItems":[{"id":131,"uris":["http://zotero.org/users/19404620/items/B8KKE9VH"],"itemData":{"id":131,"type":"article-journal","abstract":"Clinical management of human immunodeficiency virus type-1 (HIV-1) infection may be negatively impacted by either acquired or transmitted drug resistance. Here, we aim to extend our understanding of the impact of resistance-associated mutations (RAMs) on the susceptibility of clinical isolates to the nonnucleoside reverse transcriptase inhibitor (NNRTI) doravirine. Clinical isolates from people living with HIV-1 undergoing routine testing for susceptibility to doravirine and other approved NNRTIs (etravirine, rilpivirine, efavirenz, and nevirapine) were collected from August 2018 to August 2019. Susceptibility in the presence/absence of NNRTI and nucleos(t)ide reverse transcriptase inhibitor (NRTI) mutations was determined using cutoffs for relative fold change in inhibition (ratio of the 50% inhibitory concentration [IC50] of patient virus compared with the IC50 of a wild-type reference strain). Biological cutoffs of 3- to 15-fold change were investigated for doravirine, with preestablished cutoffs used for the other NNRTIs. Of 4,070 clinical isolates, 42.9% had ≥1 NNRTI RAM. More isolates were susceptible to doravirine (92.5–96.7%) than to etravirine (91.5%), rilpivirine (89.5%), efavirenz (81.5%), or nevirapine (77.5%). Based on a 3-fold cutoff, doravirine susceptibility was retained in 44.7–65.8% of isolates resistant to another NNRTI and 28.5% of isolates resistant to all other tested NNRTIs. The presence of NRTI RAMs, including thymidine analog mutations, was associated with doravirine hypersusceptibility in some isolates, particularly in the absence of NNRTI RAMs. These results support the favorable resistance profile of doravirine and are of particular importance given the challenge posed by both acquired and transmitted resistance.","container-title":"Antimicrobial Agents and Chemotherapy","DOI":"10.1128/aac.01216-21","issue":"12","page":"10.1128/aac.01216-21","publisher":"American Society for Microbiology","source":"journals-asm-org.stanford.idm.oclc.org (Atypon)","title":"Impact of HIV-1 Resistance-Associated Mutations on Susceptibility to Doravirine: Analysis of Real-World Clinical Isolates","title-short":"Impact of HIV-1 Resistance-Associated Mutations on Susceptibility to Doravirine","volume":"65","author":[{"family":"Asante-Appiah","given":"Ernest"},{"family":"Lai","given":"Johnny"},{"family":"Wan","given":"Hong"},{"family":"Yang","given":"Dongmei"},{"family":"Martin","given":"Elizabeth Anne"},{"family":"Sklar","given":"Peter"},{"family":"Hazuda","given":"Daria"},{"family":"Petropoulos","given":"Christos J."},{"family":"Walworth","given":"Charles"},{"family":"Grobler","given":"Jay A."}],"issued":{"date-parts":[["2021",11,17]]}}}],"schema":"https://github.com/citation-style-language/schema/raw/master/csl-citation.json"} </w:instrText>
            </w:r>
            <w:r w:rsidR="00162BB5" w:rsidRPr="00FB45FB">
              <w:rPr>
                <w:rFonts w:ascii="Times New Roman" w:hAnsi="Times New Roman" w:cs="Times New Roman"/>
                <w:color w:val="000000"/>
                <w:sz w:val="22"/>
                <w:szCs w:val="22"/>
              </w:rPr>
              <w:fldChar w:fldCharType="separate"/>
            </w:r>
            <w:r w:rsidR="00162BB5" w:rsidRPr="00FB45FB">
              <w:rPr>
                <w:rFonts w:ascii="Times New Roman" w:eastAsiaTheme="minorHAnsi" w:hAnsi="Times New Roman" w:cs="Times New Roman"/>
                <w:color w:val="000000"/>
                <w:sz w:val="22"/>
                <w:szCs w:val="22"/>
                <w:vertAlign w:val="superscript"/>
              </w:rPr>
              <w:t>34</w:t>
            </w:r>
            <w:r w:rsidR="00162BB5" w:rsidRPr="00FB45FB">
              <w:rPr>
                <w:rFonts w:ascii="Times New Roman" w:hAnsi="Times New Roman" w:cs="Times New Roman"/>
                <w:color w:val="000000"/>
                <w:sz w:val="22"/>
                <w:szCs w:val="22"/>
              </w:rPr>
              <w:fldChar w:fldCharType="end"/>
            </w:r>
          </w:p>
        </w:tc>
      </w:tr>
      <w:tr w:rsidR="008D0480" w:rsidRPr="00A361BD" w14:paraId="62F2CBA4" w14:textId="77777777" w:rsidTr="00FB45FB">
        <w:trPr>
          <w:trHeight w:val="340"/>
        </w:trPr>
        <w:tc>
          <w:tcPr>
            <w:tcW w:w="1206" w:type="dxa"/>
            <w:vMerge/>
            <w:hideMark/>
          </w:tcPr>
          <w:p w14:paraId="6CFB090E" w14:textId="59DC4E76" w:rsidR="008D0480" w:rsidRPr="00FB45FB" w:rsidRDefault="008D0480" w:rsidP="00FB45FB">
            <w:pPr>
              <w:rPr>
                <w:rFonts w:ascii="Times New Roman" w:hAnsi="Times New Roman" w:cs="Times New Roman"/>
                <w:color w:val="000000"/>
                <w:sz w:val="22"/>
                <w:szCs w:val="22"/>
              </w:rPr>
            </w:pPr>
          </w:p>
        </w:tc>
        <w:tc>
          <w:tcPr>
            <w:tcW w:w="1648" w:type="dxa"/>
            <w:hideMark/>
          </w:tcPr>
          <w:p w14:paraId="75974436" w14:textId="44927183"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w:t>
            </w:r>
          </w:p>
        </w:tc>
        <w:tc>
          <w:tcPr>
            <w:tcW w:w="1504" w:type="dxa"/>
            <w:hideMark/>
          </w:tcPr>
          <w:p w14:paraId="4720BBA3" w14:textId="0E459699"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9.6</w:t>
            </w:r>
          </w:p>
        </w:tc>
        <w:tc>
          <w:tcPr>
            <w:tcW w:w="999" w:type="dxa"/>
            <w:hideMark/>
          </w:tcPr>
          <w:p w14:paraId="4DCB24F8" w14:textId="4078066A"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0556263F" w14:textId="6AD2C462"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[7.1, 9.6, 28]</w:t>
            </w:r>
          </w:p>
        </w:tc>
        <w:tc>
          <w:tcPr>
            <w:tcW w:w="2050" w:type="dxa"/>
            <w:hideMark/>
          </w:tcPr>
          <w:p w14:paraId="550604CB" w14:textId="61426A3C" w:rsidR="008D0480" w:rsidRPr="00FB45FB" w:rsidRDefault="0016662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006A57E7" w:rsidRPr="00FB45FB">
              <w:rPr>
                <w:rFonts w:ascii="Times New Roman" w:hAnsi="Times New Roman" w:cs="Times New Roman"/>
                <w:color w:val="000000"/>
                <w:sz w:val="22"/>
                <w:szCs w:val="22"/>
              </w:rPr>
              <w:fldChar w:fldCharType="begin"/>
            </w:r>
            <w:r w:rsidR="006A57E7" w:rsidRPr="00FB45FB">
              <w:rPr>
                <w:rFonts w:ascii="Times New Roman" w:hAnsi="Times New Roman" w:cs="Times New Roman"/>
                <w:color w:val="000000"/>
                <w:sz w:val="22"/>
                <w:szCs w:val="22"/>
              </w:rPr>
              <w:instrText xml:space="preserve"> ADDIN ZOTERO_ITEM CSL_CITATION {"citationID":"PF84jPK8","properties":{"unsorted":false,"formattedCitation":"\\super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006A57E7" w:rsidRPr="00FB45FB">
              <w:rPr>
                <w:rFonts w:ascii="Times New Roman" w:hAnsi="Times New Roman" w:cs="Times New Roman"/>
                <w:color w:val="000000"/>
                <w:sz w:val="22"/>
                <w:szCs w:val="22"/>
              </w:rPr>
              <w:fldChar w:fldCharType="separate"/>
            </w:r>
            <w:r w:rsidR="006A57E7" w:rsidRPr="00FB45FB">
              <w:rPr>
                <w:rFonts w:ascii="Times New Roman" w:eastAsiaTheme="minorHAnsi" w:hAnsi="Times New Roman" w:cs="Times New Roman"/>
                <w:color w:val="000000"/>
                <w:sz w:val="22"/>
                <w:szCs w:val="22"/>
                <w:vertAlign w:val="superscript"/>
              </w:rPr>
              <w:t>31</w:t>
            </w:r>
            <w:r w:rsidR="006A57E7"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Feng et al (2014)</w:t>
            </w:r>
            <w:r w:rsidR="006A57E7" w:rsidRPr="00FB45FB">
              <w:rPr>
                <w:rFonts w:ascii="Times New Roman" w:hAnsi="Times New Roman" w:cs="Times New Roman"/>
                <w:color w:val="000000"/>
                <w:sz w:val="22"/>
                <w:szCs w:val="22"/>
              </w:rPr>
              <w:fldChar w:fldCharType="begin"/>
            </w:r>
            <w:r w:rsidR="006A57E7" w:rsidRPr="00FB45FB">
              <w:rPr>
                <w:rFonts w:ascii="Times New Roman" w:hAnsi="Times New Roman" w:cs="Times New Roman"/>
                <w:color w:val="000000"/>
                <w:sz w:val="22"/>
                <w:szCs w:val="22"/>
              </w:rPr>
              <w:instrText xml:space="preserve"> ADDIN ZOTERO_ITEM CSL_CITATION {"citationID":"Yngmo9Y2","properties":{"unsorted":false,"formattedCitation":"\\super 32\\nosupersub{}","plainCitation":"32","noteIndex":0},"citationItems":[{"id":200,"uris":["http://zotero.org/users/19404620/items/3N7LAJL2"],"itemData":{"id":200,"type":"article-journal","abstract":"Doravirine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6A57E7" w:rsidRPr="00FB45FB">
              <w:rPr>
                <w:rFonts w:ascii="Times New Roman" w:hAnsi="Times New Roman" w:cs="Times New Roman"/>
                <w:color w:val="000000"/>
                <w:sz w:val="22"/>
                <w:szCs w:val="22"/>
              </w:rPr>
              <w:fldChar w:fldCharType="separate"/>
            </w:r>
            <w:r w:rsidR="006A57E7" w:rsidRPr="00FB45FB">
              <w:rPr>
                <w:rFonts w:ascii="Times New Roman" w:eastAsiaTheme="minorHAnsi" w:hAnsi="Times New Roman" w:cs="Times New Roman"/>
                <w:color w:val="000000"/>
                <w:sz w:val="22"/>
                <w:szCs w:val="22"/>
                <w:vertAlign w:val="superscript"/>
              </w:rPr>
              <w:t>32</w:t>
            </w:r>
            <w:r w:rsidR="006A57E7" w:rsidRPr="00FB45FB">
              <w:rPr>
                <w:rFonts w:ascii="Times New Roman" w:hAnsi="Times New Roman" w:cs="Times New Roman"/>
                <w:color w:val="000000"/>
                <w:sz w:val="22"/>
                <w:szCs w:val="22"/>
              </w:rPr>
              <w:fldChar w:fldCharType="end"/>
            </w:r>
          </w:p>
        </w:tc>
      </w:tr>
      <w:tr w:rsidR="008D0480" w:rsidRPr="00A361BD" w14:paraId="4B733545" w14:textId="77777777" w:rsidTr="00FB45FB">
        <w:trPr>
          <w:trHeight w:val="340"/>
        </w:trPr>
        <w:tc>
          <w:tcPr>
            <w:tcW w:w="1206" w:type="dxa"/>
            <w:vMerge/>
            <w:hideMark/>
          </w:tcPr>
          <w:p w14:paraId="177B4200" w14:textId="6534F1AD" w:rsidR="008D0480" w:rsidRPr="00FB45FB" w:rsidRDefault="008D0480" w:rsidP="00FB45FB">
            <w:pPr>
              <w:rPr>
                <w:rFonts w:ascii="Times New Roman" w:hAnsi="Times New Roman" w:cs="Times New Roman"/>
                <w:color w:val="000000"/>
                <w:sz w:val="22"/>
                <w:szCs w:val="22"/>
              </w:rPr>
            </w:pPr>
          </w:p>
        </w:tc>
        <w:tc>
          <w:tcPr>
            <w:tcW w:w="1648" w:type="dxa"/>
            <w:hideMark/>
          </w:tcPr>
          <w:p w14:paraId="6E9FB14B" w14:textId="45D46E0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A98G+F227C</w:t>
            </w:r>
          </w:p>
        </w:tc>
        <w:tc>
          <w:tcPr>
            <w:tcW w:w="1504" w:type="dxa"/>
            <w:hideMark/>
          </w:tcPr>
          <w:p w14:paraId="7F618C65" w14:textId="5A275E6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93</w:t>
            </w:r>
          </w:p>
        </w:tc>
        <w:tc>
          <w:tcPr>
            <w:tcW w:w="999" w:type="dxa"/>
            <w:hideMark/>
          </w:tcPr>
          <w:p w14:paraId="5C53EC29" w14:textId="7B99F439"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1A97C946" w14:textId="657DB2A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[93]</w:t>
            </w:r>
          </w:p>
        </w:tc>
        <w:tc>
          <w:tcPr>
            <w:tcW w:w="2050" w:type="dxa"/>
            <w:hideMark/>
          </w:tcPr>
          <w:p w14:paraId="4C1136E1" w14:textId="2A39E70F" w:rsidR="008D0480" w:rsidRPr="00FB45FB" w:rsidRDefault="0022348C"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{"citationID":"A8Oinhsw","properties":{"unsorted":false,"formattedCitation":"\\super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p>
        </w:tc>
      </w:tr>
      <w:tr w:rsidR="008D0480" w:rsidRPr="00A361BD" w14:paraId="4AFF8098" w14:textId="77777777" w:rsidTr="00FB45FB">
        <w:trPr>
          <w:trHeight w:val="340"/>
        </w:trPr>
        <w:tc>
          <w:tcPr>
            <w:tcW w:w="1206" w:type="dxa"/>
            <w:vMerge/>
            <w:hideMark/>
          </w:tcPr>
          <w:p w14:paraId="1DCF889C" w14:textId="7EB39C0F" w:rsidR="008D0480" w:rsidRPr="00FB45FB" w:rsidRDefault="008D0480" w:rsidP="00FB45FB">
            <w:pPr>
              <w:rPr>
                <w:rFonts w:ascii="Times New Roman" w:hAnsi="Times New Roman" w:cs="Times New Roman"/>
                <w:color w:val="000000"/>
                <w:sz w:val="22"/>
                <w:szCs w:val="22"/>
              </w:rPr>
            </w:pPr>
          </w:p>
        </w:tc>
        <w:tc>
          <w:tcPr>
            <w:tcW w:w="1648" w:type="dxa"/>
            <w:hideMark/>
          </w:tcPr>
          <w:p w14:paraId="3DB89BC5" w14:textId="5DB3F7A2"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V106I+F227C</w:t>
            </w:r>
          </w:p>
        </w:tc>
        <w:tc>
          <w:tcPr>
            <w:tcW w:w="1504" w:type="dxa"/>
            <w:hideMark/>
          </w:tcPr>
          <w:p w14:paraId="6E3C98E6" w14:textId="37CBD045"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105</w:t>
            </w:r>
          </w:p>
        </w:tc>
        <w:tc>
          <w:tcPr>
            <w:tcW w:w="999" w:type="dxa"/>
            <w:hideMark/>
          </w:tcPr>
          <w:p w14:paraId="25C2A292" w14:textId="58BA53D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36E38DFC" w14:textId="3F46E14B"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[105]</w:t>
            </w:r>
          </w:p>
        </w:tc>
        <w:tc>
          <w:tcPr>
            <w:tcW w:w="2050" w:type="dxa"/>
            <w:hideMark/>
          </w:tcPr>
          <w:p w14:paraId="52CAD94F" w14:textId="3ECCF214" w:rsidR="008D0480" w:rsidRPr="00FB45FB" w:rsidRDefault="0022348C"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044D00" w:rsidRPr="00FB45FB">
              <w:rPr>
                <w:rFonts w:ascii="Times New Roman" w:hAnsi="Times New Roman" w:cs="Times New Roman"/>
                <w:color w:val="000000"/>
                <w:sz w:val="22"/>
                <w:szCs w:val="22"/>
              </w:rPr>
              <w:instrText xml:space="preserve"> ADDIN ZOTERO_ITEM CSL_CITATION {"citationID":"lcT7Ijjb","properties":{"unsorted":false,"formattedCitation":"\\super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p>
        </w:tc>
      </w:tr>
      <w:tr w:rsidR="008D0480" w:rsidRPr="00A361BD" w14:paraId="601122CD" w14:textId="77777777" w:rsidTr="00FB45FB">
        <w:trPr>
          <w:trHeight w:val="340"/>
        </w:trPr>
        <w:tc>
          <w:tcPr>
            <w:tcW w:w="1206" w:type="dxa"/>
            <w:vMerge/>
            <w:hideMark/>
          </w:tcPr>
          <w:p w14:paraId="46F51957" w14:textId="1D5A78B9" w:rsidR="008D0480" w:rsidRPr="00FB45FB" w:rsidRDefault="008D0480" w:rsidP="00FB45FB">
            <w:pPr>
              <w:rPr>
                <w:rFonts w:ascii="Times New Roman" w:hAnsi="Times New Roman" w:cs="Times New Roman"/>
                <w:color w:val="000000"/>
                <w:sz w:val="22"/>
                <w:szCs w:val="22"/>
              </w:rPr>
            </w:pPr>
          </w:p>
        </w:tc>
        <w:tc>
          <w:tcPr>
            <w:tcW w:w="1648" w:type="dxa"/>
            <w:hideMark/>
          </w:tcPr>
          <w:p w14:paraId="43D9FB71" w14:textId="67126C4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V106A+F227L</w:t>
            </w:r>
          </w:p>
        </w:tc>
        <w:tc>
          <w:tcPr>
            <w:tcW w:w="1504" w:type="dxa"/>
            <w:hideMark/>
          </w:tcPr>
          <w:p w14:paraId="1C8FF9EA" w14:textId="7DC3DF6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106</w:t>
            </w:r>
          </w:p>
        </w:tc>
        <w:tc>
          <w:tcPr>
            <w:tcW w:w="999" w:type="dxa"/>
            <w:hideMark/>
          </w:tcPr>
          <w:p w14:paraId="5A735402" w14:textId="638C071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156AADF1" w14:textId="48B6636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[106]</w:t>
            </w:r>
          </w:p>
        </w:tc>
        <w:tc>
          <w:tcPr>
            <w:tcW w:w="2050" w:type="dxa"/>
            <w:hideMark/>
          </w:tcPr>
          <w:p w14:paraId="389FA887" w14:textId="3DFA5B78" w:rsidR="008D0480" w:rsidRPr="00FB45FB" w:rsidRDefault="0034497A"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Orkin et al (2026)</w:t>
            </w:r>
            <w:r w:rsidRPr="00FB45FB">
              <w:rPr>
                <w:rFonts w:ascii="Times New Roman" w:hAnsi="Times New Roman" w:cs="Times New Roman"/>
                <w:color w:val="000000"/>
                <w:sz w:val="22"/>
                <w:szCs w:val="22"/>
              </w:rPr>
              <w:fldChar w:fldCharType="begin"/>
            </w:r>
            <w:r w:rsidR="00044D00" w:rsidRPr="00FB45FB">
              <w:rPr>
                <w:rFonts w:ascii="Times New Roman" w:hAnsi="Times New Roman" w:cs="Times New Roman"/>
                <w:color w:val="000000"/>
                <w:sz w:val="22"/>
                <w:szCs w:val="22"/>
              </w:rPr>
              <w:instrText xml:space="preserve"> ADDIN ZOTERO_ITEM CSL_CITATION {"citationID":"YYCFVkJs","properties":{"unsorted":false,"formattedCitation":"\\super 10\\nosupersub{}","plainCitation":"10","noteIndex":0},"citationItems":[{"id":122,"uris":["http://zotero.org/users/19404620/items/E6HYR2P5"],"itemData":{"id":122,"type":"article-journal","container-title":"The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10</w:t>
            </w:r>
            <w:r w:rsidRPr="00FB45FB">
              <w:rPr>
                <w:rFonts w:ascii="Times New Roman" w:hAnsi="Times New Roman" w:cs="Times New Roman"/>
                <w:color w:val="000000"/>
                <w:sz w:val="22"/>
                <w:szCs w:val="22"/>
              </w:rPr>
              <w:fldChar w:fldCharType="end"/>
            </w:r>
          </w:p>
        </w:tc>
      </w:tr>
      <w:tr w:rsidR="008D0480" w:rsidRPr="00A361BD" w14:paraId="5017A6DF" w14:textId="77777777" w:rsidTr="00FB45FB">
        <w:trPr>
          <w:trHeight w:val="340"/>
        </w:trPr>
        <w:tc>
          <w:tcPr>
            <w:tcW w:w="1206" w:type="dxa"/>
            <w:vMerge/>
            <w:hideMark/>
          </w:tcPr>
          <w:p w14:paraId="0C70F18F" w14:textId="400B1FF9" w:rsidR="008D0480" w:rsidRPr="00FB45FB" w:rsidRDefault="008D0480" w:rsidP="00FB45FB">
            <w:pPr>
              <w:rPr>
                <w:rFonts w:ascii="Times New Roman" w:hAnsi="Times New Roman" w:cs="Times New Roman"/>
                <w:color w:val="000000"/>
                <w:sz w:val="22"/>
                <w:szCs w:val="22"/>
              </w:rPr>
            </w:pPr>
          </w:p>
        </w:tc>
        <w:tc>
          <w:tcPr>
            <w:tcW w:w="1648" w:type="dxa"/>
            <w:hideMark/>
          </w:tcPr>
          <w:p w14:paraId="63EFC1AE" w14:textId="48E74BC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Y188L</w:t>
            </w:r>
          </w:p>
        </w:tc>
        <w:tc>
          <w:tcPr>
            <w:tcW w:w="1504" w:type="dxa"/>
            <w:hideMark/>
          </w:tcPr>
          <w:p w14:paraId="7FE61C07" w14:textId="6A4EF0AB"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149</w:t>
            </w:r>
          </w:p>
        </w:tc>
        <w:tc>
          <w:tcPr>
            <w:tcW w:w="999" w:type="dxa"/>
            <w:hideMark/>
          </w:tcPr>
          <w:p w14:paraId="39CE475B" w14:textId="7E8E058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6</w:t>
            </w:r>
          </w:p>
        </w:tc>
        <w:tc>
          <w:tcPr>
            <w:tcW w:w="2151" w:type="dxa"/>
            <w:hideMark/>
          </w:tcPr>
          <w:p w14:paraId="39944FD7" w14:textId="795CD43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[95, 116, 116, 181, 181, 182]</w:t>
            </w:r>
          </w:p>
        </w:tc>
        <w:tc>
          <w:tcPr>
            <w:tcW w:w="2050" w:type="dxa"/>
            <w:hideMark/>
          </w:tcPr>
          <w:p w14:paraId="09C7C686" w14:textId="20476616" w:rsidR="008D0480" w:rsidRPr="00FB45FB" w:rsidRDefault="00044D0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{"citationID":"SNOn14BB","properties":{"unsorted":false,"formattedCitation":"\\super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Hazuda et al (2018)</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{"citationID":"iEuvspek","properties":{"unsorted":false,"formattedCitation":"\\super 36\\nosupersub{}","plainCitation":"36","noteIndex":0},"citationItems":[{"id":210,"uris":["http://zotero.org/users/19404620/items/JW4TMFXK"],"itemData":{"id":210,"type":"webpage","publisher":"22nd International AIDS Conference","title":"Understanding the Resistance Profile of the HIV-1 NNRTI Doravirine in Combination With the Novel NRTTI MK-8591","URL":"https://www.natap.org/2018/IAC/IAC_48.htm","author":[{"family":"Hazuda","given":"Daria J."},{"family":"Xu","given":"Min"},{"family":"Ngo","given":"Winnie"},{"family":"Feng","given":"Meizhen"},{"family":"Hwang","given":"Carey"},{"family":"Grobler","given":"Jay A."},{"family":"Lai","given":"Ming-Tain"}],"accessed":{"date-parts":[["2026",5,24]]},"issued":{"date-parts":[["2018",7,23]]}}}],"schema":"https://github.com/citation-style-language/schema/raw/master/csl-citation.json"}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Lai et al (2018)</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{"citationID":"r5HkVSPs","properties":{"unsorted":false,"formattedCitation":"\\super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{"citationID":"n5dxJkYd","properties":{"unsorted":false,"formattedCitation":"\\super 10\\nosupersub{}","plainCitation":"10","noteIndex":0},"citationItems":[{"id":122,"uris":["http://zotero.org/users/19404620/items/E6HYR2P5"],"itemData":{"id":122,"type":"article-journal","container-title":"The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10</w:t>
            </w:r>
            <w:r w:rsidRPr="00FB45FB">
              <w:rPr>
                <w:rFonts w:ascii="Times New Roman" w:hAnsi="Times New Roman" w:cs="Times New Roman"/>
                <w:color w:val="000000"/>
                <w:sz w:val="22"/>
                <w:szCs w:val="22"/>
              </w:rPr>
              <w:fldChar w:fldCharType="end"/>
            </w:r>
          </w:p>
        </w:tc>
      </w:tr>
      <w:tr w:rsidR="008D0480" w:rsidRPr="00A361BD" w14:paraId="689AAA5F" w14:textId="77777777" w:rsidTr="00FB45FB">
        <w:trPr>
          <w:trHeight w:val="340"/>
        </w:trPr>
        <w:tc>
          <w:tcPr>
            <w:tcW w:w="1206" w:type="dxa"/>
            <w:vMerge/>
            <w:hideMark/>
          </w:tcPr>
          <w:p w14:paraId="36698896" w14:textId="4B20724E" w:rsidR="008D0480" w:rsidRPr="00FB45FB" w:rsidRDefault="008D0480" w:rsidP="00FB45FB">
            <w:pPr>
              <w:rPr>
                <w:rFonts w:ascii="Times New Roman" w:hAnsi="Times New Roman" w:cs="Times New Roman"/>
                <w:color w:val="000000"/>
                <w:sz w:val="22"/>
                <w:szCs w:val="22"/>
              </w:rPr>
            </w:pPr>
          </w:p>
        </w:tc>
        <w:tc>
          <w:tcPr>
            <w:tcW w:w="1648" w:type="dxa"/>
            <w:hideMark/>
          </w:tcPr>
          <w:p w14:paraId="09A9B897" w14:textId="6C78A52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V106A+P225H</w:t>
            </w:r>
          </w:p>
        </w:tc>
        <w:tc>
          <w:tcPr>
            <w:tcW w:w="1504" w:type="dxa"/>
            <w:hideMark/>
          </w:tcPr>
          <w:p w14:paraId="4F1B2104" w14:textId="185F674A"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153</w:t>
            </w:r>
          </w:p>
        </w:tc>
        <w:tc>
          <w:tcPr>
            <w:tcW w:w="999" w:type="dxa"/>
            <w:hideMark/>
          </w:tcPr>
          <w:p w14:paraId="5ECE7E14" w14:textId="6968312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32C7A720" w14:textId="7CDC29B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[95, 210]</w:t>
            </w:r>
          </w:p>
        </w:tc>
        <w:tc>
          <w:tcPr>
            <w:tcW w:w="2050" w:type="dxa"/>
            <w:hideMark/>
          </w:tcPr>
          <w:p w14:paraId="306332A5" w14:textId="4B84372C" w:rsidR="008D0480" w:rsidRPr="00FB45FB" w:rsidRDefault="00044D0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7F3EAF" w:rsidRPr="00FB45FB">
              <w:rPr>
                <w:rFonts w:ascii="Times New Roman" w:hAnsi="Times New Roman" w:cs="Times New Roman"/>
                <w:color w:val="000000"/>
                <w:sz w:val="22"/>
                <w:szCs w:val="22"/>
              </w:rPr>
              <w:instrText xml:space="preserve"> ADDIN ZOTERO_ITEM CSL_CITATION {"citationID":"y9MGbkL3","properties":{"unsorted":false,"formattedCitation":"\\super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Pr="00FB45FB">
              <w:rPr>
                <w:rFonts w:ascii="Times New Roman" w:hAnsi="Times New Roman" w:cs="Times New Roman"/>
                <w:color w:val="000000"/>
                <w:sz w:val="22"/>
                <w:szCs w:val="22"/>
              </w:rPr>
              <w:fldChar w:fldCharType="begin"/>
            </w:r>
            <w:r w:rsidR="007F3EAF" w:rsidRPr="00FB45FB">
              <w:rPr>
                <w:rFonts w:ascii="Times New Roman" w:hAnsi="Times New Roman" w:cs="Times New Roman"/>
                <w:color w:val="000000"/>
                <w:sz w:val="22"/>
                <w:szCs w:val="22"/>
              </w:rPr>
              <w:instrText xml:space="preserve"> ADDIN ZOTERO_ITEM CSL_CITATION {"citationID":"iPAKsr51","properties":{"unsorted":false,"formattedCitation":"\\super 10\\nosupersub{}","plainCitation":"10","noteIndex":0},"citationItems":[{"id":122,"uris":["http://zotero.org/users/19404620/items/E6HYR2P5"],"itemData":{"id":122,"type":"article-journal","container-title":"The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10</w:t>
            </w:r>
            <w:r w:rsidRPr="00FB45FB">
              <w:rPr>
                <w:rFonts w:ascii="Times New Roman" w:hAnsi="Times New Roman" w:cs="Times New Roman"/>
                <w:color w:val="000000"/>
                <w:sz w:val="22"/>
                <w:szCs w:val="22"/>
              </w:rPr>
              <w:fldChar w:fldCharType="end"/>
            </w:r>
          </w:p>
        </w:tc>
      </w:tr>
      <w:tr w:rsidR="008D0480" w:rsidRPr="00A361BD" w14:paraId="2A59639A" w14:textId="77777777" w:rsidTr="00B51E09">
        <w:trPr>
          <w:trHeight w:val="386"/>
        </w:trPr>
        <w:tc>
          <w:tcPr>
            <w:tcW w:w="1206" w:type="dxa"/>
            <w:vMerge/>
            <w:hideMark/>
          </w:tcPr>
          <w:p w14:paraId="1086F4D4" w14:textId="106F279A" w:rsidR="008D0480" w:rsidRPr="00FB45FB" w:rsidRDefault="008D0480" w:rsidP="00FB45FB">
            <w:pPr>
              <w:rPr>
                <w:rFonts w:ascii="Times New Roman" w:hAnsi="Times New Roman" w:cs="Times New Roman"/>
                <w:color w:val="000000"/>
                <w:sz w:val="22"/>
                <w:szCs w:val="22"/>
              </w:rPr>
            </w:pPr>
          </w:p>
        </w:tc>
        <w:tc>
          <w:tcPr>
            <w:tcW w:w="1648" w:type="dxa"/>
            <w:hideMark/>
          </w:tcPr>
          <w:p w14:paraId="246B153A" w14:textId="1E25B031"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V106A+L234I</w:t>
            </w:r>
          </w:p>
        </w:tc>
        <w:tc>
          <w:tcPr>
            <w:tcW w:w="1504" w:type="dxa"/>
            <w:hideMark/>
          </w:tcPr>
          <w:p w14:paraId="3B1A0BFE" w14:textId="3CD89E5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161</w:t>
            </w:r>
          </w:p>
        </w:tc>
        <w:tc>
          <w:tcPr>
            <w:tcW w:w="999" w:type="dxa"/>
            <w:hideMark/>
          </w:tcPr>
          <w:p w14:paraId="714AD268" w14:textId="396B07C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5E76D664" w14:textId="46F9D323"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[150, 173]</w:t>
            </w:r>
          </w:p>
        </w:tc>
        <w:tc>
          <w:tcPr>
            <w:tcW w:w="2050" w:type="dxa"/>
            <w:hideMark/>
          </w:tcPr>
          <w:p w14:paraId="100BA8DA" w14:textId="4BF25849" w:rsidR="008D0480" w:rsidRPr="00FB45FB" w:rsidRDefault="007F3EAF"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Feng et al (2014)</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{"citationID":"DnX8jZfI","properties":{"unsorted":false,"formattedCitation":"\\super 37\\nosupersub{}","plainCitation":"37","noteIndex":0},"citationItems":[{"id":212,"uris":["http://zotero.org/users/19404620/items/HLTMG9NM"],"itemData":{"id":212,"type":"article-journal","abstract":"Background: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37</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Smith et al (2016)</w:t>
            </w:r>
            <w:r w:rsidR="00153DE6" w:rsidRPr="00FB45FB">
              <w:rPr>
                <w:rFonts w:ascii="Times New Roman" w:hAnsi="Times New Roman" w:cs="Times New Roman"/>
                <w:color w:val="000000"/>
                <w:sz w:val="22"/>
                <w:szCs w:val="22"/>
              </w:rPr>
              <w:fldChar w:fldCharType="begin"/>
            </w:r>
            <w:r w:rsidR="00153DE6" w:rsidRPr="00FB45FB">
              <w:rPr>
                <w:rFonts w:ascii="Times New Roman" w:hAnsi="Times New Roman" w:cs="Times New Roman"/>
                <w:color w:val="000000"/>
                <w:sz w:val="22"/>
                <w:szCs w:val="22"/>
              </w:rPr>
              <w:instrText xml:space="preserve"> ADDIN ZOTERO_ITEM CSL_CITATION {"citationID":"jt8k6vke","properties":{"unsorted":false,"formattedCitation":"\\super 37\\nosupersub{}","plainCitation":"37","noteIndex":0},"citationItems":[{"id":212,"uris":["http://zotero.org/users/19404620/items/HLTMG9NM"],"itemData":{"id":212,"type":"article-journal","abstract":"Background: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00153DE6" w:rsidRPr="00FB45FB">
              <w:rPr>
                <w:rFonts w:ascii="Times New Roman" w:hAnsi="Times New Roman" w:cs="Times New Roman"/>
                <w:color w:val="000000"/>
                <w:sz w:val="22"/>
                <w:szCs w:val="22"/>
              </w:rPr>
              <w:fldChar w:fldCharType="separate"/>
            </w:r>
            <w:r w:rsidR="00153DE6" w:rsidRPr="00FB45FB">
              <w:rPr>
                <w:rFonts w:ascii="Times New Roman" w:eastAsiaTheme="minorHAnsi" w:hAnsi="Times New Roman" w:cs="Times New Roman"/>
                <w:color w:val="000000"/>
                <w:sz w:val="22"/>
                <w:szCs w:val="22"/>
                <w:vertAlign w:val="superscript"/>
              </w:rPr>
              <w:t>37</w:t>
            </w:r>
            <w:r w:rsidR="00153DE6" w:rsidRPr="00FB45FB">
              <w:rPr>
                <w:rFonts w:ascii="Times New Roman" w:hAnsi="Times New Roman" w:cs="Times New Roman"/>
                <w:color w:val="000000"/>
                <w:sz w:val="22"/>
                <w:szCs w:val="22"/>
              </w:rPr>
              <w:fldChar w:fldCharType="end"/>
            </w:r>
          </w:p>
        </w:tc>
      </w:tr>
      <w:tr w:rsidR="00B51E09" w:rsidRPr="00A361BD" w14:paraId="6BDBEEC2" w14:textId="77777777" w:rsidTr="00B51E09">
        <w:trPr>
          <w:trHeight w:val="386"/>
        </w:trPr>
        <w:tc>
          <w:tcPr>
            <w:tcW w:w="1206" w:type="dxa"/>
            <w:tcBorders>
              <w:bottom w:val="single" w:sz="4" w:space="0" w:color="auto"/>
            </w:tcBorders>
          </w:tcPr>
          <w:p w14:paraId="7AEB7B8E" w14:textId="77777777" w:rsidR="00B51E09" w:rsidRPr="00FB45FB" w:rsidRDefault="00B51E09" w:rsidP="00B51E09">
            <w:pPr>
              <w:rPr>
                <w:rFonts w:ascii="Times New Roman" w:hAnsi="Times New Roman" w:cs="Times New Roman"/>
                <w:color w:val="000000"/>
                <w:sz w:val="22"/>
                <w:szCs w:val="22"/>
              </w:rPr>
            </w:pPr>
          </w:p>
        </w:tc>
        <w:tc>
          <w:tcPr>
            <w:tcW w:w="1648" w:type="dxa"/>
            <w:tcBorders>
              <w:bottom w:val="single" w:sz="4" w:space="0" w:color="auto"/>
            </w:tcBorders>
          </w:tcPr>
          <w:p w14:paraId="36EFF8E3" w14:textId="08A5044D"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K103N+M230L</w:t>
            </w:r>
          </w:p>
        </w:tc>
        <w:tc>
          <w:tcPr>
            <w:tcW w:w="1504" w:type="dxa"/>
            <w:tcBorders>
              <w:bottom w:val="single" w:sz="4" w:space="0" w:color="auto"/>
            </w:tcBorders>
          </w:tcPr>
          <w:p w14:paraId="2F2BF183" w14:textId="3DA2AF80"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36</w:t>
            </w:r>
          </w:p>
        </w:tc>
        <w:tc>
          <w:tcPr>
            <w:tcW w:w="999" w:type="dxa"/>
            <w:tcBorders>
              <w:bottom w:val="single" w:sz="4" w:space="0" w:color="auto"/>
            </w:tcBorders>
          </w:tcPr>
          <w:p w14:paraId="43DCE849" w14:textId="25339DD0"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w:t>
            </w:r>
          </w:p>
        </w:tc>
        <w:tc>
          <w:tcPr>
            <w:tcW w:w="2151" w:type="dxa"/>
            <w:tcBorders>
              <w:bottom w:val="single" w:sz="4" w:space="0" w:color="auto"/>
            </w:tcBorders>
          </w:tcPr>
          <w:p w14:paraId="0CC80D1E" w14:textId="483A0602"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[36]</w:t>
            </w:r>
          </w:p>
        </w:tc>
        <w:tc>
          <w:tcPr>
            <w:tcW w:w="2050" w:type="dxa"/>
            <w:tcBorders>
              <w:bottom w:val="single" w:sz="4" w:space="0" w:color="auto"/>
            </w:tcBorders>
          </w:tcPr>
          <w:p w14:paraId="71ABEE25" w14:textId="75056592"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{"citationID":"A8Oinhsw","properties":{"unsorted":false,"formattedCitation":"\\super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p>
        </w:tc>
      </w:tr>
      <w:tr w:rsidR="00B51E09" w:rsidRPr="00A361BD" w14:paraId="4671FBAB" w14:textId="77777777" w:rsidTr="00FB45FB">
        <w:trPr>
          <w:trHeight w:val="340"/>
        </w:trPr>
        <w:tc>
          <w:tcPr>
            <w:tcW w:w="1206" w:type="dxa"/>
            <w:vMerge w:val="restart"/>
            <w:tcBorders>
              <w:top w:val="single" w:sz="4" w:space="0" w:color="auto"/>
            </w:tcBorders>
            <w:vAlign w:val="center"/>
            <w:hideMark/>
          </w:tcPr>
          <w:p w14:paraId="424ECB75" w14:textId="2067150C" w:rsidR="00B51E09" w:rsidRPr="00FB45FB" w:rsidRDefault="00B51E09" w:rsidP="00B51E09">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Uncertain Phenotype</w:t>
            </w:r>
          </w:p>
        </w:tc>
        <w:tc>
          <w:tcPr>
            <w:tcW w:w="1648" w:type="dxa"/>
            <w:tcBorders>
              <w:top w:val="single" w:sz="4" w:space="0" w:color="auto"/>
            </w:tcBorders>
            <w:hideMark/>
          </w:tcPr>
          <w:p w14:paraId="63E03067" w14:textId="35D3F78C"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V106M</w:t>
            </w:r>
          </w:p>
        </w:tc>
        <w:tc>
          <w:tcPr>
            <w:tcW w:w="1504" w:type="dxa"/>
            <w:tcBorders>
              <w:top w:val="single" w:sz="4" w:space="0" w:color="auto"/>
            </w:tcBorders>
            <w:hideMark/>
          </w:tcPr>
          <w:p w14:paraId="2AADC4A6" w14:textId="03B7AE77"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3.4</w:t>
            </w:r>
          </w:p>
        </w:tc>
        <w:tc>
          <w:tcPr>
            <w:tcW w:w="999" w:type="dxa"/>
            <w:tcBorders>
              <w:top w:val="single" w:sz="4" w:space="0" w:color="auto"/>
            </w:tcBorders>
            <w:hideMark/>
          </w:tcPr>
          <w:p w14:paraId="675DD6FD" w14:textId="5581BE69"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tcBorders>
              <w:top w:val="single" w:sz="4" w:space="0" w:color="auto"/>
            </w:tcBorders>
            <w:hideMark/>
          </w:tcPr>
          <w:p w14:paraId="160D9B14" w14:textId="5FA0722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[3.4]</w:t>
            </w:r>
          </w:p>
        </w:tc>
        <w:tc>
          <w:tcPr>
            <w:tcW w:w="2050" w:type="dxa"/>
            <w:tcBorders>
              <w:top w:val="single" w:sz="4" w:space="0" w:color="auto"/>
            </w:tcBorders>
            <w:hideMark/>
          </w:tcPr>
          <w:p w14:paraId="230308B6" w14:textId="2C9162C0"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{"citationID":"fElh6OGk","properties":{"unsorted":false,"formattedCitation":"\\super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B51E09" w:rsidRPr="00A361BD" w14:paraId="7334A81D" w14:textId="77777777" w:rsidTr="00FB45FB">
        <w:trPr>
          <w:trHeight w:val="467"/>
        </w:trPr>
        <w:tc>
          <w:tcPr>
            <w:tcW w:w="1206" w:type="dxa"/>
            <w:vMerge/>
            <w:hideMark/>
          </w:tcPr>
          <w:p w14:paraId="1DD0A8E3" w14:textId="3F389E3D"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68EBD72B" w14:textId="7FC9519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G190S</w:t>
            </w:r>
          </w:p>
        </w:tc>
        <w:tc>
          <w:tcPr>
            <w:tcW w:w="1504" w:type="dxa"/>
            <w:hideMark/>
          </w:tcPr>
          <w:p w14:paraId="3AAA6A22" w14:textId="5127337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5.2</w:t>
            </w:r>
          </w:p>
        </w:tc>
        <w:tc>
          <w:tcPr>
            <w:tcW w:w="999" w:type="dxa"/>
            <w:hideMark/>
          </w:tcPr>
          <w:p w14:paraId="36B66834" w14:textId="50233346"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4</w:t>
            </w:r>
          </w:p>
        </w:tc>
        <w:tc>
          <w:tcPr>
            <w:tcW w:w="2151" w:type="dxa"/>
            <w:hideMark/>
          </w:tcPr>
          <w:p w14:paraId="0EC8622B" w14:textId="5E6CB2B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[1.5, 4.5, 5.9, 11]</w:t>
            </w:r>
          </w:p>
        </w:tc>
        <w:tc>
          <w:tcPr>
            <w:tcW w:w="2050" w:type="dxa"/>
            <w:hideMark/>
          </w:tcPr>
          <w:p w14:paraId="386AC5D7" w14:textId="1767D286"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{"citationID":"fElh6OGk","properties":{"unsorted":false,"formattedCitation":"\\super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B51E09" w:rsidRPr="00A361BD" w14:paraId="4A2A17DC" w14:textId="77777777" w:rsidTr="00FB45FB">
        <w:trPr>
          <w:trHeight w:val="521"/>
        </w:trPr>
        <w:tc>
          <w:tcPr>
            <w:tcW w:w="1206" w:type="dxa"/>
            <w:vMerge/>
            <w:hideMark/>
          </w:tcPr>
          <w:p w14:paraId="462246AA" w14:textId="3B6F024D"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2BFDB16A" w14:textId="53B5A488"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K103N+L100I</w:t>
            </w:r>
          </w:p>
        </w:tc>
        <w:tc>
          <w:tcPr>
            <w:tcW w:w="1504" w:type="dxa"/>
            <w:hideMark/>
          </w:tcPr>
          <w:p w14:paraId="3E8BF830" w14:textId="16BE9CFD"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6.8</w:t>
            </w:r>
          </w:p>
        </w:tc>
        <w:tc>
          <w:tcPr>
            <w:tcW w:w="999" w:type="dxa"/>
            <w:hideMark/>
          </w:tcPr>
          <w:p w14:paraId="1ABD2A9F" w14:textId="7BF4065A"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8</w:t>
            </w:r>
          </w:p>
        </w:tc>
        <w:tc>
          <w:tcPr>
            <w:tcW w:w="2151" w:type="dxa"/>
            <w:hideMark/>
          </w:tcPr>
          <w:p w14:paraId="6618DFCA" w14:textId="5856BEA0"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[2.7, 4.5, 4.6, 5.1, 8.4, 10, 11, 19]</w:t>
            </w:r>
          </w:p>
        </w:tc>
        <w:tc>
          <w:tcPr>
            <w:tcW w:w="2050" w:type="dxa"/>
            <w:hideMark/>
          </w:tcPr>
          <w:p w14:paraId="634E33E7" w14:textId="08E8B251"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{"citationID":"fElh6OGk","properties":{"unsorted":false,"formattedCitation":"\\super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B51E09" w:rsidRPr="00A361BD" w14:paraId="11833A90" w14:textId="77777777" w:rsidTr="00FB45FB">
        <w:trPr>
          <w:trHeight w:val="350"/>
        </w:trPr>
        <w:tc>
          <w:tcPr>
            <w:tcW w:w="1206" w:type="dxa"/>
            <w:vMerge/>
            <w:hideMark/>
          </w:tcPr>
          <w:p w14:paraId="4BE21ED3" w14:textId="44A84A0F"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3CC55E91" w14:textId="1AF75FD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K103N+P225H</w:t>
            </w:r>
          </w:p>
        </w:tc>
        <w:tc>
          <w:tcPr>
            <w:tcW w:w="1504" w:type="dxa"/>
            <w:hideMark/>
          </w:tcPr>
          <w:p w14:paraId="7AC9B950" w14:textId="6E698822"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7.8</w:t>
            </w:r>
          </w:p>
        </w:tc>
        <w:tc>
          <w:tcPr>
            <w:tcW w:w="999" w:type="dxa"/>
            <w:hideMark/>
          </w:tcPr>
          <w:p w14:paraId="27D72DB2" w14:textId="2F441EE5"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0500D445" w14:textId="3FE1835E"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[5.7, 10]</w:t>
            </w:r>
          </w:p>
        </w:tc>
        <w:tc>
          <w:tcPr>
            <w:tcW w:w="2050" w:type="dxa"/>
            <w:hideMark/>
          </w:tcPr>
          <w:p w14:paraId="0BDBFCF0" w14:textId="3D97F2C0"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{"citationID":"fElh6OGk","properties":{"unsorted":false,"formattedCitation":"\\super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B51E09" w:rsidRPr="00A361BD" w14:paraId="100F6CB4" w14:textId="77777777" w:rsidTr="00B51E09">
        <w:trPr>
          <w:trHeight w:val="350"/>
        </w:trPr>
        <w:tc>
          <w:tcPr>
            <w:tcW w:w="1206" w:type="dxa"/>
            <w:vMerge/>
            <w:tcBorders>
              <w:bottom w:val="single" w:sz="4" w:space="0" w:color="auto"/>
            </w:tcBorders>
          </w:tcPr>
          <w:p w14:paraId="6FC02FC1" w14:textId="77777777" w:rsidR="00B51E09" w:rsidRPr="00FB45FB" w:rsidRDefault="00B51E09" w:rsidP="00B51E09">
            <w:pPr>
              <w:spacing w:line="480" w:lineRule="auto"/>
              <w:rPr>
                <w:rFonts w:ascii="Times New Roman" w:hAnsi="Times New Roman" w:cs="Times New Roman"/>
                <w:color w:val="000000"/>
                <w:sz w:val="22"/>
                <w:szCs w:val="22"/>
              </w:rPr>
            </w:pPr>
          </w:p>
        </w:tc>
        <w:tc>
          <w:tcPr>
            <w:tcW w:w="1648" w:type="dxa"/>
            <w:tcBorders>
              <w:bottom w:val="single" w:sz="4" w:space="0" w:color="auto"/>
            </w:tcBorders>
          </w:tcPr>
          <w:p w14:paraId="3AF4F0A1" w14:textId="53767FAE"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G190E</w:t>
            </w:r>
          </w:p>
        </w:tc>
        <w:tc>
          <w:tcPr>
            <w:tcW w:w="1504" w:type="dxa"/>
            <w:tcBorders>
              <w:bottom w:val="single" w:sz="4" w:space="0" w:color="auto"/>
            </w:tcBorders>
          </w:tcPr>
          <w:p w14:paraId="61C03185" w14:textId="529610A5"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18</w:t>
            </w:r>
          </w:p>
        </w:tc>
        <w:tc>
          <w:tcPr>
            <w:tcW w:w="999" w:type="dxa"/>
            <w:tcBorders>
              <w:bottom w:val="single" w:sz="4" w:space="0" w:color="auto"/>
            </w:tcBorders>
          </w:tcPr>
          <w:p w14:paraId="25389DC6" w14:textId="620958D7"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w:t>
            </w:r>
          </w:p>
        </w:tc>
        <w:tc>
          <w:tcPr>
            <w:tcW w:w="2151" w:type="dxa"/>
            <w:tcBorders>
              <w:bottom w:val="single" w:sz="4" w:space="0" w:color="auto"/>
            </w:tcBorders>
          </w:tcPr>
          <w:p w14:paraId="08098256" w14:textId="56284184"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[18]</w:t>
            </w:r>
          </w:p>
        </w:tc>
        <w:tc>
          <w:tcPr>
            <w:tcW w:w="2050" w:type="dxa"/>
            <w:tcBorders>
              <w:bottom w:val="single" w:sz="4" w:space="0" w:color="auto"/>
            </w:tcBorders>
          </w:tcPr>
          <w:p w14:paraId="6FD9C2B4" w14:textId="3C321242"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{"citationID":"A8Oinhsw","properties":{"unsorted":false,"formattedCitation":"\\super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p>
        </w:tc>
      </w:tr>
    </w:tbl>
    <w:p w14:paraId="3867819B" w14:textId="77777777" w:rsidR="000156E3" w:rsidRDefault="000156E3" w:rsidP="000156E3">
      <w:pPr>
        <w:rPr>
          <w:rFonts w:ascii="Times New Roman" w:hAnsi="Times New Roman" w:cs="Times New Roman"/>
          <w:b/>
          <w:bCs/>
          <w:szCs w:val="24"/>
          <w:u w:val="single"/>
        </w:rPr>
      </w:pPr>
    </w:p>
    <w:p w14:paraId="48414241" w14:textId="2B92C39F" w:rsidR="000156E3" w:rsidRPr="00B67051" w:rsidRDefault="000156E3" w:rsidP="000156E3">
      <w:pPr>
        <w:rPr>
          <w:rFonts w:ascii="Times New Roman" w:hAnsi="Times New Roman" w:cs="Times New Roman"/>
          <w:b/>
          <w:bCs/>
          <w:szCs w:val="24"/>
          <w:u w:val="single"/>
        </w:rPr>
      </w:pPr>
      <w:r w:rsidRPr="00D55273">
        <w:rPr>
          <w:rFonts w:ascii="Times New Roman" w:hAnsi="Times New Roman" w:cs="Times New Roman"/>
          <w:b/>
          <w:bCs/>
          <w:szCs w:val="24"/>
          <w:u w:val="single"/>
        </w:rPr>
        <w:t xml:space="preserve">Global RT-DOR energetic analysis </w:t>
      </w:r>
      <w:r>
        <w:rPr>
          <w:rFonts w:ascii="Times New Roman" w:hAnsi="Times New Roman" w:cs="Times New Roman"/>
          <w:b/>
          <w:bCs/>
          <w:szCs w:val="24"/>
          <w:u w:val="single"/>
        </w:rPr>
        <w:t>weakly correlates with</w:t>
      </w:r>
      <w:r w:rsidRPr="00D55273">
        <w:rPr>
          <w:rFonts w:ascii="Times New Roman" w:hAnsi="Times New Roman" w:cs="Times New Roman"/>
          <w:b/>
          <w:bCs/>
          <w:szCs w:val="24"/>
          <w:u w:val="single"/>
        </w:rPr>
        <w:t xml:space="preserve"> the DOR phenotypic susceptibility landscape</w:t>
      </w:r>
    </w:p>
    <w:p w14:paraId="0D411DB1" w14:textId="4BEA68BB" w:rsidR="00A361BD" w:rsidRDefault="000156E3" w:rsidP="000156E3">
      <w:pPr>
        <w:rPr>
          <w:rFonts w:ascii="Times New Roman" w:hAnsi="Times New Roman" w:cs="Times New Roman"/>
          <w:szCs w:val="24"/>
        </w:rPr>
      </w:pPr>
      <w:r w:rsidRPr="00985CF1">
        <w:rPr>
          <w:rFonts w:ascii="Times New Roman" w:hAnsi="Times New Roman" w:cs="Times New Roman"/>
          <w:szCs w:val="24"/>
        </w:rPr>
        <w:t>We first asked whether short MD simulations could recapitulate the phenotypic DOR susceptibility landscape using a global destabilization metric derived from binding energy calculations. Starting from the published X-ray crystal structure of WT RT bound to DOR</w:t>
      </w:r>
      <w:r>
        <w:rPr>
          <w:rFonts w:ascii="Times New Roman" w:hAnsi="Times New Roman" w:cs="Times New Roman"/>
          <w:szCs w:val="24"/>
        </w:rPr>
        <w:t xml:space="preserve"> (Figure 1)</w:t>
      </w:r>
      <w:r w:rsidRPr="00985CF1">
        <w:rPr>
          <w:rFonts w:ascii="Times New Roman" w:hAnsi="Times New Roman" w:cs="Times New Roman"/>
          <w:szCs w:val="24"/>
        </w:rPr>
        <w:t xml:space="preserve">, we introduced each resistance-associated </w:t>
      </w:r>
      <w:r>
        <w:rPr>
          <w:rFonts w:ascii="Times New Roman" w:hAnsi="Times New Roman" w:cs="Times New Roman"/>
          <w:szCs w:val="24"/>
        </w:rPr>
        <w:t>mutation</w:t>
      </w:r>
      <w:r w:rsidRPr="00985CF1">
        <w:rPr>
          <w:rFonts w:ascii="Times New Roman" w:hAnsi="Times New Roman" w:cs="Times New Roman"/>
          <w:szCs w:val="24"/>
        </w:rPr>
        <w:t xml:space="preserve"> </w:t>
      </w:r>
      <w:r w:rsidRPr="007A2B2E">
        <w:rPr>
          <w:rFonts w:ascii="Times New Roman" w:hAnsi="Times New Roman" w:cs="Times New Roman"/>
          <w:i/>
          <w:iCs/>
          <w:szCs w:val="24"/>
        </w:rPr>
        <w:t>in silico</w:t>
      </w:r>
      <w:r w:rsidRPr="00985CF1">
        <w:rPr>
          <w:rFonts w:ascii="Times New Roman" w:hAnsi="Times New Roman" w:cs="Times New Roman"/>
          <w:szCs w:val="24"/>
        </w:rPr>
        <w:t xml:space="preserve"> and applied restrained followed by unrestrained energy minimization to generate 18 mutant RT-DOR complex structures corresponding to the curated genotype panel described above. The RT variant sequences simulated in this study are provided in Supplementary Table 2.</w:t>
      </w:r>
    </w:p>
    <w:p w14:paraId="5976F625" w14:textId="77777777" w:rsidR="00B67051" w:rsidRDefault="00B67051" w:rsidP="00B67051">
      <w:pPr>
        <w:spacing w:before="240" w:after="240"/>
        <w:rPr>
          <w:rFonts w:ascii="Times New Roman" w:hAnsi="Times New Roman" w:cs="Times New Roman"/>
          <w:szCs w:val="24"/>
        </w:rPr>
      </w:pPr>
      <w:r w:rsidRPr="00985CF1">
        <w:rPr>
          <w:rFonts w:ascii="Times New Roman" w:hAnsi="Times New Roman" w:cs="Times New Roman"/>
          <w:szCs w:val="24"/>
        </w:rPr>
        <w:t>For each system, we ran three independent 100ns all-atom, explicit-solvent production simulations and calculated the average MM/GBSA energy over the final 20 frames of each trajectory, corresponding to approximately the final 10ns. For each mutant genotype, we then computed WT-referenced energetic changes, ΔΔG, for the total MM/GBSA energy and for four individual energy components: van der Waals, electrostatic, generalized Born polar solvation, and nonpolar surface area contributions.</w:t>
      </w:r>
      <w:r>
        <w:rPr>
          <w:rFonts w:ascii="Times New Roman" w:hAnsi="Times New Roman" w:cs="Times New Roman"/>
          <w:szCs w:val="24"/>
        </w:rPr>
        <w:t xml:space="preserve"> In this framework, a positive WT-referenced energy shift, ∆∆G, represents a global destabilization of the bound RT-DOR complex.</w:t>
      </w:r>
    </w:p>
    <w:p w14:paraId="24C33B69" w14:textId="7C588F91" w:rsidR="00A77EE2" w:rsidRDefault="00A77EE2" w:rsidP="00A77EE2">
      <w:pPr>
        <w:spacing w:after="240"/>
        <w:rPr>
          <w:rFonts w:ascii="Times New Roman" w:hAnsi="Times New Roman" w:cs="Times New Roman"/>
          <w:szCs w:val="24"/>
        </w:rPr>
      </w:pPr>
      <w:r w:rsidRPr="00985CF1">
        <w:rPr>
          <w:rFonts w:ascii="Times New Roman" w:hAnsi="Times New Roman" w:cs="Times New Roman"/>
          <w:szCs w:val="24"/>
        </w:rPr>
        <w:t>Overall, neither the total WT-referenced energetic shifts nor most individual energy components correlated with the available phenotypic fold-change data (</w:t>
      </w:r>
      <w:r>
        <w:rPr>
          <w:rFonts w:ascii="Times New Roman" w:hAnsi="Times New Roman" w:cs="Times New Roman"/>
          <w:szCs w:val="24"/>
        </w:rPr>
        <w:t xml:space="preserve">Table 2 and </w:t>
      </w:r>
      <w:r w:rsidRPr="00985CF1">
        <w:rPr>
          <w:rFonts w:ascii="Times New Roman" w:hAnsi="Times New Roman" w:cs="Times New Roman"/>
          <w:szCs w:val="24"/>
        </w:rPr>
        <w:t xml:space="preserve">Supplementary Table 3). </w:t>
      </w:r>
      <w:r w:rsidRPr="00985CF1">
        <w:rPr>
          <w:rFonts w:ascii="Times New Roman" w:hAnsi="Times New Roman" w:cs="Times New Roman"/>
          <w:szCs w:val="24"/>
        </w:rPr>
        <w:lastRenderedPageBreak/>
        <w:t xml:space="preserve">The main exception was the electrostatic component, which showed a weak but statistically </w:t>
      </w:r>
      <w:r>
        <w:rPr>
          <w:rFonts w:ascii="Times New Roman" w:hAnsi="Times New Roman" w:cs="Times New Roman"/>
          <w:szCs w:val="24"/>
        </w:rPr>
        <w:t>in</w:t>
      </w:r>
      <w:r w:rsidRPr="00985CF1">
        <w:rPr>
          <w:rFonts w:ascii="Times New Roman" w:hAnsi="Times New Roman" w:cs="Times New Roman"/>
          <w:szCs w:val="24"/>
        </w:rPr>
        <w:t xml:space="preserve">significant correlation with fold-change values among the negative and positive control mutations (Figure </w:t>
      </w:r>
      <w:r>
        <w:rPr>
          <w:rFonts w:ascii="Times New Roman" w:hAnsi="Times New Roman" w:cs="Times New Roman"/>
          <w:szCs w:val="24"/>
        </w:rPr>
        <w:t>2</w:t>
      </w:r>
      <w:r w:rsidRPr="00985CF1">
        <w:rPr>
          <w:rFonts w:ascii="Times New Roman" w:hAnsi="Times New Roman" w:cs="Times New Roman"/>
          <w:szCs w:val="24"/>
        </w:rPr>
        <w:t xml:space="preserve">). </w:t>
      </w:r>
    </w:p>
    <w:p w14:paraId="4D5CAAB7" w14:textId="5002D390" w:rsidR="00321E53" w:rsidRDefault="00321E53" w:rsidP="00321E53">
      <w:pPr>
        <w:spacing w:before="240"/>
        <w:rPr>
          <w:rFonts w:ascii="Times New Roman" w:hAnsi="Times New Roman" w:cs="Times New Roman"/>
          <w:szCs w:val="24"/>
        </w:rPr>
      </w:pPr>
      <w:r w:rsidRPr="00FB45FB">
        <w:rPr>
          <w:rFonts w:ascii="Times New Roman" w:hAnsi="Times New Roman" w:cs="Times New Roman"/>
          <w:b/>
          <w:bCs/>
          <w:color w:val="000000"/>
          <w:szCs w:val="24"/>
        </w:rPr>
        <w:t xml:space="preserve">Table </w:t>
      </w:r>
      <w:r>
        <w:rPr>
          <w:rFonts w:ascii="Times New Roman" w:hAnsi="Times New Roman" w:cs="Times New Roman"/>
          <w:b/>
          <w:bCs/>
          <w:color w:val="000000"/>
          <w:szCs w:val="24"/>
        </w:rPr>
        <w:t>2</w:t>
      </w:r>
      <w:r w:rsidRPr="00FB45FB">
        <w:rPr>
          <w:rFonts w:ascii="Times New Roman" w:hAnsi="Times New Roman" w:cs="Times New Roman"/>
          <w:b/>
          <w:bCs/>
          <w:color w:val="000000"/>
          <w:szCs w:val="24"/>
        </w:rPr>
        <w:t xml:space="preserve">. </w:t>
      </w:r>
      <w:r>
        <w:rPr>
          <w:rFonts w:ascii="Times New Roman" w:hAnsi="Times New Roman" w:cs="Times New Roman"/>
          <w:b/>
          <w:bCs/>
          <w:color w:val="000000"/>
          <w:szCs w:val="24"/>
        </w:rPr>
        <w:t>WT-referenced MM/GBSA energy shifts for DOR-bound RT variants</w:t>
      </w:r>
      <w:r w:rsidR="002D1287">
        <w:rPr>
          <w:rFonts w:ascii="Times New Roman" w:hAnsi="Times New Roman" w:cs="Times New Roman"/>
          <w:b/>
          <w:bCs/>
          <w:color w:val="000000"/>
          <w:szCs w:val="24"/>
        </w:rPr>
        <w:t>*</w:t>
      </w:r>
    </w:p>
    <w:tbl>
      <w:tblPr>
        <w:tblStyle w:val="TableGrid"/>
        <w:tblW w:w="519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9"/>
        <w:gridCol w:w="1710"/>
        <w:gridCol w:w="2341"/>
        <w:gridCol w:w="2249"/>
        <w:gridCol w:w="2160"/>
      </w:tblGrid>
      <w:tr w:rsidR="00B67051" w:rsidRPr="00A361BD" w14:paraId="24D30954" w14:textId="77777777" w:rsidTr="00321E53">
        <w:trPr>
          <w:trHeight w:val="539"/>
        </w:trPr>
        <w:tc>
          <w:tcPr>
            <w:tcW w:w="1259" w:type="dxa"/>
            <w:tcBorders>
              <w:top w:val="single" w:sz="4" w:space="0" w:color="auto"/>
              <w:bottom w:val="single" w:sz="4" w:space="0" w:color="auto"/>
            </w:tcBorders>
            <w:hideMark/>
          </w:tcPr>
          <w:p w14:paraId="34239A01" w14:textId="77777777" w:rsidR="00B67051" w:rsidRPr="00FB45FB" w:rsidRDefault="00B67051"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Mutation </w:t>
            </w:r>
            <w:r>
              <w:rPr>
                <w:rFonts w:ascii="Times New Roman" w:hAnsi="Times New Roman" w:cs="Times New Roman"/>
                <w:b/>
                <w:bCs/>
                <w:color w:val="000000"/>
                <w:sz w:val="22"/>
                <w:szCs w:val="22"/>
              </w:rPr>
              <w:t>c</w:t>
            </w:r>
            <w:r w:rsidRPr="00FB45FB">
              <w:rPr>
                <w:rFonts w:ascii="Times New Roman" w:hAnsi="Times New Roman" w:cs="Times New Roman"/>
                <w:b/>
                <w:bCs/>
                <w:color w:val="000000"/>
                <w:sz w:val="22"/>
                <w:szCs w:val="22"/>
              </w:rPr>
              <w:t>ategory</w:t>
            </w:r>
          </w:p>
        </w:tc>
        <w:tc>
          <w:tcPr>
            <w:tcW w:w="1710" w:type="dxa"/>
            <w:tcBorders>
              <w:top w:val="single" w:sz="4" w:space="0" w:color="auto"/>
              <w:bottom w:val="single" w:sz="4" w:space="0" w:color="auto"/>
            </w:tcBorders>
            <w:hideMark/>
          </w:tcPr>
          <w:p w14:paraId="54D7E9F6" w14:textId="77777777" w:rsidR="00B67051" w:rsidRPr="00FB45FB" w:rsidRDefault="00B67051" w:rsidP="00DF404F">
            <w:pPr>
              <w:spacing w:line="480" w:lineRule="auto"/>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Mutation</w:t>
            </w:r>
          </w:p>
        </w:tc>
        <w:tc>
          <w:tcPr>
            <w:tcW w:w="2341" w:type="dxa"/>
            <w:tcBorders>
              <w:top w:val="single" w:sz="4" w:space="0" w:color="auto"/>
              <w:bottom w:val="single" w:sz="4" w:space="0" w:color="auto"/>
            </w:tcBorders>
            <w:hideMark/>
          </w:tcPr>
          <w:p w14:paraId="7A3754C9" w14:textId="26332B3D" w:rsidR="00B67051" w:rsidRPr="00B67051" w:rsidRDefault="00B67051" w:rsidP="00DF404F">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Total</w:t>
            </w:r>
            <w:proofErr w:type="spellEnd"/>
            <w:r>
              <w:rPr>
                <w:rFonts w:ascii="Times New Roman" w:hAnsi="Times New Roman" w:cs="Times New Roman"/>
                <w:b/>
                <w:bCs/>
                <w:color w:val="000000"/>
                <w:sz w:val="22"/>
                <w:szCs w:val="22"/>
              </w:rPr>
              <w:t xml:space="preserve"> (kJ/mol)</w:t>
            </w:r>
          </w:p>
        </w:tc>
        <w:tc>
          <w:tcPr>
            <w:tcW w:w="2249" w:type="dxa"/>
            <w:tcBorders>
              <w:top w:val="single" w:sz="4" w:space="0" w:color="auto"/>
              <w:bottom w:val="single" w:sz="4" w:space="0" w:color="auto"/>
            </w:tcBorders>
            <w:hideMark/>
          </w:tcPr>
          <w:p w14:paraId="37BC9BBB" w14:textId="7FF9FB66" w:rsidR="00B67051" w:rsidRPr="00B67051" w:rsidRDefault="00B67051" w:rsidP="00DF404F">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vdW</w:t>
            </w:r>
            <w:proofErr w:type="spellEnd"/>
            <w:r>
              <w:rPr>
                <w:rFonts w:ascii="Times New Roman" w:hAnsi="Times New Roman" w:cs="Times New Roman"/>
                <w:b/>
                <w:bCs/>
                <w:color w:val="000000"/>
                <w:sz w:val="22"/>
                <w:szCs w:val="22"/>
              </w:rPr>
              <w:t xml:space="preserve"> (kJ/mol)</w:t>
            </w:r>
          </w:p>
        </w:tc>
        <w:tc>
          <w:tcPr>
            <w:tcW w:w="2160" w:type="dxa"/>
            <w:tcBorders>
              <w:top w:val="single" w:sz="4" w:space="0" w:color="auto"/>
              <w:bottom w:val="single" w:sz="4" w:space="0" w:color="auto"/>
            </w:tcBorders>
            <w:hideMark/>
          </w:tcPr>
          <w:p w14:paraId="59AF2063" w14:textId="6B6ABA0E" w:rsidR="00B67051" w:rsidRPr="00B67051" w:rsidRDefault="00B67051" w:rsidP="00DF404F">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elec</w:t>
            </w:r>
            <w:proofErr w:type="spellEnd"/>
            <w:r>
              <w:rPr>
                <w:rFonts w:ascii="Times New Roman" w:hAnsi="Times New Roman" w:cs="Times New Roman"/>
                <w:b/>
                <w:bCs/>
                <w:color w:val="000000"/>
                <w:sz w:val="22"/>
                <w:szCs w:val="22"/>
              </w:rPr>
              <w:t xml:space="preserve"> (kJ/mol)</w:t>
            </w:r>
          </w:p>
        </w:tc>
      </w:tr>
      <w:tr w:rsidR="00B67051" w:rsidRPr="00A361BD" w14:paraId="44966014" w14:textId="77777777" w:rsidTr="00321E53">
        <w:trPr>
          <w:trHeight w:val="340"/>
        </w:trPr>
        <w:tc>
          <w:tcPr>
            <w:tcW w:w="1259" w:type="dxa"/>
            <w:vMerge w:val="restart"/>
            <w:tcBorders>
              <w:top w:val="single" w:sz="4" w:space="0" w:color="auto"/>
            </w:tcBorders>
            <w:vAlign w:val="center"/>
            <w:hideMark/>
          </w:tcPr>
          <w:p w14:paraId="4F19AE89" w14:textId="77777777" w:rsidR="00B67051" w:rsidRPr="00FB45FB" w:rsidRDefault="00B67051"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Negative Control</w:t>
            </w:r>
          </w:p>
        </w:tc>
        <w:tc>
          <w:tcPr>
            <w:tcW w:w="1710" w:type="dxa"/>
            <w:tcBorders>
              <w:top w:val="single" w:sz="4" w:space="0" w:color="auto"/>
            </w:tcBorders>
            <w:hideMark/>
          </w:tcPr>
          <w:p w14:paraId="2749A180"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V106I</w:t>
            </w:r>
          </w:p>
        </w:tc>
        <w:tc>
          <w:tcPr>
            <w:tcW w:w="2341" w:type="dxa"/>
            <w:tcBorders>
              <w:top w:val="single" w:sz="4" w:space="0" w:color="auto"/>
            </w:tcBorders>
            <w:hideMark/>
          </w:tcPr>
          <w:p w14:paraId="4EC57C46" w14:textId="224FACC0" w:rsidR="00B67051" w:rsidRPr="00FB45FB" w:rsidRDefault="00B67051"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-7</w:t>
            </w:r>
            <w:r w:rsidR="000B2E35">
              <w:rPr>
                <w:rFonts w:ascii="Times New Roman" w:hAnsi="Times New Roman" w:cs="Times New Roman"/>
                <w:color w:val="000000"/>
                <w:sz w:val="22"/>
                <w:szCs w:val="22"/>
              </w:rPr>
              <w:t xml:space="preserve">8 </w:t>
            </w:r>
            <w:r w:rsidR="000B2E35">
              <w:rPr>
                <w:rFonts w:ascii="Times New Roman" w:hAnsi="Times New Roman" w:cs="Times New Roman"/>
                <w:color w:val="000000"/>
                <w:sz w:val="22"/>
                <w:szCs w:val="22"/>
              </w:rPr>
              <w:sym w:font="Symbol" w:char="F0B1"/>
            </w:r>
            <w:r w:rsidR="000B2E35">
              <w:rPr>
                <w:rFonts w:ascii="Times New Roman" w:hAnsi="Times New Roman" w:cs="Times New Roman"/>
                <w:color w:val="000000"/>
                <w:sz w:val="22"/>
                <w:szCs w:val="22"/>
              </w:rPr>
              <w:t xml:space="preserve"> 93</w:t>
            </w:r>
          </w:p>
        </w:tc>
        <w:tc>
          <w:tcPr>
            <w:tcW w:w="2249" w:type="dxa"/>
            <w:tcBorders>
              <w:top w:val="single" w:sz="4" w:space="0" w:color="auto"/>
            </w:tcBorders>
            <w:hideMark/>
          </w:tcPr>
          <w:p w14:paraId="093D5BEE" w14:textId="66B7BF83"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-68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84</w:t>
            </w:r>
          </w:p>
        </w:tc>
        <w:tc>
          <w:tcPr>
            <w:tcW w:w="2160" w:type="dxa"/>
            <w:tcBorders>
              <w:top w:val="single" w:sz="4" w:space="0" w:color="auto"/>
            </w:tcBorders>
            <w:hideMark/>
          </w:tcPr>
          <w:p w14:paraId="11FC6C6A" w14:textId="11F2F881"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2.1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3.9</w:t>
            </w:r>
          </w:p>
        </w:tc>
      </w:tr>
      <w:tr w:rsidR="00B67051" w:rsidRPr="00A361BD" w14:paraId="2E5B7A0A" w14:textId="77777777" w:rsidTr="00321E53">
        <w:trPr>
          <w:trHeight w:val="340"/>
        </w:trPr>
        <w:tc>
          <w:tcPr>
            <w:tcW w:w="1259" w:type="dxa"/>
            <w:vMerge/>
            <w:hideMark/>
          </w:tcPr>
          <w:p w14:paraId="57F0AADE"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46D7EB0D"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w:t>
            </w:r>
          </w:p>
        </w:tc>
        <w:tc>
          <w:tcPr>
            <w:tcW w:w="2341" w:type="dxa"/>
            <w:hideMark/>
          </w:tcPr>
          <w:p w14:paraId="64613AD8" w14:textId="53B75239"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40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102</w:t>
            </w:r>
            <w:r>
              <w:rPr>
                <w:rFonts w:ascii="Times New Roman" w:hAnsi="Times New Roman" w:cs="Times New Roman"/>
                <w:sz w:val="22"/>
                <w:szCs w:val="22"/>
              </w:rPr>
              <w:t xml:space="preserve"> </w:t>
            </w:r>
          </w:p>
        </w:tc>
        <w:tc>
          <w:tcPr>
            <w:tcW w:w="2249" w:type="dxa"/>
            <w:hideMark/>
          </w:tcPr>
          <w:p w14:paraId="011B6A9B" w14:textId="55CCC7D9"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25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105</w:t>
            </w:r>
          </w:p>
        </w:tc>
        <w:tc>
          <w:tcPr>
            <w:tcW w:w="2160" w:type="dxa"/>
            <w:hideMark/>
          </w:tcPr>
          <w:p w14:paraId="13D572A2" w14:textId="61C99206"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-7.9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3.3</w:t>
            </w:r>
          </w:p>
        </w:tc>
      </w:tr>
      <w:tr w:rsidR="00B67051" w:rsidRPr="00A361BD" w14:paraId="12856804" w14:textId="77777777" w:rsidTr="00321E53">
        <w:trPr>
          <w:trHeight w:val="340"/>
        </w:trPr>
        <w:tc>
          <w:tcPr>
            <w:tcW w:w="1259" w:type="dxa"/>
            <w:vMerge/>
            <w:hideMark/>
          </w:tcPr>
          <w:p w14:paraId="06659659"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0245771A"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Y181C</w:t>
            </w:r>
          </w:p>
        </w:tc>
        <w:tc>
          <w:tcPr>
            <w:tcW w:w="2341" w:type="dxa"/>
            <w:hideMark/>
          </w:tcPr>
          <w:p w14:paraId="3DF6DEB6" w14:textId="5CA8DF82"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79</w:t>
            </w:r>
          </w:p>
        </w:tc>
        <w:tc>
          <w:tcPr>
            <w:tcW w:w="2249" w:type="dxa"/>
            <w:hideMark/>
          </w:tcPr>
          <w:p w14:paraId="42CAC3C9" w14:textId="4FC18770"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-19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67</w:t>
            </w:r>
          </w:p>
        </w:tc>
        <w:tc>
          <w:tcPr>
            <w:tcW w:w="2160" w:type="dxa"/>
            <w:hideMark/>
          </w:tcPr>
          <w:p w14:paraId="77C5D46D" w14:textId="58AD0707"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-2.5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4.3</w:t>
            </w:r>
          </w:p>
        </w:tc>
      </w:tr>
      <w:tr w:rsidR="00B67051" w:rsidRPr="00A361BD" w14:paraId="3E17992D" w14:textId="77777777" w:rsidTr="00321E53">
        <w:trPr>
          <w:trHeight w:val="359"/>
        </w:trPr>
        <w:tc>
          <w:tcPr>
            <w:tcW w:w="1259" w:type="dxa"/>
            <w:vMerge/>
            <w:tcBorders>
              <w:bottom w:val="single" w:sz="4" w:space="0" w:color="auto"/>
            </w:tcBorders>
            <w:hideMark/>
          </w:tcPr>
          <w:p w14:paraId="22F42737" w14:textId="77777777" w:rsidR="00B67051" w:rsidRPr="00FB45FB" w:rsidRDefault="00B67051" w:rsidP="00DF404F">
            <w:pPr>
              <w:rPr>
                <w:rFonts w:ascii="Times New Roman" w:hAnsi="Times New Roman" w:cs="Times New Roman"/>
                <w:color w:val="000000"/>
                <w:sz w:val="22"/>
                <w:szCs w:val="22"/>
              </w:rPr>
            </w:pPr>
          </w:p>
        </w:tc>
        <w:tc>
          <w:tcPr>
            <w:tcW w:w="1710" w:type="dxa"/>
            <w:tcBorders>
              <w:bottom w:val="single" w:sz="4" w:space="0" w:color="auto"/>
            </w:tcBorders>
            <w:hideMark/>
          </w:tcPr>
          <w:p w14:paraId="0B912095"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G190A</w:t>
            </w:r>
          </w:p>
        </w:tc>
        <w:tc>
          <w:tcPr>
            <w:tcW w:w="2341" w:type="dxa"/>
            <w:tcBorders>
              <w:bottom w:val="single" w:sz="4" w:space="0" w:color="auto"/>
            </w:tcBorders>
            <w:hideMark/>
          </w:tcPr>
          <w:p w14:paraId="599B9F10" w14:textId="29E69A0F"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-22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2249" w:type="dxa"/>
            <w:tcBorders>
              <w:bottom w:val="single" w:sz="4" w:space="0" w:color="auto"/>
            </w:tcBorders>
            <w:hideMark/>
          </w:tcPr>
          <w:p w14:paraId="423205B9" w14:textId="438C2287"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-32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110</w:t>
            </w:r>
          </w:p>
        </w:tc>
        <w:tc>
          <w:tcPr>
            <w:tcW w:w="2160" w:type="dxa"/>
            <w:tcBorders>
              <w:bottom w:val="single" w:sz="4" w:space="0" w:color="auto"/>
            </w:tcBorders>
            <w:hideMark/>
          </w:tcPr>
          <w:p w14:paraId="14126D0A" w14:textId="2E8EFAC0"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1.9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3.9</w:t>
            </w:r>
          </w:p>
        </w:tc>
      </w:tr>
      <w:tr w:rsidR="00B67051" w:rsidRPr="00A361BD" w14:paraId="2552917A" w14:textId="77777777" w:rsidTr="00321E53">
        <w:trPr>
          <w:trHeight w:val="340"/>
        </w:trPr>
        <w:tc>
          <w:tcPr>
            <w:tcW w:w="1259" w:type="dxa"/>
            <w:vMerge w:val="restart"/>
            <w:tcBorders>
              <w:top w:val="single" w:sz="4" w:space="0" w:color="auto"/>
            </w:tcBorders>
            <w:vAlign w:val="center"/>
            <w:hideMark/>
          </w:tcPr>
          <w:p w14:paraId="2A5C282B" w14:textId="77777777" w:rsidR="00B67051" w:rsidRPr="00FB45FB" w:rsidRDefault="00B67051"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Positive Control</w:t>
            </w:r>
          </w:p>
        </w:tc>
        <w:tc>
          <w:tcPr>
            <w:tcW w:w="1710" w:type="dxa"/>
            <w:tcBorders>
              <w:top w:val="single" w:sz="4" w:space="0" w:color="auto"/>
            </w:tcBorders>
            <w:hideMark/>
          </w:tcPr>
          <w:p w14:paraId="2C7DC4C7"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Y318F</w:t>
            </w:r>
          </w:p>
        </w:tc>
        <w:tc>
          <w:tcPr>
            <w:tcW w:w="2341" w:type="dxa"/>
            <w:tcBorders>
              <w:top w:val="single" w:sz="4" w:space="0" w:color="auto"/>
            </w:tcBorders>
            <w:hideMark/>
          </w:tcPr>
          <w:p w14:paraId="6FF2C0E2" w14:textId="47DF76BB"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37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157</w:t>
            </w:r>
          </w:p>
        </w:tc>
        <w:tc>
          <w:tcPr>
            <w:tcW w:w="2249" w:type="dxa"/>
            <w:tcBorders>
              <w:top w:val="single" w:sz="4" w:space="0" w:color="auto"/>
            </w:tcBorders>
            <w:hideMark/>
          </w:tcPr>
          <w:p w14:paraId="4EDE9FF4" w14:textId="04D36D53"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30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138</w:t>
            </w:r>
          </w:p>
        </w:tc>
        <w:tc>
          <w:tcPr>
            <w:tcW w:w="2160" w:type="dxa"/>
            <w:tcBorders>
              <w:top w:val="single" w:sz="4" w:space="0" w:color="auto"/>
            </w:tcBorders>
            <w:hideMark/>
          </w:tcPr>
          <w:p w14:paraId="4DAB253D" w14:textId="759576FA"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8.1</w:t>
            </w:r>
          </w:p>
        </w:tc>
      </w:tr>
      <w:tr w:rsidR="00B67051" w:rsidRPr="00A361BD" w14:paraId="52DF051B" w14:textId="77777777" w:rsidTr="00321E53">
        <w:trPr>
          <w:trHeight w:val="340"/>
        </w:trPr>
        <w:tc>
          <w:tcPr>
            <w:tcW w:w="1259" w:type="dxa"/>
            <w:vMerge/>
            <w:hideMark/>
          </w:tcPr>
          <w:p w14:paraId="6BA3C0B2"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04246288"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w:t>
            </w:r>
          </w:p>
        </w:tc>
        <w:tc>
          <w:tcPr>
            <w:tcW w:w="2341" w:type="dxa"/>
            <w:hideMark/>
          </w:tcPr>
          <w:p w14:paraId="02E4A43F" w14:textId="1B103396"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-62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98</w:t>
            </w:r>
          </w:p>
        </w:tc>
        <w:tc>
          <w:tcPr>
            <w:tcW w:w="2249" w:type="dxa"/>
            <w:hideMark/>
          </w:tcPr>
          <w:p w14:paraId="187DB824" w14:textId="0BC94EB9"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-73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2160" w:type="dxa"/>
            <w:hideMark/>
          </w:tcPr>
          <w:p w14:paraId="2A0DF9D9" w14:textId="781ECDE0"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-1.6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3.1</w:t>
            </w:r>
          </w:p>
        </w:tc>
      </w:tr>
      <w:tr w:rsidR="00B67051" w:rsidRPr="00A361BD" w14:paraId="7239B8E5" w14:textId="77777777" w:rsidTr="00321E53">
        <w:trPr>
          <w:trHeight w:val="340"/>
        </w:trPr>
        <w:tc>
          <w:tcPr>
            <w:tcW w:w="1259" w:type="dxa"/>
            <w:vMerge/>
            <w:hideMark/>
          </w:tcPr>
          <w:p w14:paraId="50D3B3F3"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64AB54A1"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A98G+F227C</w:t>
            </w:r>
          </w:p>
        </w:tc>
        <w:tc>
          <w:tcPr>
            <w:tcW w:w="2341" w:type="dxa"/>
            <w:hideMark/>
          </w:tcPr>
          <w:p w14:paraId="1BDA9F26" w14:textId="070C1E67"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-44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99</w:t>
            </w:r>
          </w:p>
        </w:tc>
        <w:tc>
          <w:tcPr>
            <w:tcW w:w="2249" w:type="dxa"/>
            <w:hideMark/>
          </w:tcPr>
          <w:p w14:paraId="2D18358B" w14:textId="58AC0000"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-67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92</w:t>
            </w:r>
          </w:p>
        </w:tc>
        <w:tc>
          <w:tcPr>
            <w:tcW w:w="2160" w:type="dxa"/>
            <w:hideMark/>
          </w:tcPr>
          <w:p w14:paraId="14CAECF1" w14:textId="5B1571C8"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-1.6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4.7</w:t>
            </w:r>
          </w:p>
        </w:tc>
      </w:tr>
      <w:tr w:rsidR="00B67051" w:rsidRPr="00A361BD" w14:paraId="4708B274" w14:textId="77777777" w:rsidTr="00321E53">
        <w:trPr>
          <w:trHeight w:val="340"/>
        </w:trPr>
        <w:tc>
          <w:tcPr>
            <w:tcW w:w="1259" w:type="dxa"/>
            <w:vMerge/>
            <w:hideMark/>
          </w:tcPr>
          <w:p w14:paraId="2B7711CB"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11F2621B"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V106I+F227C</w:t>
            </w:r>
          </w:p>
        </w:tc>
        <w:tc>
          <w:tcPr>
            <w:tcW w:w="2341" w:type="dxa"/>
            <w:hideMark/>
          </w:tcPr>
          <w:p w14:paraId="1AAA529E" w14:textId="487ACBCB"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r w:rsidR="000745EE">
              <w:rPr>
                <w:rFonts w:ascii="Times New Roman" w:hAnsi="Times New Roman" w:cs="Times New Roman"/>
                <w:sz w:val="22"/>
                <w:szCs w:val="22"/>
              </w:rPr>
              <w:t>83</w:t>
            </w:r>
            <w:r w:rsidR="000745EE">
              <w:rPr>
                <w:rFonts w:ascii="Times New Roman" w:hAnsi="Times New Roman" w:cs="Times New Roman"/>
                <w:color w:val="000000"/>
                <w:sz w:val="22"/>
                <w:szCs w:val="22"/>
              </w:rPr>
              <w:t xml:space="preserve"> </w:t>
            </w:r>
            <w:r w:rsidR="000745EE">
              <w:rPr>
                <w:rFonts w:ascii="Times New Roman" w:hAnsi="Times New Roman" w:cs="Times New Roman"/>
                <w:color w:val="000000"/>
                <w:sz w:val="22"/>
                <w:szCs w:val="22"/>
              </w:rPr>
              <w:sym w:font="Symbol" w:char="F0B1"/>
            </w:r>
            <w:r w:rsidR="000745EE">
              <w:rPr>
                <w:rFonts w:ascii="Times New Roman" w:hAnsi="Times New Roman" w:cs="Times New Roman"/>
                <w:color w:val="000000"/>
                <w:sz w:val="22"/>
                <w:szCs w:val="22"/>
              </w:rPr>
              <w:t xml:space="preserve"> 116</w:t>
            </w:r>
          </w:p>
        </w:tc>
        <w:tc>
          <w:tcPr>
            <w:tcW w:w="2249" w:type="dxa"/>
            <w:hideMark/>
          </w:tcPr>
          <w:p w14:paraId="133042B4" w14:textId="2DF1572B"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155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126</w:t>
            </w:r>
          </w:p>
        </w:tc>
        <w:tc>
          <w:tcPr>
            <w:tcW w:w="2160" w:type="dxa"/>
            <w:hideMark/>
          </w:tcPr>
          <w:p w14:paraId="3D7BBBEC" w14:textId="63C9AE7A"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9.6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2.4</w:t>
            </w:r>
          </w:p>
        </w:tc>
      </w:tr>
      <w:tr w:rsidR="00B67051" w:rsidRPr="00A361BD" w14:paraId="3E2C60F1" w14:textId="77777777" w:rsidTr="00321E53">
        <w:trPr>
          <w:trHeight w:val="340"/>
        </w:trPr>
        <w:tc>
          <w:tcPr>
            <w:tcW w:w="1259" w:type="dxa"/>
            <w:vMerge/>
            <w:hideMark/>
          </w:tcPr>
          <w:p w14:paraId="33B2F6EA"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73B742A0"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V106A+F227L</w:t>
            </w:r>
          </w:p>
        </w:tc>
        <w:tc>
          <w:tcPr>
            <w:tcW w:w="2341" w:type="dxa"/>
            <w:hideMark/>
          </w:tcPr>
          <w:p w14:paraId="5883E93D" w14:textId="47BA4774"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-59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85</w:t>
            </w:r>
          </w:p>
        </w:tc>
        <w:tc>
          <w:tcPr>
            <w:tcW w:w="2249" w:type="dxa"/>
            <w:hideMark/>
          </w:tcPr>
          <w:p w14:paraId="57979F67" w14:textId="2D35E050"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-76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77</w:t>
            </w:r>
          </w:p>
        </w:tc>
        <w:tc>
          <w:tcPr>
            <w:tcW w:w="2160" w:type="dxa"/>
            <w:hideMark/>
          </w:tcPr>
          <w:p w14:paraId="6ECB0EE0" w14:textId="74DE3415"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4.9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1.7</w:t>
            </w:r>
          </w:p>
        </w:tc>
      </w:tr>
      <w:tr w:rsidR="00B67051" w:rsidRPr="00A361BD" w14:paraId="5FA49CB6" w14:textId="77777777" w:rsidTr="00321E53">
        <w:trPr>
          <w:trHeight w:val="340"/>
        </w:trPr>
        <w:tc>
          <w:tcPr>
            <w:tcW w:w="1259" w:type="dxa"/>
            <w:vMerge/>
            <w:hideMark/>
          </w:tcPr>
          <w:p w14:paraId="478FDFEE"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758E9A41"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Y188L</w:t>
            </w:r>
          </w:p>
        </w:tc>
        <w:tc>
          <w:tcPr>
            <w:tcW w:w="2341" w:type="dxa"/>
            <w:hideMark/>
          </w:tcPr>
          <w:p w14:paraId="7AC0A5EC" w14:textId="691DA7E1"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82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213</w:t>
            </w:r>
          </w:p>
        </w:tc>
        <w:tc>
          <w:tcPr>
            <w:tcW w:w="2249" w:type="dxa"/>
            <w:hideMark/>
          </w:tcPr>
          <w:p w14:paraId="4BAA47BE" w14:textId="4F91893D"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64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189</w:t>
            </w:r>
          </w:p>
        </w:tc>
        <w:tc>
          <w:tcPr>
            <w:tcW w:w="2160" w:type="dxa"/>
            <w:hideMark/>
          </w:tcPr>
          <w:p w14:paraId="5E8F2B59" w14:textId="4342BF54"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10.5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6.1</w:t>
            </w:r>
          </w:p>
        </w:tc>
      </w:tr>
      <w:tr w:rsidR="00B67051" w:rsidRPr="00A361BD" w14:paraId="6D85E728" w14:textId="77777777" w:rsidTr="00321E53">
        <w:trPr>
          <w:trHeight w:val="340"/>
        </w:trPr>
        <w:tc>
          <w:tcPr>
            <w:tcW w:w="1259" w:type="dxa"/>
            <w:vMerge/>
            <w:hideMark/>
          </w:tcPr>
          <w:p w14:paraId="491CDD6A"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7367098A"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V106A+P225H</w:t>
            </w:r>
          </w:p>
        </w:tc>
        <w:tc>
          <w:tcPr>
            <w:tcW w:w="2341" w:type="dxa"/>
            <w:hideMark/>
          </w:tcPr>
          <w:p w14:paraId="52E5F1C3" w14:textId="1AF37F6B"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-89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87</w:t>
            </w:r>
          </w:p>
        </w:tc>
        <w:tc>
          <w:tcPr>
            <w:tcW w:w="2249" w:type="dxa"/>
            <w:hideMark/>
          </w:tcPr>
          <w:p w14:paraId="5A789EA1" w14:textId="721AD7CD"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-82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2160" w:type="dxa"/>
            <w:hideMark/>
          </w:tcPr>
          <w:p w14:paraId="606A69B1" w14:textId="1484C111"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4.7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3.7</w:t>
            </w:r>
          </w:p>
        </w:tc>
      </w:tr>
      <w:tr w:rsidR="00B67051" w:rsidRPr="00A361BD" w14:paraId="4C965806" w14:textId="77777777" w:rsidTr="00321E53">
        <w:trPr>
          <w:trHeight w:val="386"/>
        </w:trPr>
        <w:tc>
          <w:tcPr>
            <w:tcW w:w="1259" w:type="dxa"/>
            <w:vMerge/>
            <w:hideMark/>
          </w:tcPr>
          <w:p w14:paraId="4501E696"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74F7E879"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V106A+L234I</w:t>
            </w:r>
          </w:p>
        </w:tc>
        <w:tc>
          <w:tcPr>
            <w:tcW w:w="2341" w:type="dxa"/>
            <w:hideMark/>
          </w:tcPr>
          <w:p w14:paraId="659E5DF2" w14:textId="34772807"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-79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95</w:t>
            </w:r>
          </w:p>
        </w:tc>
        <w:tc>
          <w:tcPr>
            <w:tcW w:w="2249" w:type="dxa"/>
            <w:hideMark/>
          </w:tcPr>
          <w:p w14:paraId="0786EDA6" w14:textId="35EC9C89"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-77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85</w:t>
            </w:r>
          </w:p>
        </w:tc>
        <w:tc>
          <w:tcPr>
            <w:tcW w:w="2160" w:type="dxa"/>
            <w:hideMark/>
          </w:tcPr>
          <w:p w14:paraId="5E57BFE3" w14:textId="3EF55C76"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-0.9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2.0</w:t>
            </w:r>
          </w:p>
        </w:tc>
      </w:tr>
      <w:tr w:rsidR="00B67051" w:rsidRPr="00A361BD" w14:paraId="100D1F91" w14:textId="77777777" w:rsidTr="00321E53">
        <w:trPr>
          <w:trHeight w:val="386"/>
        </w:trPr>
        <w:tc>
          <w:tcPr>
            <w:tcW w:w="1259" w:type="dxa"/>
            <w:tcBorders>
              <w:bottom w:val="single" w:sz="4" w:space="0" w:color="auto"/>
            </w:tcBorders>
          </w:tcPr>
          <w:p w14:paraId="3EBBBF36" w14:textId="77777777" w:rsidR="00B67051" w:rsidRPr="00FB45FB" w:rsidRDefault="00B67051" w:rsidP="00DF404F">
            <w:pPr>
              <w:rPr>
                <w:rFonts w:ascii="Times New Roman" w:hAnsi="Times New Roman" w:cs="Times New Roman"/>
                <w:color w:val="000000"/>
                <w:sz w:val="22"/>
                <w:szCs w:val="22"/>
              </w:rPr>
            </w:pPr>
          </w:p>
        </w:tc>
        <w:tc>
          <w:tcPr>
            <w:tcW w:w="1710" w:type="dxa"/>
            <w:tcBorders>
              <w:bottom w:val="single" w:sz="4" w:space="0" w:color="auto"/>
            </w:tcBorders>
          </w:tcPr>
          <w:p w14:paraId="43A35D13" w14:textId="77777777" w:rsidR="00B67051" w:rsidRPr="00FB45FB" w:rsidRDefault="00B67051" w:rsidP="00DF404F">
            <w:pPr>
              <w:jc w:val="center"/>
              <w:rPr>
                <w:rFonts w:ascii="Times New Roman" w:hAnsi="Times New Roman" w:cs="Times New Roman"/>
                <w:sz w:val="22"/>
                <w:szCs w:val="22"/>
              </w:rPr>
            </w:pPr>
            <w:r w:rsidRPr="00FB45FB">
              <w:rPr>
                <w:rFonts w:ascii="Times New Roman" w:hAnsi="Times New Roman" w:cs="Times New Roman"/>
                <w:sz w:val="22"/>
                <w:szCs w:val="22"/>
              </w:rPr>
              <w:t>K103N+M230L</w:t>
            </w:r>
          </w:p>
        </w:tc>
        <w:tc>
          <w:tcPr>
            <w:tcW w:w="2341" w:type="dxa"/>
            <w:tcBorders>
              <w:bottom w:val="single" w:sz="4" w:space="0" w:color="auto"/>
            </w:tcBorders>
          </w:tcPr>
          <w:p w14:paraId="6D366F4D" w14:textId="0E6374A5" w:rsidR="00B67051" w:rsidRPr="00FB45FB" w:rsidRDefault="000745EE" w:rsidP="00DF404F">
            <w:pPr>
              <w:jc w:val="center"/>
              <w:rPr>
                <w:rFonts w:ascii="Times New Roman" w:hAnsi="Times New Roman" w:cs="Times New Roman"/>
                <w:sz w:val="22"/>
                <w:szCs w:val="22"/>
              </w:rPr>
            </w:pP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40</w:t>
            </w:r>
          </w:p>
        </w:tc>
        <w:tc>
          <w:tcPr>
            <w:tcW w:w="2249" w:type="dxa"/>
            <w:tcBorders>
              <w:bottom w:val="single" w:sz="4" w:space="0" w:color="auto"/>
            </w:tcBorders>
          </w:tcPr>
          <w:p w14:paraId="5C58CF29" w14:textId="42A80A19" w:rsidR="00B67051" w:rsidRPr="00FB45FB" w:rsidRDefault="000745EE" w:rsidP="00DF404F">
            <w:pPr>
              <w:jc w:val="center"/>
              <w:rPr>
                <w:rFonts w:ascii="Times New Roman" w:hAnsi="Times New Roman" w:cs="Times New Roman"/>
                <w:sz w:val="22"/>
                <w:szCs w:val="22"/>
              </w:rPr>
            </w:pPr>
            <w:r>
              <w:rPr>
                <w:rFonts w:ascii="Times New Roman" w:hAnsi="Times New Roman" w:cs="Times New Roman"/>
                <w:sz w:val="22"/>
                <w:szCs w:val="22"/>
              </w:rPr>
              <w:t>72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41</w:t>
            </w:r>
          </w:p>
        </w:tc>
        <w:tc>
          <w:tcPr>
            <w:tcW w:w="2160" w:type="dxa"/>
            <w:tcBorders>
              <w:bottom w:val="single" w:sz="4" w:space="0" w:color="auto"/>
            </w:tcBorders>
          </w:tcPr>
          <w:p w14:paraId="56105134" w14:textId="1A1336D0" w:rsidR="00B67051" w:rsidRPr="00FB45FB" w:rsidRDefault="000745EE" w:rsidP="00DF404F">
            <w:pPr>
              <w:jc w:val="center"/>
              <w:rPr>
                <w:rFonts w:ascii="Times New Roman" w:hAnsi="Times New Roman" w:cs="Times New Roman"/>
                <w:sz w:val="22"/>
                <w:szCs w:val="22"/>
              </w:rPr>
            </w:pPr>
            <w:r>
              <w:rPr>
                <w:rFonts w:ascii="Times New Roman" w:hAnsi="Times New Roman" w:cs="Times New Roman"/>
                <w:sz w:val="22"/>
                <w:szCs w:val="22"/>
              </w:rPr>
              <w:t>-8.7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w:t>
            </w:r>
            <w:r w:rsidR="00321E53">
              <w:rPr>
                <w:rFonts w:ascii="Times New Roman" w:hAnsi="Times New Roman" w:cs="Times New Roman"/>
                <w:color w:val="000000"/>
                <w:sz w:val="22"/>
                <w:szCs w:val="22"/>
              </w:rPr>
              <w:t>6.4</w:t>
            </w:r>
          </w:p>
        </w:tc>
      </w:tr>
      <w:tr w:rsidR="00B67051" w:rsidRPr="00A361BD" w14:paraId="723DB524" w14:textId="77777777" w:rsidTr="00321E53">
        <w:trPr>
          <w:trHeight w:val="340"/>
        </w:trPr>
        <w:tc>
          <w:tcPr>
            <w:tcW w:w="1259" w:type="dxa"/>
            <w:vMerge w:val="restart"/>
            <w:tcBorders>
              <w:top w:val="single" w:sz="4" w:space="0" w:color="auto"/>
            </w:tcBorders>
            <w:vAlign w:val="center"/>
            <w:hideMark/>
          </w:tcPr>
          <w:p w14:paraId="6280A96F" w14:textId="77777777" w:rsidR="00B67051" w:rsidRPr="00FB45FB" w:rsidRDefault="00B67051"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Uncertain Phenotype</w:t>
            </w:r>
          </w:p>
        </w:tc>
        <w:tc>
          <w:tcPr>
            <w:tcW w:w="1710" w:type="dxa"/>
            <w:tcBorders>
              <w:top w:val="single" w:sz="4" w:space="0" w:color="auto"/>
            </w:tcBorders>
            <w:hideMark/>
          </w:tcPr>
          <w:p w14:paraId="7CF0E428"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V106M</w:t>
            </w:r>
          </w:p>
        </w:tc>
        <w:tc>
          <w:tcPr>
            <w:tcW w:w="2341" w:type="dxa"/>
            <w:tcBorders>
              <w:top w:val="single" w:sz="4" w:space="0" w:color="auto"/>
            </w:tcBorders>
            <w:hideMark/>
          </w:tcPr>
          <w:p w14:paraId="406DD4C2" w14:textId="22F859FE"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15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160</w:t>
            </w:r>
          </w:p>
        </w:tc>
        <w:tc>
          <w:tcPr>
            <w:tcW w:w="2249" w:type="dxa"/>
            <w:tcBorders>
              <w:top w:val="single" w:sz="4" w:space="0" w:color="auto"/>
            </w:tcBorders>
            <w:hideMark/>
          </w:tcPr>
          <w:p w14:paraId="5087E47A" w14:textId="6C68B3C9"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23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153</w:t>
            </w:r>
          </w:p>
        </w:tc>
        <w:tc>
          <w:tcPr>
            <w:tcW w:w="2160" w:type="dxa"/>
            <w:tcBorders>
              <w:top w:val="single" w:sz="4" w:space="0" w:color="auto"/>
            </w:tcBorders>
            <w:hideMark/>
          </w:tcPr>
          <w:p w14:paraId="0854F989" w14:textId="555AEBE9"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1.3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6.0</w:t>
            </w:r>
          </w:p>
        </w:tc>
      </w:tr>
      <w:tr w:rsidR="00B67051" w:rsidRPr="00A361BD" w14:paraId="09957CE4" w14:textId="77777777" w:rsidTr="00321E53">
        <w:trPr>
          <w:trHeight w:val="467"/>
        </w:trPr>
        <w:tc>
          <w:tcPr>
            <w:tcW w:w="1259" w:type="dxa"/>
            <w:vMerge/>
            <w:hideMark/>
          </w:tcPr>
          <w:p w14:paraId="445B2B87" w14:textId="77777777" w:rsidR="00B67051" w:rsidRPr="00FB45FB" w:rsidRDefault="00B67051" w:rsidP="00DF404F">
            <w:pPr>
              <w:spacing w:line="480" w:lineRule="auto"/>
              <w:rPr>
                <w:rFonts w:ascii="Times New Roman" w:hAnsi="Times New Roman" w:cs="Times New Roman"/>
                <w:color w:val="000000"/>
                <w:sz w:val="22"/>
                <w:szCs w:val="22"/>
              </w:rPr>
            </w:pPr>
          </w:p>
        </w:tc>
        <w:tc>
          <w:tcPr>
            <w:tcW w:w="1710" w:type="dxa"/>
            <w:hideMark/>
          </w:tcPr>
          <w:p w14:paraId="78A1A0D9"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G190S</w:t>
            </w:r>
          </w:p>
        </w:tc>
        <w:tc>
          <w:tcPr>
            <w:tcW w:w="2341" w:type="dxa"/>
            <w:hideMark/>
          </w:tcPr>
          <w:p w14:paraId="6BA4979F" w14:textId="6C19F34C"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38</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130</w:t>
            </w:r>
          </w:p>
        </w:tc>
        <w:tc>
          <w:tcPr>
            <w:tcW w:w="2249" w:type="dxa"/>
            <w:hideMark/>
          </w:tcPr>
          <w:p w14:paraId="24599318" w14:textId="02338664"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22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116</w:t>
            </w:r>
          </w:p>
        </w:tc>
        <w:tc>
          <w:tcPr>
            <w:tcW w:w="2160" w:type="dxa"/>
            <w:hideMark/>
          </w:tcPr>
          <w:p w14:paraId="1B6CBB97" w14:textId="6706B280"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12.8</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5.2</w:t>
            </w:r>
          </w:p>
        </w:tc>
      </w:tr>
      <w:tr w:rsidR="00B67051" w:rsidRPr="00A361BD" w14:paraId="0766F957" w14:textId="77777777" w:rsidTr="00321E53">
        <w:trPr>
          <w:trHeight w:val="521"/>
        </w:trPr>
        <w:tc>
          <w:tcPr>
            <w:tcW w:w="1259" w:type="dxa"/>
            <w:vMerge/>
            <w:hideMark/>
          </w:tcPr>
          <w:p w14:paraId="46E4E249" w14:textId="77777777" w:rsidR="00B67051" w:rsidRPr="00FB45FB" w:rsidRDefault="00B67051" w:rsidP="00DF404F">
            <w:pPr>
              <w:spacing w:line="480" w:lineRule="auto"/>
              <w:rPr>
                <w:rFonts w:ascii="Times New Roman" w:hAnsi="Times New Roman" w:cs="Times New Roman"/>
                <w:color w:val="000000"/>
                <w:sz w:val="22"/>
                <w:szCs w:val="22"/>
              </w:rPr>
            </w:pPr>
          </w:p>
        </w:tc>
        <w:tc>
          <w:tcPr>
            <w:tcW w:w="1710" w:type="dxa"/>
            <w:hideMark/>
          </w:tcPr>
          <w:p w14:paraId="55C9F1D8"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K103N+L100I</w:t>
            </w:r>
          </w:p>
        </w:tc>
        <w:tc>
          <w:tcPr>
            <w:tcW w:w="2341" w:type="dxa"/>
            <w:hideMark/>
          </w:tcPr>
          <w:p w14:paraId="3F4FD7D1" w14:textId="495BBD42"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-75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94</w:t>
            </w:r>
          </w:p>
        </w:tc>
        <w:tc>
          <w:tcPr>
            <w:tcW w:w="2249" w:type="dxa"/>
            <w:hideMark/>
          </w:tcPr>
          <w:p w14:paraId="7517396D" w14:textId="1E12E0C2"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2160" w:type="dxa"/>
            <w:hideMark/>
          </w:tcPr>
          <w:p w14:paraId="1702F5E6" w14:textId="6CD766D6"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-10.6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7.0</w:t>
            </w:r>
          </w:p>
        </w:tc>
      </w:tr>
      <w:tr w:rsidR="00B67051" w:rsidRPr="00A361BD" w14:paraId="5A077A22" w14:textId="77777777" w:rsidTr="00321E53">
        <w:trPr>
          <w:trHeight w:val="350"/>
        </w:trPr>
        <w:tc>
          <w:tcPr>
            <w:tcW w:w="1259" w:type="dxa"/>
            <w:vMerge/>
            <w:hideMark/>
          </w:tcPr>
          <w:p w14:paraId="14783109" w14:textId="77777777" w:rsidR="00B67051" w:rsidRPr="00FB45FB" w:rsidRDefault="00B67051" w:rsidP="00DF404F">
            <w:pPr>
              <w:spacing w:line="480" w:lineRule="auto"/>
              <w:rPr>
                <w:rFonts w:ascii="Times New Roman" w:hAnsi="Times New Roman" w:cs="Times New Roman"/>
                <w:color w:val="000000"/>
                <w:sz w:val="22"/>
                <w:szCs w:val="22"/>
              </w:rPr>
            </w:pPr>
          </w:p>
        </w:tc>
        <w:tc>
          <w:tcPr>
            <w:tcW w:w="1710" w:type="dxa"/>
            <w:hideMark/>
          </w:tcPr>
          <w:p w14:paraId="61FDE31C"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K103N+P225H</w:t>
            </w:r>
          </w:p>
        </w:tc>
        <w:tc>
          <w:tcPr>
            <w:tcW w:w="2341" w:type="dxa"/>
            <w:hideMark/>
          </w:tcPr>
          <w:p w14:paraId="63FE95E4" w14:textId="6ED5CD4E"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-24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103</w:t>
            </w:r>
          </w:p>
        </w:tc>
        <w:tc>
          <w:tcPr>
            <w:tcW w:w="2249" w:type="dxa"/>
            <w:hideMark/>
          </w:tcPr>
          <w:p w14:paraId="38C93B2C" w14:textId="1D41BCFF"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-61</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95</w:t>
            </w:r>
          </w:p>
        </w:tc>
        <w:tc>
          <w:tcPr>
            <w:tcW w:w="2160" w:type="dxa"/>
            <w:hideMark/>
          </w:tcPr>
          <w:p w14:paraId="1AEFDDAE" w14:textId="3165CE2F"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-2.4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7.8</w:t>
            </w:r>
          </w:p>
        </w:tc>
      </w:tr>
      <w:tr w:rsidR="00B67051" w:rsidRPr="00A361BD" w14:paraId="1E1577C4" w14:textId="77777777" w:rsidTr="00321E53">
        <w:trPr>
          <w:trHeight w:val="350"/>
        </w:trPr>
        <w:tc>
          <w:tcPr>
            <w:tcW w:w="1259" w:type="dxa"/>
            <w:vMerge/>
            <w:tcBorders>
              <w:bottom w:val="single" w:sz="4" w:space="0" w:color="auto"/>
            </w:tcBorders>
          </w:tcPr>
          <w:p w14:paraId="6BE54F47" w14:textId="77777777" w:rsidR="00B67051" w:rsidRPr="00FB45FB" w:rsidRDefault="00B67051" w:rsidP="00DF404F">
            <w:pPr>
              <w:spacing w:line="480" w:lineRule="auto"/>
              <w:rPr>
                <w:rFonts w:ascii="Times New Roman" w:hAnsi="Times New Roman" w:cs="Times New Roman"/>
                <w:color w:val="000000"/>
                <w:sz w:val="22"/>
                <w:szCs w:val="22"/>
              </w:rPr>
            </w:pPr>
          </w:p>
        </w:tc>
        <w:tc>
          <w:tcPr>
            <w:tcW w:w="1710" w:type="dxa"/>
            <w:tcBorders>
              <w:bottom w:val="single" w:sz="4" w:space="0" w:color="auto"/>
            </w:tcBorders>
          </w:tcPr>
          <w:p w14:paraId="571F4A55" w14:textId="77777777" w:rsidR="00B67051" w:rsidRPr="00FB45FB" w:rsidRDefault="00B67051" w:rsidP="00DF404F">
            <w:pPr>
              <w:jc w:val="center"/>
              <w:rPr>
                <w:rFonts w:ascii="Times New Roman" w:hAnsi="Times New Roman" w:cs="Times New Roman"/>
                <w:sz w:val="22"/>
                <w:szCs w:val="22"/>
              </w:rPr>
            </w:pPr>
            <w:r w:rsidRPr="00FB45FB">
              <w:rPr>
                <w:rFonts w:ascii="Times New Roman" w:hAnsi="Times New Roman" w:cs="Times New Roman"/>
                <w:sz w:val="22"/>
                <w:szCs w:val="22"/>
              </w:rPr>
              <w:t>G190E</w:t>
            </w:r>
          </w:p>
        </w:tc>
        <w:tc>
          <w:tcPr>
            <w:tcW w:w="2341" w:type="dxa"/>
            <w:tcBorders>
              <w:bottom w:val="single" w:sz="4" w:space="0" w:color="auto"/>
            </w:tcBorders>
          </w:tcPr>
          <w:p w14:paraId="66737C2A" w14:textId="73BC16B6" w:rsidR="00B67051" w:rsidRPr="00FB45FB" w:rsidRDefault="00321E53" w:rsidP="00DF404F">
            <w:pPr>
              <w:jc w:val="center"/>
              <w:rPr>
                <w:rFonts w:ascii="Times New Roman" w:hAnsi="Times New Roman" w:cs="Times New Roman"/>
                <w:sz w:val="22"/>
                <w:szCs w:val="22"/>
              </w:rPr>
            </w:pPr>
            <w:r>
              <w:rPr>
                <w:rFonts w:ascii="Times New Roman" w:hAnsi="Times New Roman" w:cs="Times New Roman"/>
                <w:sz w:val="22"/>
                <w:szCs w:val="22"/>
              </w:rPr>
              <w:t>141</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86</w:t>
            </w:r>
          </w:p>
        </w:tc>
        <w:tc>
          <w:tcPr>
            <w:tcW w:w="2249" w:type="dxa"/>
            <w:tcBorders>
              <w:bottom w:val="single" w:sz="4" w:space="0" w:color="auto"/>
            </w:tcBorders>
          </w:tcPr>
          <w:p w14:paraId="776F3690" w14:textId="4E6C2754" w:rsidR="00B67051" w:rsidRPr="00FB45FB" w:rsidRDefault="00321E53" w:rsidP="00DF404F">
            <w:pPr>
              <w:jc w:val="center"/>
              <w:rPr>
                <w:rFonts w:ascii="Times New Roman" w:hAnsi="Times New Roman" w:cs="Times New Roman"/>
                <w:sz w:val="22"/>
                <w:szCs w:val="22"/>
              </w:rPr>
            </w:pPr>
            <w:r>
              <w:rPr>
                <w:rFonts w:ascii="Times New Roman" w:hAnsi="Times New Roman" w:cs="Times New Roman"/>
                <w:sz w:val="22"/>
                <w:szCs w:val="22"/>
              </w:rPr>
              <w:t>90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69</w:t>
            </w:r>
          </w:p>
        </w:tc>
        <w:tc>
          <w:tcPr>
            <w:tcW w:w="2160" w:type="dxa"/>
            <w:tcBorders>
              <w:bottom w:val="single" w:sz="4" w:space="0" w:color="auto"/>
            </w:tcBorders>
          </w:tcPr>
          <w:p w14:paraId="008D3451" w14:textId="0242B5A8" w:rsidR="00B67051" w:rsidRPr="00FB45FB" w:rsidRDefault="00321E53" w:rsidP="00DF404F">
            <w:pPr>
              <w:jc w:val="center"/>
              <w:rPr>
                <w:rFonts w:ascii="Times New Roman" w:hAnsi="Times New Roman" w:cs="Times New Roman"/>
                <w:sz w:val="22"/>
                <w:szCs w:val="22"/>
              </w:rPr>
            </w:pPr>
            <w:r>
              <w:rPr>
                <w:rFonts w:ascii="Times New Roman" w:hAnsi="Times New Roman" w:cs="Times New Roman"/>
                <w:sz w:val="22"/>
                <w:szCs w:val="22"/>
              </w:rPr>
              <w:t>4.6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2.2</w:t>
            </w:r>
          </w:p>
        </w:tc>
      </w:tr>
    </w:tbl>
    <w:p w14:paraId="70141177" w14:textId="060BC983" w:rsidR="00A361BD" w:rsidRDefault="002D1287" w:rsidP="00C965EE">
      <w:pPr>
        <w:rPr>
          <w:rFonts w:ascii="Times New Roman" w:hAnsi="Times New Roman" w:cs="Times New Roman"/>
          <w:szCs w:val="24"/>
        </w:rPr>
      </w:pPr>
      <w:r>
        <w:rPr>
          <w:rFonts w:ascii="Times New Roman" w:hAnsi="Times New Roman" w:cs="Times New Roman"/>
          <w:sz w:val="22"/>
          <w:szCs w:val="22"/>
        </w:rPr>
        <w:t>*</w:t>
      </w:r>
      <w:r w:rsidR="00321E53" w:rsidRPr="00F41060">
        <w:rPr>
          <w:rFonts w:ascii="Times New Roman" w:hAnsi="Times New Roman" w:cs="Times New Roman"/>
          <w:sz w:val="22"/>
          <w:szCs w:val="22"/>
        </w:rPr>
        <w:t xml:space="preserve">Values are averages over the last 20 frames (~10ns) of </w:t>
      </w:r>
      <w:r w:rsidR="00F41060">
        <w:rPr>
          <w:rFonts w:ascii="Times New Roman" w:hAnsi="Times New Roman" w:cs="Times New Roman"/>
          <w:sz w:val="22"/>
          <w:szCs w:val="22"/>
        </w:rPr>
        <w:t>3 independent</w:t>
      </w:r>
      <w:r w:rsidR="00321E53" w:rsidRPr="00F41060">
        <w:rPr>
          <w:rFonts w:ascii="Times New Roman" w:hAnsi="Times New Roman" w:cs="Times New Roman"/>
          <w:sz w:val="22"/>
          <w:szCs w:val="22"/>
        </w:rPr>
        <w:t xml:space="preserve"> 100ns production MD simulations </w:t>
      </w:r>
    </w:p>
    <w:p w14:paraId="213B09ED" w14:textId="77777777" w:rsidR="00A361BD" w:rsidRDefault="00A361BD" w:rsidP="00C965EE">
      <w:pPr>
        <w:rPr>
          <w:rFonts w:ascii="Times New Roman" w:hAnsi="Times New Roman" w:cs="Times New Roman"/>
          <w:szCs w:val="24"/>
        </w:rPr>
      </w:pPr>
    </w:p>
    <w:p w14:paraId="502EB537" w14:textId="77777777" w:rsidR="00A77EE2" w:rsidRPr="009E1D62" w:rsidRDefault="00A77EE2" w:rsidP="00A77EE2">
      <w:pPr>
        <w:spacing w:after="240"/>
        <w:rPr>
          <w:rFonts w:ascii="Times New Roman" w:hAnsi="Times New Roman" w:cs="Times New Roman"/>
          <w:szCs w:val="24"/>
        </w:rPr>
      </w:pPr>
      <w:r w:rsidRPr="00985CF1">
        <w:rPr>
          <w:rFonts w:ascii="Times New Roman" w:hAnsi="Times New Roman" w:cs="Times New Roman"/>
          <w:szCs w:val="24"/>
        </w:rPr>
        <w:t>From the perspective of WT-referenced electrostatic shifts, all negative control mutations showed little to no destabilization, with K103N appearing slightly more stable than WT</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 -7.9 kJ/mol). </w:t>
      </w:r>
      <w:r w:rsidRPr="00985CF1">
        <w:rPr>
          <w:rFonts w:ascii="Times New Roman" w:hAnsi="Times New Roman" w:cs="Times New Roman"/>
          <w:szCs w:val="24"/>
        </w:rPr>
        <w:t>In contrast, four of the eight positive control mutations—V106I+F227C, V106A+F227L, Y188L, and V106A+P225H—had positive</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w:t>
      </w:r>
      <w:r w:rsidRPr="00985CF1">
        <w:rPr>
          <w:rFonts w:ascii="Times New Roman" w:hAnsi="Times New Roman" w:cs="Times New Roman"/>
          <w:szCs w:val="24"/>
        </w:rPr>
        <w:t>values within error, consistent with reduced electrostatic stability relative to WT. Among the six mutations with uncertain phenotype, G190S and G190E were electrostatically less stable than WT, whereas K103N+L100I and K103N+M230L were more stable than WT.</w:t>
      </w:r>
    </w:p>
    <w:p w14:paraId="0342A344" w14:textId="77B4CE70" w:rsidR="00A77EE2" w:rsidRDefault="00A77EE2" w:rsidP="00A77EE2">
      <w:pPr>
        <w:pStyle w:val="NormalWeb"/>
      </w:pPr>
      <w:r w:rsidRPr="00985CF1">
        <w:t>Although these global energetic metrics did not fully explain the DOR susceptibility landscape, several mutation-specific patterns suggested possible links to local structural mechanisms of resistance</w:t>
      </w:r>
      <w:r>
        <w:t xml:space="preserve"> </w:t>
      </w:r>
      <w:r w:rsidRPr="00985CF1">
        <w:t>(</w:t>
      </w:r>
      <w:r w:rsidR="00C66839">
        <w:t xml:space="preserve">Table 2 and </w:t>
      </w:r>
      <w:r w:rsidR="00C66839" w:rsidRPr="00985CF1">
        <w:t>Supplementary Table 3</w:t>
      </w:r>
      <w:r w:rsidRPr="00985CF1">
        <w:t>). For example, Y188L showed large trajectory-to-trajectory variation in the van der Waals component, with a</w:t>
      </w:r>
      <w:r>
        <w:t xml:space="preserve"> ∆∆</w:t>
      </w:r>
      <w:proofErr w:type="spellStart"/>
      <w:r>
        <w:t>G</w:t>
      </w:r>
      <w:r>
        <w:rPr>
          <w:vertAlign w:val="subscript"/>
        </w:rPr>
        <w:t>vdW</w:t>
      </w:r>
      <w:proofErr w:type="spellEnd"/>
      <w:r>
        <w:t xml:space="preserve"> </w:t>
      </w:r>
      <w:r w:rsidRPr="00985CF1">
        <w:t xml:space="preserve">standard deviation of approximately </w:t>
      </w:r>
      <w:r>
        <w:t>327</w:t>
      </w:r>
      <w:r w:rsidRPr="00985CF1">
        <w:t xml:space="preserve"> kJ/mol. Visual inspection indicated that this variation arose from alternate conformations of Leu188, which produced distinct DOR packing arrangements across </w:t>
      </w:r>
      <w:r>
        <w:t>replicates</w:t>
      </w:r>
      <w:r w:rsidRPr="00985CF1">
        <w:t xml:space="preserve">, </w:t>
      </w:r>
      <w:r w:rsidRPr="00985CF1">
        <w:lastRenderedPageBreak/>
        <w:t>some resembling WT and others deviating substantially from it. Similarly, V106A+F227L and V106I+F227C showed qualitatively different van der Waals shifts relative to WT, with</w:t>
      </w:r>
      <w:r>
        <w:t xml:space="preserve"> ∆∆</w:t>
      </w:r>
      <w:proofErr w:type="spellStart"/>
      <w:r>
        <w:t>G</w:t>
      </w:r>
      <w:r>
        <w:rPr>
          <w:vertAlign w:val="subscript"/>
        </w:rPr>
        <w:t>vdW</w:t>
      </w:r>
      <w:proofErr w:type="spellEnd"/>
      <w:r>
        <w:t xml:space="preserve"> mean values of −76 kJ/mol and +154 kJ/mol, respectively. Thus, mutations affecting the same positions and producing similar phenotypic resistance profiles may nevertheless perturb the RT-DOR complex through distinct local structural mechanisms.</w:t>
      </w:r>
    </w:p>
    <w:p w14:paraId="4F91A035" w14:textId="0665849F" w:rsidR="0061294B" w:rsidRDefault="00B421CB" w:rsidP="0061294B">
      <w:pPr>
        <w:rPr>
          <w:rFonts w:ascii="Times New Roman" w:hAnsi="Times New Roman" w:cs="Times New Roman"/>
          <w:szCs w:val="24"/>
        </w:rPr>
      </w:pPr>
      <w:r>
        <w:rPr>
          <w:rFonts w:ascii="Times New Roman" w:hAnsi="Times New Roman" w:cs="Times New Roman"/>
          <w:noProof/>
          <w:szCs w:val="24"/>
        </w:rPr>
        <w:drawing>
          <wp:inline distT="0" distB="0" distL="0" distR="0" wp14:anchorId="7F9D71CB" wp14:editId="71BA03AD">
            <wp:extent cx="5837357" cy="3791164"/>
            <wp:effectExtent l="0" t="0" r="5080" b="0"/>
            <wp:docPr id="151552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6442" name="Picture 15155264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5614" cy="3803022"/>
                    </a:xfrm>
                    <a:prstGeom prst="rect">
                      <a:avLst/>
                    </a:prstGeom>
                  </pic:spPr>
                </pic:pic>
              </a:graphicData>
            </a:graphic>
          </wp:inline>
        </w:drawing>
      </w:r>
    </w:p>
    <w:p w14:paraId="3BE4B21C" w14:textId="57C18AA4" w:rsidR="0061294B" w:rsidRPr="00A77EE2" w:rsidRDefault="0061294B" w:rsidP="00C965EE">
      <w:pPr>
        <w:rPr>
          <w:rFonts w:ascii="Times New Roman" w:hAnsi="Times New Roman" w:cs="Times New Roman"/>
          <w:sz w:val="21"/>
        </w:rPr>
      </w:pPr>
      <w:r w:rsidRPr="00A77EE2">
        <w:rPr>
          <w:rFonts w:ascii="Times New Roman" w:hAnsi="Times New Roman" w:cs="Times New Roman"/>
          <w:b/>
          <w:bCs/>
          <w:sz w:val="21"/>
        </w:rPr>
        <w:t xml:space="preserve">Figure </w:t>
      </w:r>
      <w:r w:rsidR="00321E53" w:rsidRPr="00A77EE2">
        <w:rPr>
          <w:rFonts w:ascii="Times New Roman" w:hAnsi="Times New Roman" w:cs="Times New Roman"/>
          <w:b/>
          <w:bCs/>
          <w:sz w:val="21"/>
        </w:rPr>
        <w:t>2</w:t>
      </w:r>
      <w:r w:rsidRPr="00A77EE2">
        <w:rPr>
          <w:rFonts w:ascii="Times New Roman" w:hAnsi="Times New Roman" w:cs="Times New Roman"/>
          <w:b/>
          <w:bCs/>
          <w:sz w:val="21"/>
        </w:rPr>
        <w:t xml:space="preserve">: Changes in electrostatic component of the RT-DOR binding energy vs WT weakly correlates with phenotypic DOR susceptibility data of the </w:t>
      </w:r>
      <w:r w:rsidR="00B421CB" w:rsidRPr="00A77EE2">
        <w:rPr>
          <w:rFonts w:ascii="Times New Roman" w:hAnsi="Times New Roman" w:cs="Times New Roman"/>
          <w:b/>
          <w:bCs/>
          <w:sz w:val="21"/>
        </w:rPr>
        <w:t xml:space="preserve">negative and positive </w:t>
      </w:r>
      <w:r w:rsidRPr="00A77EE2">
        <w:rPr>
          <w:rFonts w:ascii="Times New Roman" w:hAnsi="Times New Roman" w:cs="Times New Roman"/>
          <w:b/>
          <w:bCs/>
          <w:sz w:val="21"/>
        </w:rPr>
        <w:t>control mutations</w:t>
      </w:r>
      <w:r w:rsidRPr="00A77EE2">
        <w:rPr>
          <w:rFonts w:ascii="Times New Roman" w:hAnsi="Times New Roman" w:cs="Times New Roman"/>
          <w:sz w:val="21"/>
        </w:rPr>
        <w:t xml:space="preserve">. Data correspond to the average MM/GBSA electrostatic components over the last 20 frames (~10ns) sampled from 100ns all-atom MD simulations of each system. Error bars represent the standard error of the mean over </w:t>
      </w:r>
      <w:r w:rsidRPr="00A77EE2">
        <w:rPr>
          <w:rFonts w:ascii="Times New Roman" w:hAnsi="Times New Roman" w:cs="Times New Roman"/>
          <w:i/>
          <w:iCs/>
          <w:sz w:val="21"/>
        </w:rPr>
        <w:t>N</w:t>
      </w:r>
      <w:r w:rsidRPr="00A77EE2">
        <w:rPr>
          <w:rFonts w:ascii="Times New Roman" w:hAnsi="Times New Roman" w:cs="Times New Roman"/>
          <w:sz w:val="21"/>
        </w:rPr>
        <w:t xml:space="preserve"> = 3 replicates. Dashed trend line shows an ordinary least-squares linear regression between electrostatic energy shift and resistance fold-change on a log scale. R</w:t>
      </w:r>
      <w:r w:rsidRPr="00A77EE2">
        <w:rPr>
          <w:rFonts w:ascii="Times New Roman" w:hAnsi="Times New Roman" w:cs="Times New Roman"/>
          <w:sz w:val="21"/>
          <w:vertAlign w:val="superscript"/>
        </w:rPr>
        <w:t>2</w:t>
      </w:r>
      <w:r w:rsidRPr="00A77EE2">
        <w:rPr>
          <w:rFonts w:ascii="Times New Roman" w:hAnsi="Times New Roman" w:cs="Times New Roman"/>
          <w:sz w:val="21"/>
        </w:rPr>
        <w:t xml:space="preserve"> is the coefficient of determination for this fit and the p-value tests whether the regression slope differs from zero using the standard two-tailed t-test.</w:t>
      </w:r>
    </w:p>
    <w:p w14:paraId="43BCC399" w14:textId="47D2B042" w:rsidR="00B11FD5" w:rsidRPr="00985CF1" w:rsidRDefault="00985CF1" w:rsidP="00985CF1">
      <w:pPr>
        <w:pStyle w:val="NormalWeb"/>
      </w:pPr>
      <w:r>
        <w:t>Together, these results suggest that a simple global destabilization model is insufficient to explain the DOR susceptibility landscape over the simulation timescales sampled here. However, the weak electrostatic association with phenotype, together with mutation-specific van der Waals signatures and heterogeneous local packing behavior, raised the possibility that DOR resistance is better captured by localized structural rearrangements than by aggregate binding energy shifts alone.</w:t>
      </w:r>
    </w:p>
    <w:p w14:paraId="4EC9C74B" w14:textId="7EF468F4" w:rsidR="00B11FD5" w:rsidRDefault="002B5128" w:rsidP="009E48E6">
      <w:pPr>
        <w:rPr>
          <w:rFonts w:ascii="Times New Roman" w:hAnsi="Times New Roman" w:cs="Times New Roman"/>
          <w:b/>
          <w:bCs/>
          <w:szCs w:val="24"/>
          <w:u w:val="single"/>
        </w:rPr>
      </w:pPr>
      <w:r>
        <w:rPr>
          <w:rFonts w:ascii="Times New Roman" w:hAnsi="Times New Roman" w:cs="Times New Roman"/>
          <w:b/>
          <w:bCs/>
          <w:szCs w:val="24"/>
          <w:u w:val="single"/>
        </w:rPr>
        <w:t>Local trajectory-level</w:t>
      </w:r>
      <w:r w:rsidR="00335759" w:rsidRPr="00335759">
        <w:rPr>
          <w:rFonts w:ascii="Times New Roman" w:hAnsi="Times New Roman" w:cs="Times New Roman"/>
          <w:b/>
          <w:bCs/>
          <w:szCs w:val="24"/>
          <w:u w:val="single"/>
        </w:rPr>
        <w:t xml:space="preserve"> analysis </w:t>
      </w:r>
      <w:r>
        <w:rPr>
          <w:rFonts w:ascii="Times New Roman" w:hAnsi="Times New Roman" w:cs="Times New Roman"/>
          <w:b/>
          <w:bCs/>
          <w:szCs w:val="24"/>
          <w:u w:val="single"/>
        </w:rPr>
        <w:t xml:space="preserve">reveals WT RT-DOR contact occupancy profile </w:t>
      </w:r>
    </w:p>
    <w:p w14:paraId="7ABF0B23" w14:textId="154FFDF9" w:rsidR="00985CF1" w:rsidRDefault="00985CF1" w:rsidP="002B5128">
      <w:pPr>
        <w:rPr>
          <w:rFonts w:ascii="Times New Roman" w:hAnsi="Times New Roman" w:cs="Times New Roman"/>
          <w:szCs w:val="24"/>
        </w:rPr>
      </w:pPr>
      <w:r w:rsidRPr="00985CF1">
        <w:rPr>
          <w:rFonts w:ascii="Times New Roman" w:hAnsi="Times New Roman" w:cs="Times New Roman"/>
          <w:szCs w:val="24"/>
        </w:rPr>
        <w:t xml:space="preserve">We next asked whether DOR resistance might instead be </w:t>
      </w:r>
      <w:r w:rsidR="00713B36">
        <w:rPr>
          <w:rFonts w:ascii="Times New Roman" w:hAnsi="Times New Roman" w:cs="Times New Roman"/>
          <w:szCs w:val="24"/>
        </w:rPr>
        <w:t>encoded</w:t>
      </w:r>
      <w:r w:rsidRPr="00985CF1">
        <w:rPr>
          <w:rFonts w:ascii="Times New Roman" w:hAnsi="Times New Roman" w:cs="Times New Roman"/>
          <w:szCs w:val="24"/>
        </w:rPr>
        <w:t xml:space="preserve"> in mutation-specific redistribution of local binding-pocket interactions. This hypothesis was motivated by two considerations. First, the NNIBP is sufficiently compact that short MD simulations may resolve local contact rearrangements even if they do not accurately recover full binding thermodynamics. </w:t>
      </w:r>
      <w:r w:rsidRPr="00985CF1">
        <w:rPr>
          <w:rFonts w:ascii="Times New Roman" w:hAnsi="Times New Roman" w:cs="Times New Roman"/>
          <w:szCs w:val="24"/>
        </w:rPr>
        <w:lastRenderedPageBreak/>
        <w:t>Second, prior structural studies of NNRTI resistance suggest that reduced susceptibility can arise from altered pocket geometry, shifted anchoring interactions, and increased ligand pose heterogeneity, without necessarily producing a simple global affinity signal</w:t>
      </w:r>
      <w:r w:rsidR="00B923F2">
        <w:rPr>
          <w:rFonts w:ascii="Times New Roman" w:hAnsi="Times New Roman" w:cs="Times New Roman"/>
          <w:szCs w:val="24"/>
        </w:rPr>
        <w:t>.</w:t>
      </w:r>
      <w:r w:rsidR="00B923F2">
        <w:rPr>
          <w:rFonts w:ascii="Times New Roman" w:hAnsi="Times New Roman" w:cs="Times New Roman"/>
          <w:szCs w:val="24"/>
        </w:rPr>
        <w:fldChar w:fldCharType="begin"/>
      </w:r>
      <w:r w:rsidR="007F3EAF">
        <w:rPr>
          <w:rFonts w:ascii="Times New Roman" w:hAnsi="Times New Roman" w:cs="Times New Roman"/>
          <w:szCs w:val="24"/>
        </w:rPr>
        <w:instrText xml:space="preserve"> ADDIN ZOTERO_ITEM CSL_CITATION {"citationID":"cdbL7NMl","properties":{"unsorted":false,"formattedCitation":"\\super 25,38,39\\nosupersub{}","plainCitation":"25,38,39","noteIndex":0},"citationItems":[{"id":92,"uris":["http://zotero.org/users/19404620/items/W528QLF7"],"itemData":{"id":92,"type":"article-journal","abstract":"Inhibitors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H"},{"family":"Arnold","given":"Edward"}],"issued":{"date-parts":[["2001",6,1]]}}},{"id":97,"uris":["http://zotero.org/users/19404620/items/7GZDABAE"],"itemData":{"id":97,"type":"article-journal","abstract":"To decipher the mechanism for non-nucleoside inhibitor resistance of HIV-1 reverse transcriptase, the kinetics of the interaction between wild type and drug-resistant variants of the enzyme and structurally diverse inhibitors were determined. Substitution of amino acid residues in the inhibitor binding site resulted in altered rate constants for the pre-equilibrium between two unliganded forms of the enzyme, and for the association and dissociation of the inhibitor−enzyme interaction. The Y181C, V108I, and P225H substitutions affected primarily the association and dissociation rate constants, while the K103N and the L100I substitutions also influenced the equilibrium between the two forms of the free enzyme. The K103N and the L100I substitutions were found to facilitate both the entry of the inhibitor into the binding pocket as well as its exit, in contrast to what has been reported elsewhere. Interaction kinetic-based resistance profiles showed that phenethylthiazolylthiourea compounds were relatively insensitive to the studied substitutions.","container-title":"Journal of Medicinal Chemistry","DOI":"10.1021/jm0504050","ISSN":"0022-2623","issue":"8","journalAbbreviation":"J. Med. Chem.","page":"2375-2387","publisher":"American Chemical Society","source":"ACS Publications","title":"Interaction Kinetic Characterization of HIV-1 Reverse Transcriptase Non-nucleoside Inhibitor Resistance","volume":"49","author":[{"family":"Geitmann","given":"Matthis"},{"family":"Unge","given":"Torsten"},{"family":"Danielson","given":"U. Helena"}],"issued":{"date-parts":[["2006",4,1]]}}},{"id":94,"uris":["http://zotero.org/users/19404620/items/3ID966ME"],"itemData":{"id":94,"type":"article-journal","container-title":"Biophysical Journal","DOI":"10.1016/j.bpj.2020.04.008","ISSN":"0006-3495, 1542-0086","issue":"10","journalAbbreviation":"Biophysical Journal","language":"English","page":"2489-2501","PMID":"32348721","publisher":"Elsevier","source":"www.cell.com","title":"Small Conformational Changes Underlie Evolution of Resistance to NNRTI in HIV Reverse Transcriptase","volume":"118","author":[{"family":"Srivastava","given":"Ashutosh"},{"family":"Birari","given":"Varun"},{"family":"Sinha","given":"Somdatta"}],"issued":{"date-parts":[["2020",5,19]]}}}],"schema":"https://github.com/citation-style-language/schema/raw/master/csl-citation.json"} </w:instrText>
      </w:r>
      <w:r w:rsidR="00B923F2">
        <w:rPr>
          <w:rFonts w:ascii="Times New Roman" w:hAnsi="Times New Roman" w:cs="Times New Roman"/>
          <w:szCs w:val="24"/>
        </w:rPr>
        <w:fldChar w:fldCharType="separate"/>
      </w:r>
      <w:r w:rsidR="007F3EAF" w:rsidRPr="007F3EAF">
        <w:rPr>
          <w:rFonts w:ascii="Times New Roman" w:eastAsiaTheme="minorHAnsi" w:hAnsi="Times New Roman" w:cs="Times New Roman"/>
          <w:szCs w:val="24"/>
          <w:vertAlign w:val="superscript"/>
        </w:rPr>
        <w:t>25,38,39</w:t>
      </w:r>
      <w:r w:rsidR="00B923F2">
        <w:rPr>
          <w:rFonts w:ascii="Times New Roman" w:hAnsi="Times New Roman" w:cs="Times New Roman"/>
          <w:szCs w:val="24"/>
        </w:rPr>
        <w:fldChar w:fldCharType="end"/>
      </w:r>
      <w:r w:rsidR="002B5128" w:rsidRPr="009E48E6">
        <w:rPr>
          <w:rFonts w:ascii="Times New Roman" w:hAnsi="Times New Roman" w:cs="Times New Roman"/>
          <w:szCs w:val="24"/>
        </w:rPr>
        <w:t xml:space="preserve"> We therefore shifted </w:t>
      </w:r>
      <w:r w:rsidRPr="00985CF1">
        <w:rPr>
          <w:rFonts w:ascii="Times New Roman" w:hAnsi="Times New Roman" w:cs="Times New Roman"/>
          <w:szCs w:val="24"/>
        </w:rPr>
        <w:t>to systematic residue-level characterization of DOR contacts within the NNIBP.</w:t>
      </w:r>
    </w:p>
    <w:p w14:paraId="2DD7964A" w14:textId="77DDF6D5" w:rsidR="00985CF1" w:rsidRDefault="00985CF1" w:rsidP="00985CF1">
      <w:pPr>
        <w:pStyle w:val="NormalWeb"/>
      </w:pPr>
      <w:r>
        <w:t xml:space="preserve">To define the WT local interaction landscape, we quantified residue-level DOR contacts across WT RT-DOR simulations. A residue was classified as contacting DOR in a given frame if the minimum heavy-atom distance between that residue and DOR was less than 4.0 Å (Figure </w:t>
      </w:r>
      <w:r w:rsidR="002A64FB">
        <w:t>1</w:t>
      </w:r>
      <w:r>
        <w:t xml:space="preserve">). For each residue, we then calculated mean contact occupancy as the fraction of analyzed simulation frames in which this contact criterion was satisfied. This analysis was performed for all residues that contacted DOR at any point in any WT RT-DOR trajectory, yielding a residue-level mean </w:t>
      </w:r>
      <w:r w:rsidR="000B1500">
        <w:t xml:space="preserve">contact </w:t>
      </w:r>
      <w:r>
        <w:t xml:space="preserve">occupancy profile for the WT complex (Figure </w:t>
      </w:r>
      <w:r w:rsidR="00920AD4">
        <w:t>3</w:t>
      </w:r>
      <w:r>
        <w:t>).</w:t>
      </w:r>
    </w:p>
    <w:p w14:paraId="320C0803" w14:textId="2276467E" w:rsidR="007D1187" w:rsidRDefault="00985CF1" w:rsidP="00985CF1">
      <w:pPr>
        <w:pStyle w:val="NormalWeb"/>
      </w:pPr>
      <w:r>
        <w:t xml:space="preserve">The WT </w:t>
      </w:r>
      <w:r w:rsidR="0097387E">
        <w:t xml:space="preserve">contact </w:t>
      </w:r>
      <w:r>
        <w:t>occupancy profile revealed three notable features. First, DOR maintained persistent contacts with many NNIBP residues: of the 27 residues that contacted DOR at least once during the WT simulations, 18 had mean occupancy &gt; 0.5, indicating contact for more than half of the simulation time. Second, several NNIBP regions showed consistently high occupancy, including the pocket entrance (5 residues), hydrophobic tunnel (4 residues), and distal pocket wall (1 residue), each with an average mean occupancy across residues within the region exceeding 0.9. Third, contact behavior was highly residue-specific, as neighboring positions could display markedly different mean occupancies, exemplified by positions 105 versus 106 and 180 versus 181. Together, these results establish a WT reference map of stable and heterogeneous DOR-pocket interactions against which mutation-associated local rearrangements can be evaluated.</w:t>
      </w:r>
    </w:p>
    <w:p w14:paraId="2F8B17A0" w14:textId="77777777" w:rsidR="00FA7F90" w:rsidRDefault="00FA7F90" w:rsidP="00FA7F90">
      <w:pP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174C027F" wp14:editId="4BB08ECB">
            <wp:extent cx="5800725" cy="3745061"/>
            <wp:effectExtent l="0" t="0" r="3175" b="1905"/>
            <wp:docPr id="267673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73711" name="Picture 267673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4722" cy="3773467"/>
                    </a:xfrm>
                    <a:prstGeom prst="rect">
                      <a:avLst/>
                    </a:prstGeom>
                  </pic:spPr>
                </pic:pic>
              </a:graphicData>
            </a:graphic>
          </wp:inline>
        </w:drawing>
      </w:r>
    </w:p>
    <w:p w14:paraId="06160F0C" w14:textId="781E9A44" w:rsidR="00FA7F90" w:rsidRPr="00920AD4" w:rsidRDefault="00FA7F90" w:rsidP="00FA7F90">
      <w:pPr>
        <w:rPr>
          <w:rFonts w:ascii="Times New Roman" w:hAnsi="Times New Roman" w:cs="Times New Roman"/>
          <w:sz w:val="22"/>
          <w:szCs w:val="22"/>
        </w:rPr>
      </w:pPr>
      <w:r w:rsidRPr="00920AD4">
        <w:rPr>
          <w:rFonts w:ascii="Times New Roman" w:hAnsi="Times New Roman" w:cs="Times New Roman"/>
          <w:b/>
          <w:bCs/>
          <w:sz w:val="22"/>
          <w:szCs w:val="22"/>
        </w:rPr>
        <w:lastRenderedPageBreak/>
        <w:t xml:space="preserve">Figure </w:t>
      </w:r>
      <w:r w:rsidR="00920AD4" w:rsidRPr="00920AD4">
        <w:rPr>
          <w:rFonts w:ascii="Times New Roman" w:hAnsi="Times New Roman" w:cs="Times New Roman"/>
          <w:b/>
          <w:bCs/>
          <w:sz w:val="22"/>
          <w:szCs w:val="22"/>
        </w:rPr>
        <w:t>3</w:t>
      </w:r>
      <w:r w:rsidRPr="00920AD4">
        <w:rPr>
          <w:rFonts w:ascii="Times New Roman" w:hAnsi="Times New Roman" w:cs="Times New Roman"/>
          <w:b/>
          <w:bCs/>
          <w:sz w:val="22"/>
          <w:szCs w:val="22"/>
        </w:rPr>
        <w:t>: Local trajectory-level contact analysis between DOR and NNIBP residues in WT RT-DOR simulations.</w:t>
      </w:r>
      <w:r w:rsidRPr="00920AD4">
        <w:rPr>
          <w:rFonts w:ascii="Times New Roman" w:hAnsi="Times New Roman" w:cs="Times New Roman"/>
          <w:sz w:val="22"/>
          <w:szCs w:val="22"/>
        </w:rPr>
        <w:t xml:space="preserve"> </w:t>
      </w:r>
      <w:r w:rsidRPr="00920AD4">
        <w:rPr>
          <w:rFonts w:ascii="Times New Roman" w:hAnsi="Times New Roman" w:cs="Times New Roman"/>
          <w:i/>
          <w:iCs/>
          <w:sz w:val="22"/>
          <w:szCs w:val="22"/>
        </w:rPr>
        <w:t xml:space="preserve">Top panel: </w:t>
      </w:r>
      <w:r w:rsidRPr="00920AD4">
        <w:rPr>
          <w:rFonts w:ascii="Times New Roman" w:hAnsi="Times New Roman" w:cs="Times New Roman"/>
          <w:sz w:val="22"/>
          <w:szCs w:val="22"/>
        </w:rPr>
        <w:t>Trajectories of minimum heavy atom distances between DOR and two exemplary NNIBP residues, Pro95 and Tyr318, observed in 100ns MD simulations of the WT DOR-RT complex performed in triplicates.</w:t>
      </w:r>
      <w:r w:rsidRPr="00920AD4">
        <w:rPr>
          <w:sz w:val="32"/>
          <w:szCs w:val="24"/>
        </w:rPr>
        <w:t xml:space="preserve"> </w:t>
      </w:r>
      <w:r w:rsidRPr="00920AD4">
        <w:rPr>
          <w:rFonts w:ascii="Times New Roman" w:hAnsi="Times New Roman" w:cs="Times New Roman"/>
          <w:sz w:val="22"/>
          <w:szCs w:val="22"/>
        </w:rPr>
        <w:t xml:space="preserve">Solid lines indicate the mean trajectory and lighter color bands show the standard error of the mean across </w:t>
      </w:r>
      <w:r w:rsidRPr="00920AD4">
        <w:rPr>
          <w:rFonts w:ascii="Times New Roman" w:hAnsi="Times New Roman" w:cs="Times New Roman"/>
          <w:i/>
          <w:iCs/>
          <w:sz w:val="22"/>
          <w:szCs w:val="22"/>
        </w:rPr>
        <w:t>N</w:t>
      </w:r>
      <w:r w:rsidRPr="00920AD4">
        <w:rPr>
          <w:rFonts w:ascii="Times New Roman" w:hAnsi="Times New Roman" w:cs="Times New Roman"/>
          <w:sz w:val="22"/>
          <w:szCs w:val="22"/>
        </w:rPr>
        <w:t xml:space="preserve"> = 3 replicates in this as well as other trajectory visualizations in this study. The dotted line represents the 4.0 Å cutoff used to define each contact. </w:t>
      </w:r>
      <w:r w:rsidRPr="00920AD4">
        <w:rPr>
          <w:rFonts w:ascii="Times New Roman" w:hAnsi="Times New Roman" w:cs="Times New Roman"/>
          <w:i/>
          <w:iCs/>
          <w:sz w:val="22"/>
          <w:szCs w:val="22"/>
        </w:rPr>
        <w:t xml:space="preserve">Bottom panel: </w:t>
      </w:r>
      <w:r w:rsidRPr="00920AD4">
        <w:rPr>
          <w:rFonts w:ascii="Times New Roman" w:hAnsi="Times New Roman" w:cs="Times New Roman"/>
          <w:sz w:val="22"/>
          <w:szCs w:val="22"/>
        </w:rPr>
        <w:t xml:space="preserve">Mean occupancy computed for all RT residues that came in contact with DOR at any point during the simulations, segregated by NNIBP regions (cf. Figure </w:t>
      </w:r>
      <w:r w:rsidR="00920AD4" w:rsidRPr="00920AD4">
        <w:rPr>
          <w:rFonts w:ascii="Times New Roman" w:hAnsi="Times New Roman" w:cs="Times New Roman"/>
          <w:sz w:val="22"/>
          <w:szCs w:val="22"/>
        </w:rPr>
        <w:t>1</w:t>
      </w:r>
      <w:r w:rsidRPr="00920AD4">
        <w:rPr>
          <w:rFonts w:ascii="Times New Roman" w:hAnsi="Times New Roman" w:cs="Times New Roman"/>
          <w:sz w:val="22"/>
          <w:szCs w:val="22"/>
        </w:rPr>
        <w:t xml:space="preserve">).   </w:t>
      </w:r>
    </w:p>
    <w:p w14:paraId="000FA42A" w14:textId="77777777" w:rsidR="00FA7F90" w:rsidRDefault="00FA7F90" w:rsidP="001D0F7D">
      <w:pPr>
        <w:rPr>
          <w:rFonts w:ascii="Times New Roman" w:hAnsi="Times New Roman" w:cs="Times New Roman"/>
          <w:b/>
          <w:bCs/>
          <w:szCs w:val="24"/>
          <w:u w:val="single"/>
        </w:rPr>
      </w:pPr>
    </w:p>
    <w:p w14:paraId="58F53B01" w14:textId="77777777" w:rsidR="00920AD4" w:rsidRPr="00920AD4" w:rsidRDefault="00920AD4" w:rsidP="001D0F7D">
      <w:pPr>
        <w:rPr>
          <w:rFonts w:ascii="Times New Roman" w:hAnsi="Times New Roman" w:cs="Times New Roman"/>
          <w:szCs w:val="24"/>
        </w:rPr>
      </w:pPr>
    </w:p>
    <w:p w14:paraId="4DAA3D68" w14:textId="77777777" w:rsidR="00920AD4" w:rsidRDefault="00920AD4" w:rsidP="001D0F7D">
      <w:pPr>
        <w:rPr>
          <w:rFonts w:ascii="Times New Roman" w:hAnsi="Times New Roman" w:cs="Times New Roman"/>
          <w:b/>
          <w:bCs/>
          <w:szCs w:val="24"/>
          <w:u w:val="single"/>
        </w:rPr>
      </w:pPr>
    </w:p>
    <w:p w14:paraId="4452ABA2" w14:textId="441DFE1B" w:rsidR="002B5128" w:rsidRPr="002B5128" w:rsidRDefault="00A537ED" w:rsidP="001D0F7D">
      <w:pPr>
        <w:rPr>
          <w:rFonts w:ascii="Times New Roman" w:hAnsi="Times New Roman" w:cs="Times New Roman"/>
          <w:b/>
          <w:bCs/>
          <w:szCs w:val="24"/>
          <w:u w:val="single"/>
        </w:rPr>
      </w:pPr>
      <w:r>
        <w:rPr>
          <w:rFonts w:ascii="Times New Roman" w:hAnsi="Times New Roman" w:cs="Times New Roman"/>
          <w:b/>
          <w:bCs/>
          <w:szCs w:val="24"/>
          <w:u w:val="single"/>
        </w:rPr>
        <w:t>C</w:t>
      </w:r>
      <w:r w:rsidR="002B5128">
        <w:rPr>
          <w:rFonts w:ascii="Times New Roman" w:hAnsi="Times New Roman" w:cs="Times New Roman"/>
          <w:b/>
          <w:bCs/>
          <w:szCs w:val="24"/>
          <w:u w:val="single"/>
        </w:rPr>
        <w:t xml:space="preserve">ontact occupancy profiles encode mutation-sensitive structural signals of DOR resistance </w:t>
      </w:r>
    </w:p>
    <w:p w14:paraId="69CE5B55" w14:textId="77777777" w:rsidR="002C427F" w:rsidRDefault="002C427F" w:rsidP="002C427F">
      <w:pPr>
        <w:rPr>
          <w:rFonts w:ascii="Times New Roman" w:hAnsi="Times New Roman" w:cs="Times New Roman"/>
          <w:szCs w:val="24"/>
        </w:rPr>
      </w:pPr>
      <w:r w:rsidRPr="002C427F">
        <w:rPr>
          <w:rFonts w:ascii="Times New Roman" w:hAnsi="Times New Roman" w:cs="Times New Roman"/>
          <w:szCs w:val="24"/>
        </w:rPr>
        <w:t>We then extended the contact analysis across all trajectories in the genotype panel to identify residues whose DOR-contact behavior changed preferentially in specific mutation backgrounds (Figure 5). For each mutant genotype, we compared residue-level mean occupancy against the WT reference profile, thereby generating a mutation-associated occupancy shift map across the NNIBP.</w:t>
      </w:r>
    </w:p>
    <w:p w14:paraId="08A6A677" w14:textId="77777777" w:rsidR="007D445F" w:rsidRDefault="007D445F" w:rsidP="001D0F7D">
      <w:pPr>
        <w:rPr>
          <w:rFonts w:ascii="Times New Roman" w:hAnsi="Times New Roman" w:cs="Times New Roman"/>
          <w:b/>
          <w:bCs/>
          <w:sz w:val="20"/>
          <w:szCs w:val="20"/>
        </w:rPr>
      </w:pPr>
    </w:p>
    <w:p w14:paraId="1098AAF7" w14:textId="77777777" w:rsidR="007D445F" w:rsidRDefault="007D445F" w:rsidP="001D0F7D">
      <w:pPr>
        <w:rPr>
          <w:rFonts w:ascii="Times New Roman" w:hAnsi="Times New Roman" w:cs="Times New Roman"/>
          <w:b/>
          <w:bCs/>
          <w:sz w:val="20"/>
          <w:szCs w:val="20"/>
        </w:rPr>
      </w:pPr>
    </w:p>
    <w:p w14:paraId="53BA3DC7" w14:textId="77777777" w:rsidR="0061294B" w:rsidRDefault="0061294B" w:rsidP="001D0F7D">
      <w:pPr>
        <w:rPr>
          <w:rFonts w:ascii="Times New Roman" w:hAnsi="Times New Roman" w:cs="Times New Roman"/>
          <w:b/>
          <w:bCs/>
          <w:sz w:val="20"/>
          <w:szCs w:val="20"/>
        </w:rPr>
        <w:sectPr w:rsidR="0061294B" w:rsidSect="00006884">
          <w:footerReference w:type="even" r:id="rId10"/>
          <w:footerReference w:type="default" r:id="rId11"/>
          <w:type w:val="continuous"/>
          <w:pgSz w:w="12240" w:h="15840"/>
          <w:pgMar w:top="1440" w:right="1440" w:bottom="1440" w:left="1440" w:header="720" w:footer="720" w:gutter="0"/>
          <w:lnNumType w:countBy="1" w:restart="continuous"/>
          <w:cols w:space="720"/>
          <w:docGrid w:linePitch="360"/>
        </w:sectPr>
      </w:pPr>
    </w:p>
    <w:p w14:paraId="26A5D1C5" w14:textId="7D86F001" w:rsidR="007D445F" w:rsidRDefault="004327D7" w:rsidP="001D0F7D">
      <w:pP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02F3B425" wp14:editId="78CB4010">
            <wp:extent cx="9228907" cy="3822700"/>
            <wp:effectExtent l="0" t="0" r="4445" b="0"/>
            <wp:docPr id="282509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09083" name="Picture 2825090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339282" cy="3868419"/>
                    </a:xfrm>
                    <a:prstGeom prst="rect">
                      <a:avLst/>
                    </a:prstGeom>
                  </pic:spPr>
                </pic:pic>
              </a:graphicData>
            </a:graphic>
          </wp:inline>
        </w:drawing>
      </w:r>
    </w:p>
    <w:p w14:paraId="11E037EE" w14:textId="2FC1534F" w:rsidR="00BE6784" w:rsidRPr="003919B1" w:rsidRDefault="003919B1" w:rsidP="001D0F7D">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5</w:t>
      </w:r>
      <w:r w:rsidRPr="005478F3">
        <w:rPr>
          <w:rFonts w:ascii="Times New Roman" w:hAnsi="Times New Roman" w:cs="Times New Roman"/>
          <w:b/>
          <w:bCs/>
          <w:sz w:val="20"/>
          <w:szCs w:val="20"/>
        </w:rPr>
        <w:t xml:space="preserve">: </w:t>
      </w:r>
      <w:r>
        <w:rPr>
          <w:rFonts w:ascii="Times New Roman" w:hAnsi="Times New Roman" w:cs="Times New Roman"/>
          <w:b/>
          <w:bCs/>
          <w:sz w:val="20"/>
          <w:szCs w:val="20"/>
        </w:rPr>
        <w:t>Mutation-associated changes in mean occupancy</w:t>
      </w:r>
      <w:r w:rsidRPr="005478F3">
        <w:rPr>
          <w:rFonts w:ascii="Times New Roman" w:hAnsi="Times New Roman" w:cs="Times New Roman"/>
          <w:b/>
          <w:bCs/>
          <w:sz w:val="20"/>
          <w:szCs w:val="20"/>
        </w:rPr>
        <w:t>.</w:t>
      </w:r>
      <w:r w:rsidRPr="005478F3">
        <w:rPr>
          <w:rFonts w:ascii="Times New Roman" w:hAnsi="Times New Roman" w:cs="Times New Roman"/>
          <w:sz w:val="20"/>
          <w:szCs w:val="20"/>
        </w:rPr>
        <w:t xml:space="preserve"> </w:t>
      </w:r>
      <w:r>
        <w:rPr>
          <w:rFonts w:ascii="Times New Roman" w:hAnsi="Times New Roman" w:cs="Times New Roman"/>
          <w:sz w:val="20"/>
          <w:szCs w:val="20"/>
        </w:rPr>
        <w:t xml:space="preserve">X-axis lists all the 27 residues that were ever in contact with DOR in WT RT-DOR simulations. Y-axis lists the 18 DOR-associated genotypes including negative controls, positive controls, and the </w:t>
      </w:r>
      <w:r w:rsidR="00862498">
        <w:rPr>
          <w:rFonts w:ascii="Times New Roman" w:hAnsi="Times New Roman" w:cs="Times New Roman"/>
          <w:sz w:val="20"/>
          <w:szCs w:val="20"/>
        </w:rPr>
        <w:t>uncertain phenotype</w:t>
      </w:r>
      <w:r w:rsidR="003E13C8">
        <w:rPr>
          <w:rFonts w:ascii="Times New Roman" w:hAnsi="Times New Roman" w:cs="Times New Roman"/>
          <w:sz w:val="20"/>
          <w:szCs w:val="20"/>
        </w:rPr>
        <w:t xml:space="preserve"> </w:t>
      </w:r>
      <w:r>
        <w:rPr>
          <w:rFonts w:ascii="Times New Roman" w:hAnsi="Times New Roman" w:cs="Times New Roman"/>
          <w:sz w:val="20"/>
          <w:szCs w:val="20"/>
        </w:rPr>
        <w:t>set. Values inside each cell in the heatmap represent the change in mean occupancy vs WT for each residue as observed in MD simulations for each genotype.</w:t>
      </w:r>
    </w:p>
    <w:p w14:paraId="2AE0E804" w14:textId="77777777" w:rsidR="0061294B" w:rsidRDefault="0061294B" w:rsidP="001D0F7D">
      <w:pPr>
        <w:rPr>
          <w:rFonts w:ascii="Times New Roman" w:hAnsi="Times New Roman" w:cs="Times New Roman"/>
          <w:szCs w:val="24"/>
        </w:rPr>
        <w:sectPr w:rsidR="0061294B" w:rsidSect="00006884">
          <w:type w:val="continuous"/>
          <w:pgSz w:w="15840" w:h="12226" w:orient="landscape"/>
          <w:pgMar w:top="720" w:right="720" w:bottom="720" w:left="720" w:header="720" w:footer="720" w:gutter="0"/>
          <w:lnNumType w:countBy="1" w:restart="continuous"/>
          <w:cols w:space="720"/>
          <w:docGrid w:linePitch="360"/>
        </w:sectPr>
      </w:pPr>
    </w:p>
    <w:p w14:paraId="026CE22A" w14:textId="223F6B80" w:rsidR="004327D7" w:rsidRDefault="002C427F" w:rsidP="00DB5AE6">
      <w:pPr>
        <w:spacing w:after="240"/>
        <w:rPr>
          <w:rFonts w:ascii="Times New Roman" w:hAnsi="Times New Roman" w:cs="Times New Roman"/>
          <w:szCs w:val="24"/>
        </w:rPr>
      </w:pPr>
      <w:r w:rsidRPr="002C427F">
        <w:rPr>
          <w:rFonts w:ascii="Times New Roman" w:hAnsi="Times New Roman" w:cs="Times New Roman"/>
          <w:szCs w:val="24"/>
        </w:rPr>
        <w:lastRenderedPageBreak/>
        <w:t xml:space="preserve">This systematic screen revealed two broad patterns. First, residues at the mutated positions themselves generally showed only modest changes in DOR contact occupancy, with few shifts exceeding </w:t>
      </w:r>
      <w:r w:rsidR="00D4447D">
        <w:rPr>
          <w:rFonts w:ascii="Times New Roman" w:hAnsi="Times New Roman" w:cs="Times New Roman"/>
          <w:szCs w:val="24"/>
        </w:rPr>
        <w:t xml:space="preserve">0.1, </w:t>
      </w:r>
      <w:r w:rsidR="00D4447D" w:rsidRPr="002C427F">
        <w:rPr>
          <w:rFonts w:ascii="Times New Roman" w:hAnsi="Times New Roman" w:cs="Times New Roman"/>
          <w:szCs w:val="24"/>
        </w:rPr>
        <w:t>relative to WT</w:t>
      </w:r>
      <w:r w:rsidRPr="002C427F">
        <w:rPr>
          <w:rFonts w:ascii="Times New Roman" w:hAnsi="Times New Roman" w:cs="Times New Roman"/>
          <w:szCs w:val="24"/>
        </w:rPr>
        <w:t>. The main exceptions were V106I+F227C, which reduced occupancy at the mutated position Phe227 by 0.28, and K103N+P225H, which reduced occupancy at the mutated position Pro225 by 0.12</w:t>
      </w:r>
      <w:r w:rsidR="00D4447D">
        <w:rPr>
          <w:rFonts w:ascii="Times New Roman" w:hAnsi="Times New Roman" w:cs="Times New Roman"/>
          <w:szCs w:val="24"/>
        </w:rPr>
        <w:t xml:space="preserve"> </w:t>
      </w:r>
      <w:r w:rsidR="00D4447D" w:rsidRPr="002C427F">
        <w:rPr>
          <w:rFonts w:ascii="Times New Roman" w:hAnsi="Times New Roman" w:cs="Times New Roman"/>
          <w:szCs w:val="24"/>
        </w:rPr>
        <w:t>relative to WT</w:t>
      </w:r>
      <w:r w:rsidRPr="002C427F">
        <w:rPr>
          <w:rFonts w:ascii="Times New Roman" w:hAnsi="Times New Roman" w:cs="Times New Roman"/>
          <w:szCs w:val="24"/>
        </w:rPr>
        <w:t>. Second, the largest mutation-associated occupancy shifts typically occurred at residues that were not themselves mutated. For example, G190E reduced DOR contact occupancy at the unmutated residue Val179 by 0.85 relative to WT, whereas V106A+L234I increased occupancy at the unmutated residue Ser105 by 0.87. These observations suggest that resistance-associated mutations can remodel the local DOR interaction network indirectly, rather than simply disrupting contacts at the mutated residue.</w:t>
      </w:r>
    </w:p>
    <w:p w14:paraId="5E834BFC" w14:textId="2C2D4EA3" w:rsidR="000D17F2" w:rsidRDefault="002C427F" w:rsidP="001D0F7D">
      <w:pPr>
        <w:rPr>
          <w:rFonts w:ascii="Times New Roman" w:hAnsi="Times New Roman" w:cs="Times New Roman"/>
          <w:szCs w:val="24"/>
        </w:rPr>
      </w:pPr>
      <w:r w:rsidRPr="002C427F">
        <w:rPr>
          <w:rFonts w:ascii="Times New Roman" w:hAnsi="Times New Roman" w:cs="Times New Roman"/>
          <w:szCs w:val="24"/>
        </w:rPr>
        <w:t xml:space="preserve">Comparing occupancy-shift patterns between positive and negative control mutations further suggested that specific residue-level contacts may function as </w:t>
      </w:r>
      <w:r w:rsidRPr="00713B36">
        <w:rPr>
          <w:rFonts w:ascii="Times New Roman" w:hAnsi="Times New Roman" w:cs="Times New Roman"/>
          <w:b/>
          <w:bCs/>
          <w:szCs w:val="24"/>
        </w:rPr>
        <w:t>reporter coordinates</w:t>
      </w:r>
      <w:r w:rsidRPr="002C427F">
        <w:rPr>
          <w:rFonts w:ascii="Times New Roman" w:hAnsi="Times New Roman" w:cs="Times New Roman"/>
          <w:szCs w:val="24"/>
        </w:rPr>
        <w:t xml:space="preserve"> for resistance-associated structural rearrangements. </w:t>
      </w:r>
      <w:r>
        <w:rPr>
          <w:rFonts w:ascii="Times New Roman" w:hAnsi="Times New Roman" w:cs="Times New Roman"/>
          <w:szCs w:val="24"/>
        </w:rPr>
        <w:t>Such</w:t>
      </w:r>
      <w:r w:rsidRPr="002C427F">
        <w:rPr>
          <w:rFonts w:ascii="Times New Roman" w:hAnsi="Times New Roman" w:cs="Times New Roman"/>
          <w:szCs w:val="24"/>
        </w:rPr>
        <w:t xml:space="preserve"> reporter residues or reporter groups as local readouts of protein conformational dynamics</w:t>
      </w:r>
      <w:r>
        <w:rPr>
          <w:rFonts w:ascii="Times New Roman" w:hAnsi="Times New Roman" w:cs="Times New Roman"/>
          <w:szCs w:val="24"/>
        </w:rPr>
        <w:t xml:space="preserve"> are commonly used to</w:t>
      </w:r>
      <w:r w:rsidRPr="002C427F">
        <w:rPr>
          <w:rFonts w:ascii="Times New Roman" w:hAnsi="Times New Roman" w:cs="Times New Roman"/>
          <w:szCs w:val="24"/>
        </w:rPr>
        <w:t xml:space="preserve"> describ</w:t>
      </w:r>
      <w:r>
        <w:rPr>
          <w:rFonts w:ascii="Times New Roman" w:hAnsi="Times New Roman" w:cs="Times New Roman"/>
          <w:szCs w:val="24"/>
        </w:rPr>
        <w:t>e</w:t>
      </w:r>
      <w:r w:rsidRPr="002C427F">
        <w:rPr>
          <w:rFonts w:ascii="Times New Roman" w:hAnsi="Times New Roman" w:cs="Times New Roman"/>
          <w:szCs w:val="24"/>
        </w:rPr>
        <w:t xml:space="preserve"> complex </w:t>
      </w:r>
      <w:r w:rsidR="00713B36">
        <w:rPr>
          <w:rFonts w:ascii="Times New Roman" w:hAnsi="Times New Roman" w:cs="Times New Roman"/>
          <w:szCs w:val="24"/>
        </w:rPr>
        <w:t xml:space="preserve">high-dimensional </w:t>
      </w:r>
      <w:r w:rsidRPr="002C427F">
        <w:rPr>
          <w:rFonts w:ascii="Times New Roman" w:hAnsi="Times New Roman" w:cs="Times New Roman"/>
          <w:szCs w:val="24"/>
        </w:rPr>
        <w:t xml:space="preserve">conformational changes through </w:t>
      </w:r>
      <w:r w:rsidR="00713B36">
        <w:rPr>
          <w:rFonts w:ascii="Times New Roman" w:hAnsi="Times New Roman" w:cs="Times New Roman"/>
          <w:szCs w:val="24"/>
        </w:rPr>
        <w:t>low-dimensional</w:t>
      </w:r>
      <w:r w:rsidRPr="002C427F">
        <w:rPr>
          <w:rFonts w:ascii="Times New Roman" w:hAnsi="Times New Roman" w:cs="Times New Roman"/>
          <w:szCs w:val="24"/>
        </w:rPr>
        <w:t xml:space="preserve"> structural descriptors</w:t>
      </w:r>
      <w:r>
        <w:rPr>
          <w:rFonts w:ascii="Times New Roman" w:hAnsi="Times New Roman" w:cs="Times New Roman"/>
          <w:szCs w:val="24"/>
        </w:rPr>
        <w:t>, otherwise called</w:t>
      </w:r>
      <w:r w:rsidRPr="002C427F">
        <w:rPr>
          <w:rFonts w:ascii="Times New Roman" w:hAnsi="Times New Roman" w:cs="Times New Roman"/>
          <w:szCs w:val="24"/>
        </w:rPr>
        <w:t xml:space="preserve"> order parameters, collective variables, or </w:t>
      </w:r>
      <w:r>
        <w:rPr>
          <w:rFonts w:ascii="Times New Roman" w:hAnsi="Times New Roman" w:cs="Times New Roman"/>
          <w:szCs w:val="24"/>
        </w:rPr>
        <w:t>reaction coordinates</w:t>
      </w:r>
      <w:r w:rsidRPr="002C427F">
        <w:rPr>
          <w:rFonts w:ascii="Times New Roman" w:hAnsi="Times New Roman" w:cs="Times New Roman"/>
          <w:szCs w:val="24"/>
        </w:rPr>
        <w:t>.</w:t>
      </w:r>
      <w:r w:rsidR="006E6413">
        <w:rPr>
          <w:rFonts w:ascii="Times New Roman" w:hAnsi="Times New Roman" w:cs="Times New Roman"/>
          <w:szCs w:val="24"/>
        </w:rPr>
        <w:fldChar w:fldCharType="begin"/>
      </w:r>
      <w:r w:rsidR="007F3EAF">
        <w:rPr>
          <w:rFonts w:ascii="Times New Roman" w:hAnsi="Times New Roman" w:cs="Times New Roman"/>
          <w:szCs w:val="24"/>
        </w:rPr>
        <w:instrText xml:space="preserve"> ADDIN ZOTERO_ITEM CSL_CITATION {"citationID":"YpwHDAJ1","properties":{"unsorted":false,"formattedCitation":"\\super 40\\uc0\\u8211{}42\\nosupersub{}","plainCitation":"40–42","noteIndex":0},"citationItems":[{"id":103,"uris":["http://zotero.org/users/19404620/items/5YHD9Q4I"],"itemData":{"id":103,"type":"article-journal","abstract":"EXPERIMENTAL1–6 and simulation7 studies show that small mono-meric proteins fold in one kinetic step, which entails overcoming the free-energy barrier between the unfolded and the native protein through a transition state8,9. Two models of transition state formation have been proposed: a 'nonspecific' one in which it depends on the formation of a sufficient number of native-like contacts regardless of what amino acids are involved10–12, and a 'specific' one, in which it depends on formation of a specific subset of the native structure (a folding nucleus)8,13,14. The latter requires that some amino acids form most of their contacts in the transition state, whereas others only do so on reaching the native conformation. If so, mutations affecting the stability of the transition state nucleus should have a greater effect on the folding kinetics than mutations elsewhere, and the residues involved should be evolutionarily conserved. Lattice-model simulations and experiments8,13–16 suggest that such mutations exist. Here we present a method for determining the folding nucleus of a protein with known structure with two-state folding kinetics. This method is based on the alignment of many sequences designed to fold into the native conformation of a protein to identify the positions where amino acids are most conserved in designed sequences. The method is applied to chymotrypsin inhibitor 2 (CI2), a protein whose transition state has been previously studied by protein engineering14–16. The involvement of residues in folding nucleus of CI2 is clearly correlated with their conservation in design, and the residues forming the nucleus are highly conserved in 23 natural sequences homologous to CI2.","container-title":"Nature","DOI":"10.1038/379096a0","ISSN":"1476-4687","issue":"6560","language":"en","license":"1996 Springer Nature Limited","page":"96-98","publisher":"Nature Publishing Group","source":"www-nature-com.stanford.idm.oclc.org","title":"Conserved residues and the mechanism of protein folding","volume":"379","author":[{"family":"Shakhnovich","given":"E."},{"family":"Abkevich","given":"V."},{"family":"Ptitsyn","given":"O."}],"issued":{"date-parts":[["1996",1]]}}},{"id":99,"uris":["http://zotero.org/users/19404620/items/JK3G393G"],"itemData":{"id":99,"type":"article-journal","abstract":"The motions involved in barrier crossing for protein folding are investigated in terms of the chain dynamics of the polymer backbone, completing the microscopic","container-title":"The Journal of Chemical Physics","DOI":"10.1063/1.1334663","ISSN":"0021-9606","issue":"11","journalAbbreviation":"J. Chem. Phys.","language":"en","page":"5082-5096","publisher":"AIP Publishing","source":"pubs.aip.org","title":"Microscopic theory of protein folding rates. II. Local reaction coordinates and chain dynamics","volume":"114","author":[{"family":"Portman","given":"John J."},{"family":"Takada","given":"Shoji"},{"family":"Wolynes","given":"Peter G."}],"issued":{"date-parts":[["2001",3,15]]}}},{"id":101,"uris":["http://zotero.org/users/19404620/items/6DWAKPT6"],"itemData":{"id":101,"type":"article-journal","abstract":"The recent availability of long equilibrium simulations of protein folding in atomistic detail for more than 10 proteins allows us to identify the key interactions driving folding. We find that the collective fraction of native amino acid contacts, Q, captures remarkably well the transition states for all the proteins with a folding free energy barrier. Going beyond this global picture, we devise two different measures to quantify the importance of individual interresidue contacts in the folding mechanism: (i) the log-ratio of lifetimes of contacts during folding transition paths and in the unfolded state and (ii) a Bayesian measure of how predictive the formation of each contact is for being on a transition path. Both of these measures indicate that native, or near-native, contacts are important for determining mechanism, as might be expected. More remarkably, however, we found that for almost all the proteins, with the designed protein α3D being a notable exception, nonnative contacts play no significant part in determining folding mechanisms.","container-title":"Proceedings of the National Academy of Sciences","DOI":"10.1073/pnas.1311599110","issue":"44","page":"17874-17879","publisher":"Proceedings of the National Academy of Sciences","source":"pnas.org (Atypon)","title":"Native contacts determine protein folding mechanisms in atomistic simulations","volume":"110","author":[{"family":"Best","given":"Robert B."},{"family":"Hummer","given":"Gerhard"},{"family":"Eaton","given":"William A."}],"issued":{"date-parts":[["2013",10,29]]}}}],"schema":"https://github.com/citation-style-language/schema/raw/master/csl-citation.json"} </w:instrText>
      </w:r>
      <w:r w:rsidR="006E6413">
        <w:rPr>
          <w:rFonts w:ascii="Times New Roman" w:hAnsi="Times New Roman" w:cs="Times New Roman"/>
          <w:szCs w:val="24"/>
        </w:rPr>
        <w:fldChar w:fldCharType="separate"/>
      </w:r>
      <w:r w:rsidR="007F3EAF" w:rsidRPr="007F3EAF">
        <w:rPr>
          <w:rFonts w:ascii="Times New Roman" w:eastAsiaTheme="minorHAnsi" w:hAnsi="Times New Roman" w:cs="Times New Roman"/>
          <w:szCs w:val="24"/>
          <w:vertAlign w:val="superscript"/>
        </w:rPr>
        <w:t>40–42</w:t>
      </w:r>
      <w:r w:rsidR="006E6413">
        <w:rPr>
          <w:rFonts w:ascii="Times New Roman" w:hAnsi="Times New Roman" w:cs="Times New Roman"/>
          <w:szCs w:val="24"/>
        </w:rPr>
        <w:fldChar w:fldCharType="end"/>
      </w:r>
      <w:r w:rsidRPr="002C427F">
        <w:rPr>
          <w:rFonts w:ascii="Times New Roman" w:hAnsi="Times New Roman" w:cs="Times New Roman"/>
          <w:szCs w:val="24"/>
        </w:rPr>
        <w:t xml:space="preserve"> In </w:t>
      </w:r>
      <w:r w:rsidR="00713B36">
        <w:rPr>
          <w:rFonts w:ascii="Times New Roman" w:hAnsi="Times New Roman" w:cs="Times New Roman"/>
          <w:szCs w:val="24"/>
        </w:rPr>
        <w:t>our</w:t>
      </w:r>
      <w:r w:rsidRPr="002C427F">
        <w:rPr>
          <w:rFonts w:ascii="Times New Roman" w:hAnsi="Times New Roman" w:cs="Times New Roman"/>
          <w:szCs w:val="24"/>
        </w:rPr>
        <w:t xml:space="preserve"> context, reporter coordinates are residue-level DOR-contact features whose occupancy changes reflect mutation-</w:t>
      </w:r>
      <w:r w:rsidR="00456A13">
        <w:rPr>
          <w:rFonts w:ascii="Times New Roman" w:hAnsi="Times New Roman" w:cs="Times New Roman"/>
          <w:szCs w:val="24"/>
        </w:rPr>
        <w:t>associated</w:t>
      </w:r>
      <w:r w:rsidRPr="002C427F">
        <w:rPr>
          <w:rFonts w:ascii="Times New Roman" w:hAnsi="Times New Roman" w:cs="Times New Roman"/>
          <w:szCs w:val="24"/>
        </w:rPr>
        <w:t xml:space="preserve"> remodeling in the NNIBP</w:t>
      </w:r>
      <w:r w:rsidR="000A1172">
        <w:rPr>
          <w:rFonts w:ascii="Times New Roman" w:hAnsi="Times New Roman" w:cs="Times New Roman"/>
          <w:szCs w:val="24"/>
        </w:rPr>
        <w:t xml:space="preserve"> or DOR pose fluctuations</w:t>
      </w:r>
      <w:r w:rsidRPr="002C427F">
        <w:rPr>
          <w:rFonts w:ascii="Times New Roman" w:hAnsi="Times New Roman" w:cs="Times New Roman"/>
          <w:szCs w:val="24"/>
        </w:rPr>
        <w:t>.</w:t>
      </w:r>
    </w:p>
    <w:p w14:paraId="599D69A7" w14:textId="0168EE00" w:rsidR="001823FD" w:rsidRDefault="000D17F2" w:rsidP="00DB5AE6">
      <w:pPr>
        <w:spacing w:before="240" w:after="240"/>
        <w:rPr>
          <w:rFonts w:ascii="Times New Roman" w:hAnsi="Times New Roman" w:cs="Times New Roman"/>
          <w:szCs w:val="24"/>
        </w:rPr>
      </w:pPr>
      <w:r w:rsidRPr="000D17F2">
        <w:rPr>
          <w:rFonts w:ascii="Times New Roman" w:hAnsi="Times New Roman" w:cs="Times New Roman"/>
          <w:szCs w:val="24"/>
        </w:rPr>
        <w:t>For example, Y188L, a canonical DOR resistance-associated mutation, increased DOR contact occupancy at Lys102 by 0.23 and decreased occupancy at Pro225 by 0.16 relative to WT. In contrast, Y181C, a negative control mutation in this analysis, produced minimal occupancy changes at the same positions, with shifts of approximately ±0.01 relative to WT for Lys102 and Pro225, respectively. These divergent patterns suggest that DOR interactions with Lys102 and Pro225 may serve as local structural readouts of resistance-associated pocket remodeling, even when the residues themselves are not necessarily the primary sites of mutational perturbation.</w:t>
      </w:r>
    </w:p>
    <w:p w14:paraId="1A0A1721" w14:textId="13890D90" w:rsidR="001823FD" w:rsidRDefault="001823FD" w:rsidP="00DB5AE6">
      <w:pPr>
        <w:spacing w:after="240"/>
        <w:rPr>
          <w:rFonts w:ascii="Times New Roman" w:hAnsi="Times New Roman" w:cs="Times New Roman"/>
          <w:szCs w:val="24"/>
        </w:rPr>
      </w:pPr>
      <w:r w:rsidRPr="001823FD">
        <w:rPr>
          <w:rFonts w:ascii="Times New Roman" w:hAnsi="Times New Roman" w:cs="Times New Roman"/>
          <w:szCs w:val="24"/>
        </w:rPr>
        <w:t xml:space="preserve">Because many residue-level contacts were evaluated, we treated candidate reporter coordinates as hypothesis-generating features rather than as definitive biomarkers of resistance based solely on effect size. To reduce the likelihood that these signals reflect chance observations from multiple comparisons, we prioritized residues that satisfied several criteria: reproducible occupancy shifts across independent trajectories, large WT-referenced effect sizes, consistency within structurally interpretable NNIBP regions, and differential behavior between positive and negative control mutations. Thus, reporter coordinates were not selected because they showed an </w:t>
      </w:r>
      <w:r w:rsidR="003B7262">
        <w:rPr>
          <w:rFonts w:ascii="Times New Roman" w:hAnsi="Times New Roman" w:cs="Times New Roman"/>
          <w:szCs w:val="24"/>
        </w:rPr>
        <w:t>anomalous</w:t>
      </w:r>
      <w:r w:rsidRPr="001823FD">
        <w:rPr>
          <w:rFonts w:ascii="Times New Roman" w:hAnsi="Times New Roman" w:cs="Times New Roman"/>
          <w:szCs w:val="24"/>
        </w:rPr>
        <w:t xml:space="preserve"> value in a high-dimensional screen, but because they captured </w:t>
      </w:r>
      <w:r w:rsidR="00447D4A">
        <w:rPr>
          <w:rFonts w:ascii="Times New Roman" w:hAnsi="Times New Roman" w:cs="Times New Roman"/>
          <w:szCs w:val="24"/>
        </w:rPr>
        <w:t>consistent</w:t>
      </w:r>
      <w:r w:rsidRPr="001823FD">
        <w:rPr>
          <w:rFonts w:ascii="Times New Roman" w:hAnsi="Times New Roman" w:cs="Times New Roman"/>
          <w:szCs w:val="24"/>
        </w:rPr>
        <w:t>, mutation-associated changes in DOR-pocket organization that were also interpretable in the structural context of the RT-DOR complex.</w:t>
      </w:r>
    </w:p>
    <w:p w14:paraId="5F5AF814" w14:textId="7DB1F471" w:rsidR="00CB3AC6" w:rsidRPr="00DB5AE6" w:rsidRDefault="001823FD" w:rsidP="00DB5AE6">
      <w:pPr>
        <w:spacing w:after="240"/>
        <w:rPr>
          <w:rFonts w:ascii="Times New Roman" w:hAnsi="Times New Roman" w:cs="Times New Roman"/>
          <w:szCs w:val="24"/>
        </w:rPr>
      </w:pPr>
      <w:r w:rsidRPr="001823FD">
        <w:rPr>
          <w:rFonts w:ascii="Times New Roman" w:hAnsi="Times New Roman" w:cs="Times New Roman"/>
          <w:szCs w:val="24"/>
        </w:rPr>
        <w:t xml:space="preserve">We further addressed this concern by comparing observed occupancy shifts against an empirical null distribution generated by trajectory-level resampling. Specifically, mutation labels were permuted across replicate trajectories, and the largest absolute occupancy shift observed across </w:t>
      </w:r>
      <w:r w:rsidR="000C068E">
        <w:rPr>
          <w:rFonts w:ascii="Times New Roman" w:hAnsi="Times New Roman" w:cs="Times New Roman"/>
          <w:szCs w:val="24"/>
        </w:rPr>
        <w:t xml:space="preserve">all 27 WT-contacted </w:t>
      </w:r>
      <w:r w:rsidRPr="001823FD">
        <w:rPr>
          <w:rFonts w:ascii="Times New Roman" w:hAnsi="Times New Roman" w:cs="Times New Roman"/>
          <w:szCs w:val="24"/>
        </w:rPr>
        <w:t xml:space="preserve">residues was recorded for each permutation. </w:t>
      </w:r>
      <w:r w:rsidR="000C068E" w:rsidRPr="000C068E">
        <w:rPr>
          <w:rFonts w:ascii="Times New Roman" w:hAnsi="Times New Roman" w:cs="Times New Roman"/>
          <w:szCs w:val="24"/>
        </w:rPr>
        <w:t xml:space="preserve">This global maximum statistic estimates the magnitude of occupancy shift expected by chance when applying the same residue-screening procedure to the same trajectory set. </w:t>
      </w:r>
      <w:r w:rsidR="003431AA">
        <w:rPr>
          <w:rFonts w:ascii="Times New Roman" w:hAnsi="Times New Roman" w:cs="Times New Roman"/>
          <w:szCs w:val="24"/>
        </w:rPr>
        <w:t>Only two</w:t>
      </w:r>
      <w:r w:rsidR="000C068E" w:rsidRPr="000C068E">
        <w:rPr>
          <w:rFonts w:ascii="Times New Roman" w:hAnsi="Times New Roman" w:cs="Times New Roman"/>
          <w:szCs w:val="24"/>
        </w:rPr>
        <w:t xml:space="preserve"> reporter coordinates were observed </w:t>
      </w:r>
      <w:r w:rsidR="003431AA">
        <w:rPr>
          <w:rFonts w:ascii="Times New Roman" w:hAnsi="Times New Roman" w:cs="Times New Roman"/>
          <w:szCs w:val="24"/>
        </w:rPr>
        <w:t xml:space="preserve">to have </w:t>
      </w:r>
      <w:r w:rsidR="000C068E" w:rsidRPr="000C068E">
        <w:rPr>
          <w:rFonts w:ascii="Times New Roman" w:hAnsi="Times New Roman" w:cs="Times New Roman"/>
          <w:szCs w:val="24"/>
        </w:rPr>
        <w:t>absolute WT-referenced occupancy shifts exceed</w:t>
      </w:r>
      <w:r w:rsidR="003431AA">
        <w:rPr>
          <w:rFonts w:ascii="Times New Roman" w:hAnsi="Times New Roman" w:cs="Times New Roman"/>
          <w:szCs w:val="24"/>
        </w:rPr>
        <w:t>ing</w:t>
      </w:r>
      <w:r w:rsidR="000C068E" w:rsidRPr="000C068E">
        <w:rPr>
          <w:rFonts w:ascii="Times New Roman" w:hAnsi="Times New Roman" w:cs="Times New Roman"/>
          <w:szCs w:val="24"/>
        </w:rPr>
        <w:t xml:space="preserve"> the 90th percentile of this null </w:t>
      </w:r>
      <w:r w:rsidR="000C068E" w:rsidRPr="000C068E">
        <w:rPr>
          <w:rFonts w:ascii="Times New Roman" w:hAnsi="Times New Roman" w:cs="Times New Roman"/>
          <w:szCs w:val="24"/>
        </w:rPr>
        <w:lastRenderedPageBreak/>
        <w:t>distribution (Supplementary Figure 1)</w:t>
      </w:r>
      <w:r w:rsidR="003431AA">
        <w:rPr>
          <w:rFonts w:ascii="Times New Roman" w:hAnsi="Times New Roman" w:cs="Times New Roman"/>
          <w:szCs w:val="24"/>
        </w:rPr>
        <w:t xml:space="preserve"> – Val179 for G190E and Ser105 for V106A containing genotypes (V106A, V106A+P225H, V106A+F227L, V106A+L234I).</w:t>
      </w:r>
    </w:p>
    <w:p w14:paraId="28FDD53E" w14:textId="34D88707" w:rsidR="00406A32" w:rsidRPr="00406A32" w:rsidRDefault="005C2299" w:rsidP="00406A32">
      <w:pPr>
        <w:rPr>
          <w:rFonts w:ascii="Times New Roman" w:hAnsi="Times New Roman" w:cs="Times New Roman"/>
          <w:b/>
          <w:bCs/>
          <w:szCs w:val="24"/>
        </w:rPr>
      </w:pPr>
      <w:r w:rsidRPr="005C2299">
        <w:rPr>
          <w:rFonts w:ascii="Times New Roman" w:hAnsi="Times New Roman" w:cs="Times New Roman"/>
          <w:i/>
          <w:iCs/>
          <w:szCs w:val="24"/>
          <w:u w:val="single"/>
        </w:rPr>
        <w:t xml:space="preserve">V106A-containing genotypes shift DOR toward the </w:t>
      </w:r>
      <w:r>
        <w:rPr>
          <w:rFonts w:ascii="Times New Roman" w:hAnsi="Times New Roman" w:cs="Times New Roman"/>
          <w:i/>
          <w:iCs/>
          <w:szCs w:val="24"/>
          <w:u w:val="single"/>
        </w:rPr>
        <w:t>103-108 loop</w:t>
      </w:r>
      <w:r w:rsidR="00406A32">
        <w:rPr>
          <w:rFonts w:ascii="Times New Roman" w:hAnsi="Times New Roman" w:cs="Times New Roman"/>
          <w:noProof/>
          <w:szCs w:val="24"/>
        </w:rPr>
        <w:drawing>
          <wp:inline distT="0" distB="0" distL="0" distR="0" wp14:anchorId="6B9637FF" wp14:editId="523D3904">
            <wp:extent cx="5943600" cy="2429510"/>
            <wp:effectExtent l="0" t="0" r="0" b="0"/>
            <wp:docPr id="1475186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86070" name="Picture 14751860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429510"/>
                    </a:xfrm>
                    <a:prstGeom prst="rect">
                      <a:avLst/>
                    </a:prstGeom>
                  </pic:spPr>
                </pic:pic>
              </a:graphicData>
            </a:graphic>
          </wp:inline>
        </w:drawing>
      </w:r>
      <w:r w:rsidR="00406A32" w:rsidRPr="00406A32">
        <w:rPr>
          <w:rFonts w:ascii="Arial" w:hAnsi="Arial" w:cs="Arial"/>
          <w:b/>
          <w:bCs/>
          <w:szCs w:val="24"/>
        </w:rPr>
        <w:t xml:space="preserve"> </w:t>
      </w:r>
      <w:r w:rsidR="00406A32" w:rsidRPr="00406A32">
        <w:rPr>
          <w:rFonts w:ascii="Times New Roman" w:hAnsi="Times New Roman" w:cs="Times New Roman"/>
          <w:b/>
          <w:bCs/>
          <w:szCs w:val="24"/>
        </w:rPr>
        <w:t>WT</w:t>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t>V106I</w:t>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t>V106A</w:t>
      </w:r>
    </w:p>
    <w:p w14:paraId="2CEA7A5A" w14:textId="77777777" w:rsidR="00406A32" w:rsidRPr="009055AB" w:rsidRDefault="00406A32" w:rsidP="00406A32">
      <w:pPr>
        <w:rPr>
          <w:rFonts w:ascii="Arial" w:hAnsi="Arial" w:cs="Arial"/>
          <w:szCs w:val="24"/>
        </w:rPr>
      </w:pPr>
      <w:r>
        <w:rPr>
          <w:rFonts w:ascii="Arial" w:hAnsi="Arial" w:cs="Arial"/>
          <w:noProof/>
          <w:szCs w:val="24"/>
        </w:rPr>
        <w:drawing>
          <wp:inline distT="0" distB="0" distL="0" distR="0" wp14:anchorId="40D39643" wp14:editId="25E06324">
            <wp:extent cx="1859028" cy="1820283"/>
            <wp:effectExtent l="0" t="0" r="0" b="0"/>
            <wp:docPr id="1795003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03529" name="Picture 1795003529"/>
                    <pic:cNvPicPr/>
                  </pic:nvPicPr>
                  <pic:blipFill rotWithShape="1">
                    <a:blip r:embed="rId14" cstate="print">
                      <a:extLst>
                        <a:ext uri="{28A0092B-C50C-407E-A947-70E740481C1C}">
                          <a14:useLocalDpi xmlns:a14="http://schemas.microsoft.com/office/drawing/2010/main" val="0"/>
                        </a:ext>
                      </a:extLst>
                    </a:blip>
                    <a:srcRect l="32927" r="14308"/>
                    <a:stretch>
                      <a:fillRect/>
                    </a:stretch>
                  </pic:blipFill>
                  <pic:spPr bwMode="auto">
                    <a:xfrm>
                      <a:off x="0" y="0"/>
                      <a:ext cx="1868045" cy="1829112"/>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5FBC1DA1" wp14:editId="4EC99323">
            <wp:extent cx="1829731" cy="1798572"/>
            <wp:effectExtent l="0" t="0" r="0" b="5080"/>
            <wp:docPr id="1320511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1178" name="Picture 132051178"/>
                    <pic:cNvPicPr/>
                  </pic:nvPicPr>
                  <pic:blipFill rotWithShape="1">
                    <a:blip r:embed="rId15" cstate="print">
                      <a:extLst>
                        <a:ext uri="{28A0092B-C50C-407E-A947-70E740481C1C}">
                          <a14:useLocalDpi xmlns:a14="http://schemas.microsoft.com/office/drawing/2010/main" val="0"/>
                        </a:ext>
                      </a:extLst>
                    </a:blip>
                    <a:srcRect l="29356" r="18082"/>
                    <a:stretch>
                      <a:fillRect/>
                    </a:stretch>
                  </pic:blipFill>
                  <pic:spPr bwMode="auto">
                    <a:xfrm>
                      <a:off x="0" y="0"/>
                      <a:ext cx="1849493" cy="1817998"/>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261E83E7" wp14:editId="7BB6F4C1">
            <wp:extent cx="1629472" cy="1798572"/>
            <wp:effectExtent l="0" t="0" r="0" b="5080"/>
            <wp:docPr id="12094022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02231" name="Picture 1209402231"/>
                    <pic:cNvPicPr/>
                  </pic:nvPicPr>
                  <pic:blipFill rotWithShape="1">
                    <a:blip r:embed="rId16" cstate="print">
                      <a:extLst>
                        <a:ext uri="{28A0092B-C50C-407E-A947-70E740481C1C}">
                          <a14:useLocalDpi xmlns:a14="http://schemas.microsoft.com/office/drawing/2010/main" val="0"/>
                        </a:ext>
                      </a:extLst>
                    </a:blip>
                    <a:srcRect l="32927" r="20264"/>
                    <a:stretch>
                      <a:fillRect/>
                    </a:stretch>
                  </pic:blipFill>
                  <pic:spPr bwMode="auto">
                    <a:xfrm>
                      <a:off x="0" y="0"/>
                      <a:ext cx="1643402" cy="1813947"/>
                    </a:xfrm>
                    <a:prstGeom prst="rect">
                      <a:avLst/>
                    </a:prstGeom>
                    <a:ln>
                      <a:noFill/>
                    </a:ln>
                    <a:extLst>
                      <a:ext uri="{53640926-AAD7-44D8-BBD7-CCE9431645EC}">
                        <a14:shadowObscured xmlns:a14="http://schemas.microsoft.com/office/drawing/2010/main"/>
                      </a:ext>
                    </a:extLst>
                  </pic:spPr>
                </pic:pic>
              </a:graphicData>
            </a:graphic>
          </wp:inline>
        </w:drawing>
      </w:r>
    </w:p>
    <w:p w14:paraId="7F36B645" w14:textId="274E1BF0" w:rsidR="00406A32" w:rsidRDefault="00406A32" w:rsidP="00406A32">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7</w:t>
      </w:r>
      <w:r w:rsidRPr="005478F3">
        <w:rPr>
          <w:rFonts w:ascii="Times New Roman" w:hAnsi="Times New Roman" w:cs="Times New Roman"/>
          <w:b/>
          <w:bCs/>
          <w:sz w:val="20"/>
          <w:szCs w:val="20"/>
        </w:rPr>
        <w:t xml:space="preserve">: </w:t>
      </w:r>
      <w:r w:rsidRPr="00406A32">
        <w:rPr>
          <w:rFonts w:ascii="Times New Roman" w:hAnsi="Times New Roman" w:cs="Times New Roman"/>
          <w:b/>
          <w:bCs/>
          <w:sz w:val="20"/>
          <w:szCs w:val="20"/>
        </w:rPr>
        <w:t xml:space="preserve">V106A preferentially alters DOR pose, causing Ser105 to shift closer to DOR. </w:t>
      </w:r>
      <w:r w:rsidRPr="00406A32">
        <w:rPr>
          <w:rFonts w:ascii="Times New Roman" w:hAnsi="Times New Roman" w:cs="Times New Roman"/>
          <w:sz w:val="20"/>
          <w:szCs w:val="20"/>
        </w:rPr>
        <w:t>(Top) Minimum distance between heavy atoms of Ser105 and DOR observed in MD simulations of WT, V106I, and V106A. (Bottom) Snapshots of a single frame across WT, V106I, and V106A trajectories, showing Ser105 shifted closer to DOR in case of V106A as compared to WT and V106I.</w:t>
      </w:r>
    </w:p>
    <w:p w14:paraId="41C0062C" w14:textId="3A649C79" w:rsidR="00737ECD" w:rsidRDefault="00737ECD" w:rsidP="001D0F7D">
      <w:pPr>
        <w:rPr>
          <w:rFonts w:ascii="Times New Roman" w:hAnsi="Times New Roman" w:cs="Times New Roman"/>
          <w:szCs w:val="24"/>
        </w:rPr>
      </w:pPr>
    </w:p>
    <w:p w14:paraId="2916941F" w14:textId="49B7E0A8" w:rsidR="004B23D9" w:rsidRDefault="004B23D9" w:rsidP="004B23D9">
      <w:pPr>
        <w:rPr>
          <w:rFonts w:ascii="Times New Roman" w:hAnsi="Times New Roman" w:cs="Times New Roman"/>
          <w:szCs w:val="24"/>
        </w:rPr>
      </w:pPr>
      <w:r w:rsidRPr="004B23D9">
        <w:rPr>
          <w:rFonts w:ascii="Times New Roman" w:hAnsi="Times New Roman" w:cs="Times New Roman"/>
          <w:szCs w:val="24"/>
        </w:rPr>
        <w:t xml:space="preserve">The V106 region is a major determinant of DOR susceptibility because V106 directly contacts the central </w:t>
      </w:r>
      <w:proofErr w:type="spellStart"/>
      <w:r w:rsidRPr="004B23D9">
        <w:rPr>
          <w:rFonts w:ascii="Times New Roman" w:hAnsi="Times New Roman" w:cs="Times New Roman"/>
          <w:szCs w:val="24"/>
        </w:rPr>
        <w:t>pyridone</w:t>
      </w:r>
      <w:proofErr w:type="spellEnd"/>
      <w:r>
        <w:rPr>
          <w:rFonts w:ascii="Times New Roman" w:hAnsi="Times New Roman" w:cs="Times New Roman"/>
          <w:szCs w:val="24"/>
        </w:rPr>
        <w:t xml:space="preserve"> core of DOR</w:t>
      </w:r>
      <w:r w:rsidRPr="004B23D9">
        <w:rPr>
          <w:rFonts w:ascii="Times New Roman" w:hAnsi="Times New Roman" w:cs="Times New Roman"/>
          <w:szCs w:val="24"/>
        </w:rPr>
        <w:t xml:space="preserve">. However, </w:t>
      </w:r>
      <w:r w:rsidR="00FA0C87">
        <w:rPr>
          <w:rFonts w:ascii="Times New Roman" w:hAnsi="Times New Roman" w:cs="Times New Roman"/>
          <w:i/>
          <w:iCs/>
          <w:szCs w:val="24"/>
        </w:rPr>
        <w:t xml:space="preserve">in vitro </w:t>
      </w:r>
      <w:r w:rsidR="00FA0C87">
        <w:rPr>
          <w:rFonts w:ascii="Times New Roman" w:hAnsi="Times New Roman" w:cs="Times New Roman"/>
          <w:szCs w:val="24"/>
        </w:rPr>
        <w:t xml:space="preserve">susceptibility assays and clinical prevalence data </w:t>
      </w:r>
      <w:r w:rsidRPr="004B23D9">
        <w:rPr>
          <w:rFonts w:ascii="Times New Roman" w:hAnsi="Times New Roman" w:cs="Times New Roman"/>
          <w:szCs w:val="24"/>
        </w:rPr>
        <w:t xml:space="preserve">indicate that not all </w:t>
      </w:r>
      <w:r w:rsidR="0023650E">
        <w:rPr>
          <w:rFonts w:ascii="Times New Roman" w:hAnsi="Times New Roman" w:cs="Times New Roman"/>
          <w:szCs w:val="24"/>
        </w:rPr>
        <w:t>V</w:t>
      </w:r>
      <w:r w:rsidRPr="004B23D9">
        <w:rPr>
          <w:rFonts w:ascii="Times New Roman" w:hAnsi="Times New Roman" w:cs="Times New Roman"/>
          <w:szCs w:val="24"/>
        </w:rPr>
        <w:t xml:space="preserve">106 </w:t>
      </w:r>
      <w:r w:rsidR="0023650E">
        <w:rPr>
          <w:rFonts w:ascii="Times New Roman" w:hAnsi="Times New Roman" w:cs="Times New Roman"/>
          <w:szCs w:val="24"/>
        </w:rPr>
        <w:t>mutations</w:t>
      </w:r>
      <w:r w:rsidRPr="004B23D9">
        <w:rPr>
          <w:rFonts w:ascii="Times New Roman" w:hAnsi="Times New Roman" w:cs="Times New Roman"/>
          <w:szCs w:val="24"/>
        </w:rPr>
        <w:t xml:space="preserve"> behave equivalently. V106I</w:t>
      </w:r>
      <w:r>
        <w:rPr>
          <w:rFonts w:ascii="Times New Roman" w:hAnsi="Times New Roman" w:cs="Times New Roman"/>
          <w:szCs w:val="24"/>
        </w:rPr>
        <w:t xml:space="preserve">, a polymorphic substitution </w:t>
      </w:r>
      <w:r w:rsidR="0023650E">
        <w:rPr>
          <w:rFonts w:ascii="Times New Roman" w:hAnsi="Times New Roman" w:cs="Times New Roman"/>
          <w:szCs w:val="24"/>
        </w:rPr>
        <w:t>observed</w:t>
      </w:r>
      <w:r>
        <w:rPr>
          <w:rFonts w:ascii="Times New Roman" w:hAnsi="Times New Roman" w:cs="Times New Roman"/>
          <w:szCs w:val="24"/>
        </w:rPr>
        <w:t xml:space="preserve"> </w:t>
      </w:r>
      <w:r w:rsidR="0023650E">
        <w:rPr>
          <w:rFonts w:ascii="Times New Roman" w:hAnsi="Times New Roman" w:cs="Times New Roman"/>
          <w:szCs w:val="24"/>
        </w:rPr>
        <w:t xml:space="preserve">to some extent </w:t>
      </w:r>
      <w:r>
        <w:rPr>
          <w:rFonts w:ascii="Times New Roman" w:hAnsi="Times New Roman" w:cs="Times New Roman"/>
          <w:szCs w:val="24"/>
        </w:rPr>
        <w:t>in the general population,</w:t>
      </w:r>
      <w:r w:rsidRPr="004B23D9">
        <w:rPr>
          <w:rFonts w:ascii="Times New Roman" w:hAnsi="Times New Roman" w:cs="Times New Roman"/>
          <w:szCs w:val="24"/>
        </w:rPr>
        <w:t xml:space="preserve"> generally has little effect on DOR susceptibility when present alone, whereas V106A is a canonical DOR resistance mutation and serves as the first step in several high-resistance combination pathways.</w:t>
      </w:r>
      <w:r w:rsidR="00FA0C87">
        <w:rPr>
          <w:rFonts w:ascii="Times New Roman" w:hAnsi="Times New Roman" w:cs="Times New Roman"/>
          <w:szCs w:val="24"/>
        </w:rPr>
        <w:t xml:space="preserve"> While V106M is not a canonical DOR mutation, limited data suggest it could cause low-level resistance to DOR.</w:t>
      </w:r>
    </w:p>
    <w:p w14:paraId="20DC0993" w14:textId="77777777" w:rsidR="004B23D9" w:rsidRPr="004B23D9" w:rsidRDefault="004B23D9" w:rsidP="004B23D9">
      <w:pPr>
        <w:rPr>
          <w:rFonts w:ascii="Times New Roman" w:hAnsi="Times New Roman" w:cs="Times New Roman"/>
          <w:szCs w:val="24"/>
        </w:rPr>
      </w:pPr>
    </w:p>
    <w:p w14:paraId="623D29D9" w14:textId="1B94E5B9" w:rsidR="004B23D9" w:rsidRDefault="004B23D9" w:rsidP="004B23D9">
      <w:pPr>
        <w:rPr>
          <w:rFonts w:ascii="Times New Roman" w:hAnsi="Times New Roman" w:cs="Times New Roman"/>
          <w:szCs w:val="24"/>
        </w:rPr>
      </w:pPr>
      <w:r w:rsidRPr="004B23D9">
        <w:rPr>
          <w:rFonts w:ascii="Times New Roman" w:hAnsi="Times New Roman" w:cs="Times New Roman"/>
          <w:szCs w:val="24"/>
        </w:rPr>
        <w:t xml:space="preserve">The contact </w:t>
      </w:r>
      <w:r w:rsidR="00813416">
        <w:rPr>
          <w:rFonts w:ascii="Times New Roman" w:hAnsi="Times New Roman" w:cs="Times New Roman"/>
          <w:szCs w:val="24"/>
        </w:rPr>
        <w:t xml:space="preserve">occupancy </w:t>
      </w:r>
      <w:r w:rsidRPr="004B23D9">
        <w:rPr>
          <w:rFonts w:ascii="Times New Roman" w:hAnsi="Times New Roman" w:cs="Times New Roman"/>
          <w:szCs w:val="24"/>
        </w:rPr>
        <w:t>analysis</w:t>
      </w:r>
      <w:r w:rsidR="00FA0C87">
        <w:rPr>
          <w:rFonts w:ascii="Times New Roman" w:hAnsi="Times New Roman" w:cs="Times New Roman"/>
          <w:szCs w:val="24"/>
        </w:rPr>
        <w:t xml:space="preserve"> (Figure 5)</w:t>
      </w:r>
      <w:r w:rsidRPr="004B23D9">
        <w:rPr>
          <w:rFonts w:ascii="Times New Roman" w:hAnsi="Times New Roman" w:cs="Times New Roman"/>
          <w:szCs w:val="24"/>
        </w:rPr>
        <w:t xml:space="preserve"> highlighted Lys104 </w:t>
      </w:r>
      <w:r>
        <w:rPr>
          <w:rFonts w:ascii="Times New Roman" w:hAnsi="Times New Roman" w:cs="Times New Roman"/>
          <w:szCs w:val="24"/>
        </w:rPr>
        <w:t xml:space="preserve">and </w:t>
      </w:r>
      <w:r w:rsidRPr="004B23D9">
        <w:rPr>
          <w:rFonts w:ascii="Times New Roman" w:hAnsi="Times New Roman" w:cs="Times New Roman"/>
          <w:szCs w:val="24"/>
        </w:rPr>
        <w:t xml:space="preserve">Ser105 as informative reporter residues for this distinction. Both residues sit near the pocket entrance </w:t>
      </w:r>
      <w:r w:rsidR="007D2CDE">
        <w:rPr>
          <w:rFonts w:ascii="Times New Roman" w:hAnsi="Times New Roman" w:cs="Times New Roman"/>
          <w:szCs w:val="24"/>
        </w:rPr>
        <w:t>within the 103-108 loop region</w:t>
      </w:r>
      <w:r w:rsidRPr="004B23D9">
        <w:rPr>
          <w:rFonts w:ascii="Times New Roman" w:hAnsi="Times New Roman" w:cs="Times New Roman"/>
          <w:szCs w:val="24"/>
        </w:rPr>
        <w:t xml:space="preserve">, and both showed preferential shifts in DOR proximity in V106A-containing trajectories. In direct comparisons among </w:t>
      </w:r>
      <w:r w:rsidR="009D1AB3">
        <w:rPr>
          <w:rFonts w:ascii="Times New Roman" w:hAnsi="Times New Roman" w:cs="Times New Roman"/>
          <w:szCs w:val="24"/>
        </w:rPr>
        <w:t xml:space="preserve">WT, </w:t>
      </w:r>
      <w:r w:rsidRPr="004B23D9">
        <w:rPr>
          <w:rFonts w:ascii="Times New Roman" w:hAnsi="Times New Roman" w:cs="Times New Roman"/>
          <w:szCs w:val="24"/>
        </w:rPr>
        <w:t>V106I</w:t>
      </w:r>
      <w:r w:rsidR="009D1AB3">
        <w:rPr>
          <w:rFonts w:ascii="Times New Roman" w:hAnsi="Times New Roman" w:cs="Times New Roman"/>
          <w:szCs w:val="24"/>
        </w:rPr>
        <w:t>,</w:t>
      </w:r>
      <w:r w:rsidRPr="004B23D9">
        <w:rPr>
          <w:rFonts w:ascii="Times New Roman" w:hAnsi="Times New Roman" w:cs="Times New Roman"/>
          <w:szCs w:val="24"/>
        </w:rPr>
        <w:t xml:space="preserve"> and V106A, the V106A simulations </w:t>
      </w:r>
      <w:r w:rsidRPr="004B23D9">
        <w:rPr>
          <w:rFonts w:ascii="Times New Roman" w:hAnsi="Times New Roman" w:cs="Times New Roman"/>
          <w:szCs w:val="24"/>
        </w:rPr>
        <w:lastRenderedPageBreak/>
        <w:t xml:space="preserve">showed a reproducible shift of DOR toward the </w:t>
      </w:r>
      <w:r w:rsidR="007D2CDE">
        <w:rPr>
          <w:rFonts w:ascii="Times New Roman" w:hAnsi="Times New Roman" w:cs="Times New Roman"/>
          <w:szCs w:val="24"/>
        </w:rPr>
        <w:t>103-108 loop</w:t>
      </w:r>
      <w:r w:rsidRPr="004B23D9">
        <w:rPr>
          <w:rFonts w:ascii="Times New Roman" w:hAnsi="Times New Roman" w:cs="Times New Roman"/>
          <w:szCs w:val="24"/>
        </w:rPr>
        <w:t>, bringing DOR closer to Ser105 and often also to Lys104</w:t>
      </w:r>
      <w:r w:rsidR="0023650E">
        <w:rPr>
          <w:rFonts w:ascii="Times New Roman" w:hAnsi="Times New Roman" w:cs="Times New Roman"/>
          <w:szCs w:val="24"/>
        </w:rPr>
        <w:t xml:space="preserve"> (Figure </w:t>
      </w:r>
      <w:r w:rsidR="002776BF">
        <w:rPr>
          <w:rFonts w:ascii="Times New Roman" w:hAnsi="Times New Roman" w:cs="Times New Roman"/>
          <w:szCs w:val="24"/>
        </w:rPr>
        <w:t>7</w:t>
      </w:r>
      <w:r w:rsidR="0023650E">
        <w:rPr>
          <w:rFonts w:ascii="Times New Roman" w:hAnsi="Times New Roman" w:cs="Times New Roman"/>
          <w:szCs w:val="24"/>
        </w:rPr>
        <w:t>)</w:t>
      </w:r>
      <w:r w:rsidRPr="004B23D9">
        <w:rPr>
          <w:rFonts w:ascii="Times New Roman" w:hAnsi="Times New Roman" w:cs="Times New Roman"/>
          <w:szCs w:val="24"/>
        </w:rPr>
        <w:t>.</w:t>
      </w:r>
    </w:p>
    <w:p w14:paraId="1884C1BC" w14:textId="77777777" w:rsidR="004B23D9" w:rsidRPr="004B23D9" w:rsidRDefault="004B23D9" w:rsidP="004B23D9">
      <w:pPr>
        <w:rPr>
          <w:rFonts w:ascii="Times New Roman" w:hAnsi="Times New Roman" w:cs="Times New Roman"/>
          <w:szCs w:val="24"/>
        </w:rPr>
      </w:pPr>
    </w:p>
    <w:p w14:paraId="5F7B59B3" w14:textId="37DBAFA8" w:rsidR="004B23D9" w:rsidRDefault="004B23D9" w:rsidP="004B23D9">
      <w:pPr>
        <w:rPr>
          <w:rFonts w:ascii="Times New Roman" w:hAnsi="Times New Roman" w:cs="Times New Roman"/>
          <w:szCs w:val="24"/>
        </w:rPr>
      </w:pPr>
      <w:r w:rsidRPr="004B23D9">
        <w:rPr>
          <w:rFonts w:ascii="Times New Roman" w:hAnsi="Times New Roman" w:cs="Times New Roman"/>
          <w:szCs w:val="24"/>
        </w:rPr>
        <w:t xml:space="preserve">The most plausible interpretation is that replacement of valine with alanine removes hydrophobic bulk from a direct DOR-contact site and allows the bound ligand to redistribute toward a slightly more </w:t>
      </w:r>
      <w:r w:rsidR="00C94FBD">
        <w:rPr>
          <w:rFonts w:ascii="Times New Roman" w:hAnsi="Times New Roman" w:cs="Times New Roman"/>
          <w:szCs w:val="24"/>
        </w:rPr>
        <w:t>103-108 loop</w:t>
      </w:r>
      <w:r w:rsidRPr="004B23D9">
        <w:rPr>
          <w:rFonts w:ascii="Times New Roman" w:hAnsi="Times New Roman" w:cs="Times New Roman"/>
          <w:szCs w:val="24"/>
        </w:rPr>
        <w:t>-shifted local pose ensemble. In that ensemble, contacts with Lys104 and Ser105 can arise as compensatory interactions, but these appear to be secondary to the loss of optimal packing at position 106. The contrast with V106I is informative: isoleucine preserves a branched hydrophobic side chain at position 106</w:t>
      </w:r>
      <w:r w:rsidR="00AB7308">
        <w:rPr>
          <w:rFonts w:ascii="Times New Roman" w:hAnsi="Times New Roman" w:cs="Times New Roman"/>
          <w:szCs w:val="24"/>
        </w:rPr>
        <w:t>, which mitigates</w:t>
      </w:r>
      <w:r w:rsidRPr="004B23D9">
        <w:rPr>
          <w:rFonts w:ascii="Times New Roman" w:hAnsi="Times New Roman" w:cs="Times New Roman"/>
          <w:szCs w:val="24"/>
        </w:rPr>
        <w:t xml:space="preserve"> </w:t>
      </w:r>
      <w:r w:rsidR="00AB7308">
        <w:rPr>
          <w:rFonts w:ascii="Times New Roman" w:hAnsi="Times New Roman" w:cs="Times New Roman"/>
          <w:szCs w:val="24"/>
        </w:rPr>
        <w:t>l</w:t>
      </w:r>
      <w:r w:rsidRPr="004B23D9">
        <w:rPr>
          <w:rFonts w:ascii="Times New Roman" w:hAnsi="Times New Roman" w:cs="Times New Roman"/>
          <w:szCs w:val="24"/>
        </w:rPr>
        <w:t xml:space="preserve">ocal geometry </w:t>
      </w:r>
      <w:r w:rsidR="00AB7308">
        <w:rPr>
          <w:rFonts w:ascii="Times New Roman" w:hAnsi="Times New Roman" w:cs="Times New Roman"/>
          <w:szCs w:val="24"/>
        </w:rPr>
        <w:t>perturbation</w:t>
      </w:r>
      <w:r w:rsidRPr="004B23D9">
        <w:rPr>
          <w:rFonts w:ascii="Times New Roman" w:hAnsi="Times New Roman" w:cs="Times New Roman"/>
          <w:szCs w:val="24"/>
        </w:rPr>
        <w:t>.</w:t>
      </w:r>
    </w:p>
    <w:p w14:paraId="37CE85FD" w14:textId="77777777" w:rsidR="00FA0C87" w:rsidRDefault="00FA0C87" w:rsidP="004B23D9">
      <w:pPr>
        <w:rPr>
          <w:rFonts w:ascii="Times New Roman" w:hAnsi="Times New Roman" w:cs="Times New Roman"/>
          <w:szCs w:val="24"/>
        </w:rPr>
      </w:pPr>
    </w:p>
    <w:p w14:paraId="018BDE57" w14:textId="15B352B3" w:rsidR="00335759" w:rsidRDefault="00FA0C87" w:rsidP="004B23D9">
      <w:pPr>
        <w:rPr>
          <w:rFonts w:ascii="Times New Roman" w:hAnsi="Times New Roman" w:cs="Times New Roman"/>
          <w:szCs w:val="24"/>
        </w:rPr>
      </w:pPr>
      <w:r>
        <w:rPr>
          <w:rFonts w:ascii="Times New Roman" w:hAnsi="Times New Roman" w:cs="Times New Roman"/>
          <w:szCs w:val="24"/>
        </w:rPr>
        <w:t xml:space="preserve">According to this analysis, </w:t>
      </w:r>
      <w:r w:rsidR="00566485">
        <w:rPr>
          <w:rFonts w:ascii="Times New Roman" w:hAnsi="Times New Roman" w:cs="Times New Roman"/>
          <w:szCs w:val="24"/>
        </w:rPr>
        <w:t>t</w:t>
      </w:r>
      <w:r>
        <w:rPr>
          <w:rFonts w:ascii="Times New Roman" w:hAnsi="Times New Roman" w:cs="Times New Roman"/>
          <w:szCs w:val="24"/>
        </w:rPr>
        <w:t>he mutation V106M, despite</w:t>
      </w:r>
      <w:r w:rsidR="00566485">
        <w:rPr>
          <w:rFonts w:ascii="Times New Roman" w:hAnsi="Times New Roman" w:cs="Times New Roman"/>
          <w:szCs w:val="24"/>
        </w:rPr>
        <w:t xml:space="preserve"> exhibiting</w:t>
      </w:r>
      <w:r>
        <w:rPr>
          <w:rFonts w:ascii="Times New Roman" w:hAnsi="Times New Roman" w:cs="Times New Roman"/>
          <w:szCs w:val="24"/>
        </w:rPr>
        <w:t xml:space="preserve"> ~3x-fold </w:t>
      </w:r>
      <w:r w:rsidR="00566485">
        <w:rPr>
          <w:rFonts w:ascii="Times New Roman" w:hAnsi="Times New Roman" w:cs="Times New Roman"/>
          <w:szCs w:val="24"/>
        </w:rPr>
        <w:t>reduction in DOR susceptibility</w:t>
      </w:r>
      <w:r>
        <w:rPr>
          <w:rFonts w:ascii="Times New Roman" w:hAnsi="Times New Roman" w:cs="Times New Roman"/>
          <w:szCs w:val="24"/>
        </w:rPr>
        <w:t xml:space="preserve">, is predicted to be closer to V106I than V106A </w:t>
      </w:r>
      <w:r w:rsidR="00813416">
        <w:rPr>
          <w:rFonts w:ascii="Times New Roman" w:hAnsi="Times New Roman" w:cs="Times New Roman"/>
          <w:szCs w:val="24"/>
        </w:rPr>
        <w:t xml:space="preserve">in terms of the DOR interaction network within the NNIBP </w:t>
      </w:r>
      <w:r>
        <w:rPr>
          <w:rFonts w:ascii="Times New Roman" w:hAnsi="Times New Roman" w:cs="Times New Roman"/>
          <w:szCs w:val="24"/>
        </w:rPr>
        <w:t>(Figure 5).</w:t>
      </w:r>
      <w:r w:rsidR="00813416">
        <w:rPr>
          <w:rFonts w:ascii="Times New Roman" w:hAnsi="Times New Roman" w:cs="Times New Roman"/>
          <w:szCs w:val="24"/>
        </w:rPr>
        <w:t xml:space="preserve"> </w:t>
      </w:r>
      <w:r w:rsidR="000A369B">
        <w:rPr>
          <w:rFonts w:ascii="Times New Roman" w:hAnsi="Times New Roman" w:cs="Times New Roman"/>
          <w:szCs w:val="24"/>
        </w:rPr>
        <w:t xml:space="preserve">Specifically, V106M does not display a shift toward Lys104 and Ser105 (mean occupancy -0.04 and 0.07 vs WT). </w:t>
      </w:r>
      <w:r w:rsidR="0030458C">
        <w:rPr>
          <w:rFonts w:ascii="Times New Roman" w:hAnsi="Times New Roman" w:cs="Times New Roman"/>
          <w:szCs w:val="24"/>
        </w:rPr>
        <w:t>On the other hand, i</w:t>
      </w:r>
      <w:r w:rsidR="0030458C" w:rsidRPr="004B23D9">
        <w:rPr>
          <w:rFonts w:ascii="Times New Roman" w:hAnsi="Times New Roman" w:cs="Times New Roman"/>
          <w:szCs w:val="24"/>
        </w:rPr>
        <w:t xml:space="preserve">f V106A first redistributes the DOR pose toward the </w:t>
      </w:r>
      <w:r w:rsidR="0030458C">
        <w:rPr>
          <w:rFonts w:ascii="Times New Roman" w:hAnsi="Times New Roman" w:cs="Times New Roman"/>
          <w:szCs w:val="24"/>
        </w:rPr>
        <w:t>103-108 loop</w:t>
      </w:r>
      <w:r w:rsidR="0030458C" w:rsidRPr="004B23D9">
        <w:rPr>
          <w:rFonts w:ascii="Times New Roman" w:hAnsi="Times New Roman" w:cs="Times New Roman"/>
          <w:szCs w:val="24"/>
        </w:rPr>
        <w:t>, then additional substitutions around P225, F227, or L234 can further destabilize an already altered local contact network.</w:t>
      </w:r>
      <w:r>
        <w:rPr>
          <w:rFonts w:ascii="Times New Roman" w:hAnsi="Times New Roman" w:cs="Times New Roman"/>
          <w:szCs w:val="24"/>
        </w:rPr>
        <w:t xml:space="preserve"> </w:t>
      </w:r>
      <w:r w:rsidR="000A369B">
        <w:rPr>
          <w:rFonts w:ascii="Times New Roman" w:hAnsi="Times New Roman" w:cs="Times New Roman"/>
          <w:szCs w:val="24"/>
        </w:rPr>
        <w:t xml:space="preserve">Accordingly, all three combinations display mean occupancy &gt; 0.5 vs WT toward both Lys104 and Ser105. </w:t>
      </w:r>
      <w:r w:rsidR="004B23D9" w:rsidRPr="004B23D9">
        <w:rPr>
          <w:rFonts w:ascii="Times New Roman" w:hAnsi="Times New Roman" w:cs="Times New Roman"/>
          <w:szCs w:val="24"/>
        </w:rPr>
        <w:t xml:space="preserve">This model </w:t>
      </w:r>
      <w:r w:rsidR="007F0560">
        <w:rPr>
          <w:rFonts w:ascii="Times New Roman" w:hAnsi="Times New Roman" w:cs="Times New Roman"/>
          <w:szCs w:val="24"/>
        </w:rPr>
        <w:t>is consistent with the observation that</w:t>
      </w:r>
      <w:r w:rsidR="004B23D9" w:rsidRPr="004B23D9">
        <w:rPr>
          <w:rFonts w:ascii="Times New Roman" w:hAnsi="Times New Roman" w:cs="Times New Roman"/>
          <w:szCs w:val="24"/>
        </w:rPr>
        <w:t xml:space="preserve"> V106A </w:t>
      </w:r>
      <w:r w:rsidR="007F0560">
        <w:rPr>
          <w:rFonts w:ascii="Times New Roman" w:hAnsi="Times New Roman" w:cs="Times New Roman"/>
          <w:szCs w:val="24"/>
        </w:rPr>
        <w:t>leads to high-level DOR resistance</w:t>
      </w:r>
      <w:r w:rsidR="004B23D9" w:rsidRPr="004B23D9">
        <w:rPr>
          <w:rFonts w:ascii="Times New Roman" w:hAnsi="Times New Roman" w:cs="Times New Roman"/>
          <w:szCs w:val="24"/>
        </w:rPr>
        <w:t xml:space="preserve"> in combination with secondary </w:t>
      </w:r>
      <w:r w:rsidR="005C0F1B">
        <w:rPr>
          <w:rFonts w:ascii="Times New Roman" w:hAnsi="Times New Roman" w:cs="Times New Roman"/>
          <w:szCs w:val="24"/>
        </w:rPr>
        <w:t xml:space="preserve">hydrophobic tunnel </w:t>
      </w:r>
      <w:r w:rsidR="007F0560">
        <w:rPr>
          <w:rFonts w:ascii="Times New Roman" w:hAnsi="Times New Roman" w:cs="Times New Roman"/>
          <w:szCs w:val="24"/>
        </w:rPr>
        <w:t>and</w:t>
      </w:r>
      <w:r w:rsidR="005C0F1B">
        <w:rPr>
          <w:rFonts w:ascii="Times New Roman" w:hAnsi="Times New Roman" w:cs="Times New Roman"/>
          <w:szCs w:val="24"/>
        </w:rPr>
        <w:t xml:space="preserve"> primer grip mutations</w:t>
      </w:r>
      <w:r w:rsidR="004B23D9" w:rsidRPr="004B23D9">
        <w:rPr>
          <w:rFonts w:ascii="Times New Roman" w:hAnsi="Times New Roman" w:cs="Times New Roman"/>
          <w:szCs w:val="24"/>
        </w:rPr>
        <w:t xml:space="preserve">. </w:t>
      </w:r>
    </w:p>
    <w:p w14:paraId="1A598D82" w14:textId="77777777" w:rsidR="00406A32" w:rsidRDefault="00406A32" w:rsidP="004B23D9">
      <w:pPr>
        <w:rPr>
          <w:rFonts w:ascii="Times New Roman" w:hAnsi="Times New Roman" w:cs="Times New Roman"/>
          <w:szCs w:val="24"/>
        </w:rPr>
      </w:pPr>
    </w:p>
    <w:p w14:paraId="0736B3D9" w14:textId="77777777" w:rsidR="009D1AB3" w:rsidRDefault="009D1AB3" w:rsidP="00D86BE2">
      <w:pPr>
        <w:rPr>
          <w:rFonts w:ascii="Times New Roman" w:hAnsi="Times New Roman" w:cs="Times New Roman"/>
          <w:i/>
          <w:iCs/>
          <w:szCs w:val="24"/>
          <w:u w:val="single"/>
        </w:rPr>
      </w:pPr>
      <w:r w:rsidRPr="009D1AB3">
        <w:rPr>
          <w:rFonts w:ascii="Times New Roman" w:hAnsi="Times New Roman" w:cs="Times New Roman"/>
          <w:i/>
          <w:iCs/>
          <w:szCs w:val="24"/>
          <w:u w:val="single"/>
        </w:rPr>
        <w:t>V106I+F227C reaches high resistance through a different local route than V106A+F227L</w:t>
      </w:r>
    </w:p>
    <w:p w14:paraId="09EFCD50" w14:textId="6D4DE50E" w:rsidR="00C82BF8" w:rsidRPr="003A47EA" w:rsidRDefault="00C82BF8" w:rsidP="00C82BF8">
      <w:pPr>
        <w:rPr>
          <w:rFonts w:ascii="Arial" w:hAnsi="Arial" w:cs="Arial"/>
          <w:b/>
          <w:bCs/>
          <w:szCs w:val="24"/>
        </w:rPr>
      </w:pPr>
      <w:r>
        <w:rPr>
          <w:rFonts w:ascii="Times New Roman" w:hAnsi="Times New Roman" w:cs="Times New Roman"/>
          <w:noProof/>
          <w:szCs w:val="24"/>
        </w:rPr>
        <w:drawing>
          <wp:inline distT="0" distB="0" distL="0" distR="0" wp14:anchorId="3F399826" wp14:editId="4D8FF208">
            <wp:extent cx="5943600" cy="2285365"/>
            <wp:effectExtent l="0" t="0" r="0" b="635"/>
            <wp:docPr id="3572650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65083" name="Picture 3572650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285365"/>
                    </a:xfrm>
                    <a:prstGeom prst="rect">
                      <a:avLst/>
                    </a:prstGeom>
                  </pic:spPr>
                </pic:pic>
              </a:graphicData>
            </a:graphic>
          </wp:inline>
        </w:drawing>
      </w:r>
      <w:r w:rsidRPr="00C82BF8">
        <w:rPr>
          <w:rFonts w:ascii="Arial" w:hAnsi="Arial" w:cs="Arial"/>
          <w:b/>
          <w:bCs/>
          <w:szCs w:val="24"/>
        </w:rPr>
        <w:t xml:space="preserve"> </w:t>
      </w:r>
      <w:r w:rsidRPr="00C82BF8">
        <w:rPr>
          <w:rFonts w:ascii="Times New Roman" w:hAnsi="Times New Roman" w:cs="Times New Roman"/>
          <w:b/>
          <w:bCs/>
          <w:szCs w:val="24"/>
        </w:rPr>
        <w:t>WT</w:t>
      </w:r>
      <w:r w:rsidRPr="00C82BF8">
        <w:rPr>
          <w:rFonts w:ascii="Times New Roman" w:hAnsi="Times New Roman" w:cs="Times New Roman"/>
          <w:b/>
          <w:bCs/>
          <w:szCs w:val="24"/>
        </w:rPr>
        <w:tab/>
      </w:r>
      <w:r w:rsidRPr="00C82BF8">
        <w:rPr>
          <w:rFonts w:ascii="Times New Roman" w:hAnsi="Times New Roman" w:cs="Times New Roman"/>
          <w:b/>
          <w:bCs/>
          <w:szCs w:val="24"/>
        </w:rPr>
        <w:tab/>
      </w:r>
      <w:r w:rsidRPr="00C82BF8">
        <w:rPr>
          <w:rFonts w:ascii="Times New Roman" w:hAnsi="Times New Roman" w:cs="Times New Roman"/>
          <w:b/>
          <w:bCs/>
          <w:szCs w:val="24"/>
        </w:rPr>
        <w:tab/>
      </w:r>
      <w:r w:rsidRPr="00C82BF8">
        <w:rPr>
          <w:rFonts w:ascii="Times New Roman" w:hAnsi="Times New Roman" w:cs="Times New Roman"/>
          <w:b/>
          <w:bCs/>
          <w:szCs w:val="24"/>
        </w:rPr>
        <w:tab/>
        <w:t xml:space="preserve">             V106A+F227L</w:t>
      </w:r>
      <w:r w:rsidRPr="00C82BF8">
        <w:rPr>
          <w:rFonts w:ascii="Times New Roman" w:hAnsi="Times New Roman" w:cs="Times New Roman"/>
          <w:b/>
          <w:bCs/>
          <w:szCs w:val="24"/>
        </w:rPr>
        <w:tab/>
      </w:r>
      <w:r w:rsidRPr="00C82BF8">
        <w:rPr>
          <w:rFonts w:ascii="Times New Roman" w:hAnsi="Times New Roman" w:cs="Times New Roman"/>
          <w:b/>
          <w:bCs/>
          <w:szCs w:val="24"/>
        </w:rPr>
        <w:tab/>
        <w:t>V106I+F227C</w:t>
      </w:r>
    </w:p>
    <w:p w14:paraId="4FA42112" w14:textId="77777777" w:rsidR="00C82BF8" w:rsidRDefault="00C82BF8" w:rsidP="00C82BF8">
      <w:pPr>
        <w:rPr>
          <w:rFonts w:ascii="Arial" w:hAnsi="Arial" w:cs="Arial"/>
          <w:szCs w:val="24"/>
        </w:rPr>
      </w:pPr>
      <w:r>
        <w:rPr>
          <w:rFonts w:ascii="Arial" w:hAnsi="Arial" w:cs="Arial"/>
          <w:noProof/>
          <w:szCs w:val="24"/>
        </w:rPr>
        <w:drawing>
          <wp:inline distT="0" distB="0" distL="0" distR="0" wp14:anchorId="13454E95" wp14:editId="6144C257">
            <wp:extent cx="2429219" cy="1493097"/>
            <wp:effectExtent l="0" t="0" r="0" b="5715"/>
            <wp:docPr id="15067761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76121" name="Picture 1506776121"/>
                    <pic:cNvPicPr/>
                  </pic:nvPicPr>
                  <pic:blipFill rotWithShape="1">
                    <a:blip r:embed="rId18" cstate="print">
                      <a:extLst>
                        <a:ext uri="{28A0092B-C50C-407E-A947-70E740481C1C}">
                          <a14:useLocalDpi xmlns:a14="http://schemas.microsoft.com/office/drawing/2010/main" val="0"/>
                        </a:ext>
                      </a:extLst>
                    </a:blip>
                    <a:srcRect l="10680" t="10997" r="17924" b="10856"/>
                    <a:stretch>
                      <a:fillRect/>
                    </a:stretch>
                  </pic:blipFill>
                  <pic:spPr bwMode="auto">
                    <a:xfrm>
                      <a:off x="0" y="0"/>
                      <a:ext cx="2517918" cy="1547615"/>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2B51ADAB" wp14:editId="77803955">
            <wp:extent cx="1768046" cy="1486696"/>
            <wp:effectExtent l="0" t="0" r="0" b="0"/>
            <wp:docPr id="1862050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5034" name="Picture 186205034"/>
                    <pic:cNvPicPr/>
                  </pic:nvPicPr>
                  <pic:blipFill rotWithShape="1">
                    <a:blip r:embed="rId19" cstate="print">
                      <a:extLst>
                        <a:ext uri="{28A0092B-C50C-407E-A947-70E740481C1C}">
                          <a14:useLocalDpi xmlns:a14="http://schemas.microsoft.com/office/drawing/2010/main" val="0"/>
                        </a:ext>
                      </a:extLst>
                    </a:blip>
                    <a:srcRect l="20027" t="2377" r="17877" b="4639"/>
                    <a:stretch>
                      <a:fillRect/>
                    </a:stretch>
                  </pic:blipFill>
                  <pic:spPr bwMode="auto">
                    <a:xfrm>
                      <a:off x="0" y="0"/>
                      <a:ext cx="1887799" cy="1587393"/>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0D246546" wp14:editId="484DD76A">
            <wp:extent cx="1743447" cy="1486103"/>
            <wp:effectExtent l="0" t="0" r="0" b="0"/>
            <wp:docPr id="15672978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97815" name="Picture 1567297815"/>
                    <pic:cNvPicPr/>
                  </pic:nvPicPr>
                  <pic:blipFill rotWithShape="1">
                    <a:blip r:embed="rId20" cstate="print">
                      <a:extLst>
                        <a:ext uri="{28A0092B-C50C-407E-A947-70E740481C1C}">
                          <a14:useLocalDpi xmlns:a14="http://schemas.microsoft.com/office/drawing/2010/main" val="0"/>
                        </a:ext>
                      </a:extLst>
                    </a:blip>
                    <a:srcRect l="20023" r="25570" b="17412"/>
                    <a:stretch>
                      <a:fillRect/>
                    </a:stretch>
                  </pic:blipFill>
                  <pic:spPr bwMode="auto">
                    <a:xfrm>
                      <a:off x="0" y="0"/>
                      <a:ext cx="1756324" cy="1497079"/>
                    </a:xfrm>
                    <a:prstGeom prst="rect">
                      <a:avLst/>
                    </a:prstGeom>
                    <a:ln>
                      <a:noFill/>
                    </a:ln>
                    <a:extLst>
                      <a:ext uri="{53640926-AAD7-44D8-BBD7-CCE9431645EC}">
                        <a14:shadowObscured xmlns:a14="http://schemas.microsoft.com/office/drawing/2010/main"/>
                      </a:ext>
                    </a:extLst>
                  </pic:spPr>
                </pic:pic>
              </a:graphicData>
            </a:graphic>
          </wp:inline>
        </w:drawing>
      </w:r>
    </w:p>
    <w:p w14:paraId="7475D27A" w14:textId="24DFB8CF" w:rsidR="00C82BF8" w:rsidRDefault="00C82BF8" w:rsidP="00C82BF8">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8</w:t>
      </w:r>
      <w:r w:rsidRPr="005478F3">
        <w:rPr>
          <w:rFonts w:ascii="Times New Roman" w:hAnsi="Times New Roman" w:cs="Times New Roman"/>
          <w:b/>
          <w:bCs/>
          <w:sz w:val="20"/>
          <w:szCs w:val="20"/>
        </w:rPr>
        <w:t xml:space="preserve">: </w:t>
      </w:r>
      <w:r w:rsidRPr="00C82BF8">
        <w:rPr>
          <w:rFonts w:ascii="Times New Roman" w:hAnsi="Times New Roman" w:cs="Times New Roman"/>
          <w:b/>
          <w:bCs/>
          <w:sz w:val="20"/>
          <w:szCs w:val="20"/>
        </w:rPr>
        <w:t xml:space="preserve">V106I+F227C exhibits alternative dynamics than V106A+F227L. </w:t>
      </w:r>
      <w:r w:rsidRPr="00C82BF8">
        <w:rPr>
          <w:rFonts w:ascii="Times New Roman" w:hAnsi="Times New Roman" w:cs="Times New Roman"/>
          <w:sz w:val="20"/>
          <w:szCs w:val="20"/>
        </w:rPr>
        <w:t xml:space="preserve">(Top) Minimum distances between heavy atoms of Ser105 and DOR as well as Position 227 and DOR observed in MD simulations of WT, V106A+F227L, and V106I+F227C. (Bottom) Snapshots of a single frame across WT, V106A+F227L, and V106I+F227C trajectories, showing Ser105 shifted closer to DOR in case of V106A+F227L (but not in case of </w:t>
      </w:r>
      <w:r w:rsidRPr="00C82BF8">
        <w:rPr>
          <w:rFonts w:ascii="Times New Roman" w:hAnsi="Times New Roman" w:cs="Times New Roman"/>
          <w:sz w:val="20"/>
          <w:szCs w:val="20"/>
        </w:rPr>
        <w:lastRenderedPageBreak/>
        <w:t>V106I+F227C or WT); and an alternate DOR pose in case of V106I+F227C that is further away from residue 227 than in WT or V106A+F227L.</w:t>
      </w:r>
    </w:p>
    <w:p w14:paraId="5F31B963" w14:textId="77777777" w:rsidR="00D82DE8" w:rsidRDefault="00D82DE8" w:rsidP="00D82DE8">
      <w:pPr>
        <w:pStyle w:val="NormalWeb"/>
      </w:pPr>
      <w:r>
        <w:t>V106I+F227C and V106A+F227L are both highly DOR-resistant genotypes, but the contact occupancy analysis suggests that they achieve resistance through distinct structural mechanisms (Figure 5). V106A+F227L falls within the broader V106A genotype family and, accordingly, retains the characteristic 103–108 loop-shifted signature observed in other V106A-containing backgrounds. Specifically, it shows a local shift toward Ser105 and Lys104.</w:t>
      </w:r>
    </w:p>
    <w:p w14:paraId="11A203D4" w14:textId="7F5E7A5C" w:rsidR="00D82DE8" w:rsidRDefault="00D82DE8" w:rsidP="00D82DE8">
      <w:pPr>
        <w:pStyle w:val="NormalWeb"/>
      </w:pPr>
      <w:r>
        <w:t>By contrast, V106I+F227C does not display this pattern. Instead, it combines a relatively modest V106 substitution with a hydrophobic tunnel substitution at position 227, producing alternative local conformations centered around the 227 region. In these simulations, DOR becomes transiently more separated from residue 227 than in either WT or V106A+F227L (Figure 8).</w:t>
      </w:r>
    </w:p>
    <w:p w14:paraId="0F798EF8" w14:textId="77777777" w:rsidR="00D82DE8" w:rsidRDefault="00D82DE8" w:rsidP="00D82DE8">
      <w:pPr>
        <w:pStyle w:val="NormalWeb"/>
      </w:pPr>
      <w:r>
        <w:t>This comparison is important because the two genotypes have identical median DOR fold-change values in the available phenotype data, yet appear to reach that shared resistance phenotype through different structural routes. Thus, similar resistance magnitude does not necessarily imply a shared mechanism. For DOR resistance interpretation, these results suggest that structurally distinct genotype classes can converge on comparable susceptibility outcomes through different local reorganizations of the binding pocket.</w:t>
      </w:r>
    </w:p>
    <w:p w14:paraId="34E22E9E" w14:textId="23829117" w:rsidR="00C82BF8" w:rsidRDefault="00C82BF8" w:rsidP="009D1AB3">
      <w:pPr>
        <w:rPr>
          <w:rFonts w:ascii="Times New Roman" w:hAnsi="Times New Roman" w:cs="Times New Roman"/>
          <w:i/>
          <w:iCs/>
          <w:szCs w:val="24"/>
          <w:u w:val="single"/>
        </w:rPr>
      </w:pPr>
      <w:r w:rsidRPr="00C82BF8">
        <w:rPr>
          <w:rFonts w:ascii="Times New Roman" w:hAnsi="Times New Roman" w:cs="Times New Roman"/>
          <w:i/>
          <w:iCs/>
          <w:szCs w:val="24"/>
          <w:u w:val="single"/>
        </w:rPr>
        <w:t xml:space="preserve">G190E perturbs the </w:t>
      </w:r>
      <w:r w:rsidR="009E3D06">
        <w:rPr>
          <w:rFonts w:ascii="Times New Roman" w:hAnsi="Times New Roman" w:cs="Times New Roman"/>
          <w:i/>
          <w:iCs/>
          <w:szCs w:val="24"/>
          <w:u w:val="single"/>
        </w:rPr>
        <w:t>pocket entrance</w:t>
      </w:r>
      <w:r w:rsidRPr="00C82BF8">
        <w:rPr>
          <w:rFonts w:ascii="Times New Roman" w:hAnsi="Times New Roman" w:cs="Times New Roman"/>
          <w:i/>
          <w:iCs/>
          <w:szCs w:val="24"/>
          <w:u w:val="single"/>
        </w:rPr>
        <w:t xml:space="preserve"> and weakens Val179 contact</w:t>
      </w:r>
    </w:p>
    <w:p w14:paraId="7EAA00A5" w14:textId="4A37F4F6" w:rsidR="00B532B0" w:rsidRDefault="009D67D5" w:rsidP="009E3D06">
      <w:pPr>
        <w:rPr>
          <w:rFonts w:ascii="Times New Roman" w:hAnsi="Times New Roman" w:cs="Times New Roman"/>
          <w:szCs w:val="24"/>
        </w:rPr>
      </w:pPr>
      <w:r>
        <w:rPr>
          <w:rFonts w:ascii="Times New Roman" w:hAnsi="Times New Roman" w:cs="Times New Roman"/>
          <w:noProof/>
          <w:szCs w:val="24"/>
        </w:rPr>
        <w:drawing>
          <wp:inline distT="0" distB="0" distL="0" distR="0" wp14:anchorId="5FBD6612" wp14:editId="49965440">
            <wp:extent cx="5311739" cy="2171230"/>
            <wp:effectExtent l="0" t="0" r="0" b="635"/>
            <wp:docPr id="6319267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26793" name="Picture 6319267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31410" cy="2179271"/>
                    </a:xfrm>
                    <a:prstGeom prst="rect">
                      <a:avLst/>
                    </a:prstGeom>
                  </pic:spPr>
                </pic:pic>
              </a:graphicData>
            </a:graphic>
          </wp:inline>
        </w:drawing>
      </w:r>
    </w:p>
    <w:p w14:paraId="0212F066" w14:textId="77777777" w:rsidR="00B532B0" w:rsidRPr="00B532B0" w:rsidRDefault="00B532B0" w:rsidP="00B532B0">
      <w:pPr>
        <w:rPr>
          <w:rFonts w:ascii="Times New Roman" w:hAnsi="Times New Roman" w:cs="Times New Roman"/>
          <w:b/>
          <w:bCs/>
          <w:szCs w:val="24"/>
        </w:rPr>
      </w:pPr>
      <w:r w:rsidRPr="00B532B0">
        <w:rPr>
          <w:rFonts w:ascii="Times New Roman" w:hAnsi="Times New Roman" w:cs="Times New Roman"/>
          <w:b/>
          <w:bCs/>
          <w:szCs w:val="24"/>
        </w:rPr>
        <w:t>WT</w:t>
      </w:r>
      <w:r w:rsidRPr="00B532B0">
        <w:rPr>
          <w:rFonts w:ascii="Times New Roman" w:hAnsi="Times New Roman" w:cs="Times New Roman"/>
          <w:b/>
          <w:bCs/>
          <w:szCs w:val="24"/>
        </w:rPr>
        <w:tab/>
      </w:r>
      <w:r w:rsidRPr="00B532B0">
        <w:rPr>
          <w:rFonts w:ascii="Times New Roman" w:hAnsi="Times New Roman" w:cs="Times New Roman"/>
          <w:b/>
          <w:bCs/>
          <w:szCs w:val="24"/>
        </w:rPr>
        <w:tab/>
      </w:r>
      <w:r w:rsidRPr="00B532B0">
        <w:rPr>
          <w:rFonts w:ascii="Times New Roman" w:hAnsi="Times New Roman" w:cs="Times New Roman"/>
          <w:b/>
          <w:bCs/>
          <w:szCs w:val="24"/>
        </w:rPr>
        <w:tab/>
      </w:r>
      <w:r w:rsidRPr="00B532B0">
        <w:rPr>
          <w:rFonts w:ascii="Times New Roman" w:hAnsi="Times New Roman" w:cs="Times New Roman"/>
          <w:b/>
          <w:bCs/>
          <w:szCs w:val="24"/>
        </w:rPr>
        <w:tab/>
        <w:t>G190A</w:t>
      </w:r>
      <w:r w:rsidRPr="00B532B0">
        <w:rPr>
          <w:rFonts w:ascii="Times New Roman" w:hAnsi="Times New Roman" w:cs="Times New Roman"/>
          <w:b/>
          <w:bCs/>
          <w:szCs w:val="24"/>
        </w:rPr>
        <w:tab/>
      </w:r>
      <w:r w:rsidRPr="00B532B0">
        <w:rPr>
          <w:rFonts w:ascii="Times New Roman" w:hAnsi="Times New Roman" w:cs="Times New Roman"/>
          <w:b/>
          <w:bCs/>
          <w:szCs w:val="24"/>
        </w:rPr>
        <w:tab/>
      </w:r>
      <w:r w:rsidRPr="00B532B0">
        <w:rPr>
          <w:rFonts w:ascii="Times New Roman" w:hAnsi="Times New Roman" w:cs="Times New Roman"/>
          <w:b/>
          <w:bCs/>
          <w:szCs w:val="24"/>
        </w:rPr>
        <w:tab/>
        <w:t>G190E</w:t>
      </w:r>
    </w:p>
    <w:p w14:paraId="2B9D2EA1" w14:textId="77777777" w:rsidR="00B532B0" w:rsidRDefault="00B532B0" w:rsidP="00B532B0">
      <w:pPr>
        <w:rPr>
          <w:rFonts w:ascii="Arial" w:hAnsi="Arial" w:cs="Arial"/>
          <w:szCs w:val="24"/>
        </w:rPr>
      </w:pPr>
      <w:r>
        <w:rPr>
          <w:rFonts w:ascii="Arial" w:hAnsi="Arial" w:cs="Arial"/>
          <w:noProof/>
          <w:szCs w:val="24"/>
        </w:rPr>
        <w:drawing>
          <wp:inline distT="0" distB="0" distL="0" distR="0" wp14:anchorId="4812AB76" wp14:editId="39071F33">
            <wp:extent cx="1654862" cy="1967729"/>
            <wp:effectExtent l="0" t="0" r="0" b="1270"/>
            <wp:docPr id="12103126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12693" name="Picture 1210312693"/>
                    <pic:cNvPicPr/>
                  </pic:nvPicPr>
                  <pic:blipFill rotWithShape="1">
                    <a:blip r:embed="rId22" cstate="print">
                      <a:extLst>
                        <a:ext uri="{28A0092B-C50C-407E-A947-70E740481C1C}">
                          <a14:useLocalDpi xmlns:a14="http://schemas.microsoft.com/office/drawing/2010/main" val="0"/>
                        </a:ext>
                      </a:extLst>
                    </a:blip>
                    <a:srcRect l="26382" r="30166"/>
                    <a:stretch>
                      <a:fillRect/>
                    </a:stretch>
                  </pic:blipFill>
                  <pic:spPr bwMode="auto">
                    <a:xfrm>
                      <a:off x="0" y="0"/>
                      <a:ext cx="1655511" cy="196850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6EEC983A" wp14:editId="4A3D9EEF">
            <wp:extent cx="1715444" cy="1967865"/>
            <wp:effectExtent l="0" t="0" r="0" b="635"/>
            <wp:docPr id="1253054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5474" name="Picture 125305474"/>
                    <pic:cNvPicPr/>
                  </pic:nvPicPr>
                  <pic:blipFill rotWithShape="1">
                    <a:blip r:embed="rId23" cstate="print">
                      <a:extLst>
                        <a:ext uri="{28A0092B-C50C-407E-A947-70E740481C1C}">
                          <a14:useLocalDpi xmlns:a14="http://schemas.microsoft.com/office/drawing/2010/main" val="0"/>
                        </a:ext>
                      </a:extLst>
                    </a:blip>
                    <a:srcRect l="25785" r="29175"/>
                    <a:stretch>
                      <a:fillRect/>
                    </a:stretch>
                  </pic:blipFill>
                  <pic:spPr bwMode="auto">
                    <a:xfrm>
                      <a:off x="0" y="0"/>
                      <a:ext cx="1715998" cy="196850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56B58E8A" wp14:editId="648E82D2">
            <wp:extent cx="2010168" cy="1967132"/>
            <wp:effectExtent l="0" t="0" r="0" b="1905"/>
            <wp:docPr id="1060527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2772" name="Picture 106052772"/>
                    <pic:cNvPicPr/>
                  </pic:nvPicPr>
                  <pic:blipFill rotWithShape="1">
                    <a:blip r:embed="rId24" cstate="print">
                      <a:extLst>
                        <a:ext uri="{28A0092B-C50C-407E-A947-70E740481C1C}">
                          <a14:useLocalDpi xmlns:a14="http://schemas.microsoft.com/office/drawing/2010/main" val="0"/>
                        </a:ext>
                      </a:extLst>
                    </a:blip>
                    <a:srcRect l="23406" r="23797"/>
                    <a:stretch>
                      <a:fillRect/>
                    </a:stretch>
                  </pic:blipFill>
                  <pic:spPr bwMode="auto">
                    <a:xfrm>
                      <a:off x="0" y="0"/>
                      <a:ext cx="2011566" cy="1968500"/>
                    </a:xfrm>
                    <a:prstGeom prst="rect">
                      <a:avLst/>
                    </a:prstGeom>
                    <a:ln>
                      <a:noFill/>
                    </a:ln>
                    <a:extLst>
                      <a:ext uri="{53640926-AAD7-44D8-BBD7-CCE9431645EC}">
                        <a14:shadowObscured xmlns:a14="http://schemas.microsoft.com/office/drawing/2010/main"/>
                      </a:ext>
                    </a:extLst>
                  </pic:spPr>
                </pic:pic>
              </a:graphicData>
            </a:graphic>
          </wp:inline>
        </w:drawing>
      </w:r>
    </w:p>
    <w:p w14:paraId="65985C97" w14:textId="0572F853" w:rsidR="009D67D5" w:rsidRDefault="009D67D5" w:rsidP="009D67D5">
      <w:pPr>
        <w:rPr>
          <w:rFonts w:ascii="Times New Roman" w:hAnsi="Times New Roman" w:cs="Times New Roman"/>
          <w:sz w:val="20"/>
          <w:szCs w:val="20"/>
        </w:rPr>
      </w:pPr>
      <w:r w:rsidRPr="005478F3">
        <w:rPr>
          <w:rFonts w:ascii="Times New Roman" w:hAnsi="Times New Roman" w:cs="Times New Roman"/>
          <w:b/>
          <w:bCs/>
          <w:sz w:val="20"/>
          <w:szCs w:val="20"/>
        </w:rPr>
        <w:lastRenderedPageBreak/>
        <w:t xml:space="preserve">Figure </w:t>
      </w:r>
      <w:r w:rsidR="00C73676">
        <w:rPr>
          <w:rFonts w:ascii="Times New Roman" w:hAnsi="Times New Roman" w:cs="Times New Roman"/>
          <w:b/>
          <w:bCs/>
          <w:sz w:val="20"/>
          <w:szCs w:val="20"/>
        </w:rPr>
        <w:t>9</w:t>
      </w:r>
      <w:r w:rsidRPr="005478F3">
        <w:rPr>
          <w:rFonts w:ascii="Times New Roman" w:hAnsi="Times New Roman" w:cs="Times New Roman"/>
          <w:b/>
          <w:bCs/>
          <w:sz w:val="20"/>
          <w:szCs w:val="20"/>
        </w:rPr>
        <w:t xml:space="preserve">: </w:t>
      </w:r>
      <w:r w:rsidR="00F5517A" w:rsidRPr="00F5517A">
        <w:rPr>
          <w:rFonts w:ascii="Times New Roman" w:hAnsi="Times New Roman" w:cs="Times New Roman"/>
          <w:b/>
          <w:bCs/>
          <w:sz w:val="20"/>
          <w:szCs w:val="20"/>
        </w:rPr>
        <w:t xml:space="preserve">G190E preferentially disrupts β9-β10 hairpin, causing Val179 to lose contact with DOR. </w:t>
      </w:r>
      <w:r w:rsidR="00F5517A" w:rsidRPr="00F5517A">
        <w:rPr>
          <w:rFonts w:ascii="Times New Roman" w:hAnsi="Times New Roman" w:cs="Times New Roman"/>
          <w:sz w:val="20"/>
          <w:szCs w:val="20"/>
        </w:rPr>
        <w:t>(Top) Minimum distance between heavy atoms of Val179 and DOR observed in MD simulations of WT, G190A, and G190E. (Bottom) Snapshots of a single frame across WT, G190A, and G190E trajectories, showing Val179 further away from DOR in case of G190E but not in WT and G190A.</w:t>
      </w:r>
    </w:p>
    <w:p w14:paraId="7CB87BB0" w14:textId="0F422B27" w:rsidR="00D53395" w:rsidRPr="009E3D06" w:rsidRDefault="00D53395" w:rsidP="00D53395">
      <w:pPr>
        <w:spacing w:before="240" w:after="240"/>
        <w:rPr>
          <w:rFonts w:ascii="Times New Roman" w:hAnsi="Times New Roman" w:cs="Times New Roman"/>
          <w:szCs w:val="24"/>
        </w:rPr>
      </w:pPr>
      <w:r>
        <w:rPr>
          <w:rFonts w:ascii="Times New Roman" w:hAnsi="Times New Roman" w:cs="Times New Roman"/>
          <w:szCs w:val="24"/>
        </w:rPr>
        <w:t>Publicly available</w:t>
      </w:r>
      <w:r w:rsidRPr="009E3D06">
        <w:rPr>
          <w:rFonts w:ascii="Times New Roman" w:hAnsi="Times New Roman" w:cs="Times New Roman"/>
          <w:szCs w:val="24"/>
        </w:rPr>
        <w:t xml:space="preserve"> phenotype </w:t>
      </w:r>
      <w:r>
        <w:rPr>
          <w:rFonts w:ascii="Times New Roman" w:hAnsi="Times New Roman" w:cs="Times New Roman"/>
          <w:szCs w:val="24"/>
        </w:rPr>
        <w:t>data</w:t>
      </w:r>
      <w:r w:rsidRPr="009E3D06">
        <w:rPr>
          <w:rFonts w:ascii="Times New Roman" w:hAnsi="Times New Roman" w:cs="Times New Roman"/>
          <w:szCs w:val="24"/>
        </w:rPr>
        <w:t xml:space="preserve"> suggest that G190E may reduce DOR susceptibility. We therefore compared WT, G190A, and G190E to ask whether introduction of a negatively charged glutamate at position 190 produces local structural effects distinct from the more common G190A substitution</w:t>
      </w:r>
      <w:r>
        <w:rPr>
          <w:rFonts w:ascii="Times New Roman" w:hAnsi="Times New Roman" w:cs="Times New Roman"/>
          <w:szCs w:val="24"/>
        </w:rPr>
        <w:t xml:space="preserve"> that is known to have little to no impact on DOR susceptibility</w:t>
      </w:r>
      <w:r w:rsidRPr="009E3D06">
        <w:rPr>
          <w:rFonts w:ascii="Times New Roman" w:hAnsi="Times New Roman" w:cs="Times New Roman"/>
          <w:szCs w:val="24"/>
        </w:rPr>
        <w:t>.</w:t>
      </w:r>
    </w:p>
    <w:p w14:paraId="36B79946" w14:textId="4B21F460" w:rsidR="00D53395" w:rsidRPr="009E3D06" w:rsidRDefault="00D53395" w:rsidP="00D53395">
      <w:pPr>
        <w:rPr>
          <w:rFonts w:ascii="Times New Roman" w:hAnsi="Times New Roman" w:cs="Times New Roman"/>
          <w:szCs w:val="24"/>
        </w:rPr>
      </w:pPr>
      <w:r w:rsidRPr="009E3D06">
        <w:rPr>
          <w:rFonts w:ascii="Times New Roman" w:hAnsi="Times New Roman" w:cs="Times New Roman"/>
          <w:szCs w:val="24"/>
        </w:rPr>
        <w:t xml:space="preserve">The panel-wide contact </w:t>
      </w:r>
      <w:r w:rsidR="00185C54">
        <w:rPr>
          <w:rFonts w:ascii="Times New Roman" w:hAnsi="Times New Roman" w:cs="Times New Roman"/>
          <w:szCs w:val="24"/>
        </w:rPr>
        <w:t xml:space="preserve">occupancy </w:t>
      </w:r>
      <w:r w:rsidRPr="009E3D06">
        <w:rPr>
          <w:rFonts w:ascii="Times New Roman" w:hAnsi="Times New Roman" w:cs="Times New Roman"/>
          <w:szCs w:val="24"/>
        </w:rPr>
        <w:t>analysis identified Val179 as the clearest reporter residue for this comparison</w:t>
      </w:r>
      <w:r>
        <w:rPr>
          <w:rFonts w:ascii="Times New Roman" w:hAnsi="Times New Roman" w:cs="Times New Roman"/>
          <w:szCs w:val="24"/>
        </w:rPr>
        <w:t xml:space="preserve"> (Figure 5)</w:t>
      </w:r>
      <w:r w:rsidRPr="009E3D06">
        <w:rPr>
          <w:rFonts w:ascii="Times New Roman" w:hAnsi="Times New Roman" w:cs="Times New Roman"/>
          <w:szCs w:val="24"/>
        </w:rPr>
        <w:t>. Val179 li</w:t>
      </w:r>
      <w:r>
        <w:rPr>
          <w:rFonts w:ascii="Times New Roman" w:hAnsi="Times New Roman" w:cs="Times New Roman"/>
          <w:szCs w:val="24"/>
        </w:rPr>
        <w:t xml:space="preserve">nes the pocket entrance </w:t>
      </w:r>
      <w:r w:rsidRPr="009E3D06">
        <w:rPr>
          <w:rFonts w:ascii="Times New Roman" w:hAnsi="Times New Roman" w:cs="Times New Roman"/>
          <w:szCs w:val="24"/>
        </w:rPr>
        <w:t>and showed strong genotype-specific contact loss in G190E. In direct trajectory comparisons, G190E caused marked separation of Val179 from DOR that was not observed in WT or G190A</w:t>
      </w:r>
      <w:r>
        <w:rPr>
          <w:rFonts w:ascii="Times New Roman" w:hAnsi="Times New Roman" w:cs="Times New Roman"/>
          <w:szCs w:val="24"/>
        </w:rPr>
        <w:t xml:space="preserve"> (Figure 9)</w:t>
      </w:r>
      <w:r w:rsidRPr="009E3D06">
        <w:rPr>
          <w:rFonts w:ascii="Times New Roman" w:hAnsi="Times New Roman" w:cs="Times New Roman"/>
          <w:szCs w:val="24"/>
        </w:rPr>
        <w:t xml:space="preserve">. This effect was accompanied by broader local perturbation of the </w:t>
      </w:r>
      <w:r>
        <w:rPr>
          <w:rFonts w:ascii="Times New Roman" w:hAnsi="Times New Roman" w:cs="Times New Roman"/>
          <w:szCs w:val="24"/>
        </w:rPr>
        <w:t>pocket</w:t>
      </w:r>
      <w:r w:rsidRPr="009E3D06">
        <w:rPr>
          <w:rFonts w:ascii="Times New Roman" w:hAnsi="Times New Roman" w:cs="Times New Roman"/>
          <w:szCs w:val="24"/>
        </w:rPr>
        <w:t xml:space="preserve"> environment.</w:t>
      </w:r>
    </w:p>
    <w:p w14:paraId="088C1BCB" w14:textId="1FA7DDD5" w:rsidR="00B532B0" w:rsidRDefault="00D53395" w:rsidP="00D53395">
      <w:pPr>
        <w:spacing w:before="240" w:after="240"/>
        <w:rPr>
          <w:rFonts w:ascii="Times New Roman" w:hAnsi="Times New Roman" w:cs="Times New Roman"/>
          <w:szCs w:val="24"/>
        </w:rPr>
      </w:pPr>
      <w:r w:rsidRPr="009E3D06">
        <w:rPr>
          <w:rFonts w:ascii="Times New Roman" w:hAnsi="Times New Roman" w:cs="Times New Roman"/>
          <w:szCs w:val="24"/>
        </w:rPr>
        <w:t xml:space="preserve">The simplest interpretation is that the G190E side chain introduces a local electrostatic and steric perturbation in the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E31695">
        <w:rPr>
          <w:rFonts w:ascii="Times New Roman" w:hAnsi="Times New Roman" w:cs="Times New Roman"/>
          <w:szCs w:val="24"/>
        </w:rPr>
        <w:t xml:space="preserve"> </w:t>
      </w:r>
      <w:r w:rsidRPr="009E3D06">
        <w:rPr>
          <w:rFonts w:ascii="Times New Roman" w:hAnsi="Times New Roman" w:cs="Times New Roman"/>
          <w:szCs w:val="24"/>
        </w:rPr>
        <w:t xml:space="preserve">hairpin that propagates into the Val179 side of the pocket, thereby weakening DOR packing on that face of the binding site. G190A, which lacks this charge </w:t>
      </w:r>
      <w:r>
        <w:rPr>
          <w:rFonts w:ascii="Times New Roman" w:hAnsi="Times New Roman" w:cs="Times New Roman"/>
          <w:szCs w:val="24"/>
        </w:rPr>
        <w:t xml:space="preserve">switch </w:t>
      </w:r>
      <w:r w:rsidRPr="009E3D06">
        <w:rPr>
          <w:rFonts w:ascii="Times New Roman" w:hAnsi="Times New Roman" w:cs="Times New Roman"/>
          <w:szCs w:val="24"/>
        </w:rPr>
        <w:t>and imposes a much smaller structural perturbation, did not produce the same effect. These results therefore support G190E as a plausible DOR-relevant genotype deserving further targeted phenotypic study.</w:t>
      </w:r>
    </w:p>
    <w:p w14:paraId="36C6B507" w14:textId="79935581" w:rsidR="000A369B" w:rsidRDefault="006668A5" w:rsidP="00D53395">
      <w:pPr>
        <w:spacing w:before="240" w:after="240"/>
        <w:rPr>
          <w:rFonts w:ascii="Times New Roman" w:hAnsi="Times New Roman" w:cs="Times New Roman"/>
          <w:szCs w:val="24"/>
        </w:rPr>
      </w:pPr>
      <w:r>
        <w:rPr>
          <w:rFonts w:ascii="Times New Roman" w:hAnsi="Times New Roman" w:cs="Times New Roman"/>
          <w:szCs w:val="24"/>
        </w:rPr>
        <w:t>Interestingly</w:t>
      </w:r>
      <w:r w:rsidR="000A369B">
        <w:rPr>
          <w:rFonts w:ascii="Times New Roman" w:hAnsi="Times New Roman" w:cs="Times New Roman"/>
          <w:szCs w:val="24"/>
        </w:rPr>
        <w:t xml:space="preserve">, G190S appears to have a less pronounced impact on the DOR interaction network than G190E, but more so than G190A (Figure 5). </w:t>
      </w:r>
      <w:r>
        <w:rPr>
          <w:rFonts w:ascii="Times New Roman" w:hAnsi="Times New Roman" w:cs="Times New Roman"/>
          <w:szCs w:val="24"/>
        </w:rPr>
        <w:t xml:space="preserve">Specifically, G190S displays a mean occupancy shift of -0.17 vs WT, while G190A displays a mean occupancy shift of only -0.05 vs WT for Val179. Furthermore, G190S and G190E might share a structural mechanism with the V106A family mutations as they both exhibit a mean occupancy shift &gt; 0.25 vs WT for Lys104 and Ser105 (Figure 5). This observation suggests that </w:t>
      </w:r>
      <w:r w:rsidR="0052667C">
        <w:rPr>
          <w:rFonts w:ascii="Times New Roman" w:hAnsi="Times New Roman" w:cs="Times New Roman"/>
          <w:szCs w:val="24"/>
        </w:rPr>
        <w:t>multiple structural mechanisms may overlap to</w:t>
      </w:r>
      <w:r>
        <w:rPr>
          <w:rFonts w:ascii="Times New Roman" w:hAnsi="Times New Roman" w:cs="Times New Roman"/>
          <w:szCs w:val="24"/>
        </w:rPr>
        <w:t xml:space="preserve"> contribute to DOR resistance.</w:t>
      </w:r>
    </w:p>
    <w:p w14:paraId="6CB6A5BD" w14:textId="15E69B4E" w:rsidR="00D27076" w:rsidRDefault="00D27076" w:rsidP="00D27076">
      <w:pPr>
        <w:rPr>
          <w:rFonts w:ascii="Times New Roman" w:hAnsi="Times New Roman" w:cs="Times New Roman"/>
          <w:b/>
          <w:bCs/>
          <w:szCs w:val="24"/>
          <w:u w:val="single"/>
        </w:rPr>
      </w:pPr>
      <w:r w:rsidRPr="00D27076">
        <w:rPr>
          <w:rFonts w:ascii="Times New Roman" w:hAnsi="Times New Roman" w:cs="Times New Roman"/>
          <w:b/>
          <w:bCs/>
          <w:szCs w:val="24"/>
          <w:u w:val="single"/>
        </w:rPr>
        <w:t xml:space="preserve">A parsimonious </w:t>
      </w:r>
      <w:r w:rsidR="00F45CA6">
        <w:rPr>
          <w:rFonts w:ascii="Times New Roman" w:hAnsi="Times New Roman" w:cs="Times New Roman"/>
          <w:b/>
          <w:bCs/>
          <w:szCs w:val="24"/>
          <w:u w:val="single"/>
        </w:rPr>
        <w:t xml:space="preserve">3-feature </w:t>
      </w:r>
      <w:r w:rsidR="00C12CEB">
        <w:rPr>
          <w:rFonts w:ascii="Times New Roman" w:hAnsi="Times New Roman" w:cs="Times New Roman"/>
          <w:b/>
          <w:bCs/>
          <w:szCs w:val="24"/>
          <w:u w:val="single"/>
        </w:rPr>
        <w:t xml:space="preserve">logistic regression </w:t>
      </w:r>
      <w:r w:rsidRPr="00D27076">
        <w:rPr>
          <w:rFonts w:ascii="Times New Roman" w:hAnsi="Times New Roman" w:cs="Times New Roman"/>
          <w:b/>
          <w:bCs/>
          <w:szCs w:val="24"/>
          <w:u w:val="single"/>
        </w:rPr>
        <w:t>model summarizes the separation between low- and high-resistance controls</w:t>
      </w:r>
    </w:p>
    <w:p w14:paraId="008A4C9F" w14:textId="7AF0CAEC" w:rsidR="00486B05" w:rsidRDefault="00BF3A90" w:rsidP="00BF3A90">
      <w:pPr>
        <w:rPr>
          <w:rFonts w:ascii="Times New Roman" w:hAnsi="Times New Roman" w:cs="Times New Roman"/>
          <w:szCs w:val="24"/>
        </w:rPr>
      </w:pPr>
      <w:r w:rsidRPr="00906992">
        <w:rPr>
          <w:rFonts w:ascii="Times New Roman" w:hAnsi="Times New Roman" w:cs="Times New Roman"/>
          <w:szCs w:val="24"/>
        </w:rPr>
        <w:t xml:space="preserve">After identifying local structural signatures across the genotype panel, we asked whether a small number of MD-derived variables could summarize the distinction between low- and high-resistance genotypes. Genotypes were labeled as high resistance if the median DOR fold-change was ≥3 and low resistance otherwise; WT was included as a low-resistance reference. We then fit a regularized logistic regression model using </w:t>
      </w:r>
      <w:r>
        <w:rPr>
          <w:rFonts w:ascii="Times New Roman" w:hAnsi="Times New Roman" w:cs="Times New Roman"/>
          <w:szCs w:val="24"/>
        </w:rPr>
        <w:t>three</w:t>
      </w:r>
      <w:r w:rsidRPr="00906992">
        <w:rPr>
          <w:rFonts w:ascii="Times New Roman" w:hAnsi="Times New Roman" w:cs="Times New Roman"/>
          <w:szCs w:val="24"/>
        </w:rPr>
        <w:t xml:space="preserve"> mechanistically motivated features</w:t>
      </w:r>
      <w:r w:rsidR="00486B05">
        <w:rPr>
          <w:rFonts w:ascii="Times New Roman" w:hAnsi="Times New Roman" w:cs="Times New Roman"/>
          <w:szCs w:val="24"/>
        </w:rPr>
        <w:t xml:space="preserve"> </w:t>
      </w:r>
      <w:r w:rsidR="00486B05" w:rsidRPr="00486B05">
        <w:rPr>
          <w:rFonts w:ascii="Times New Roman" w:hAnsi="Times New Roman" w:cs="Times New Roman"/>
          <w:szCs w:val="24"/>
        </w:rPr>
        <w:t>(Figure 10)</w:t>
      </w:r>
      <w:r w:rsidRPr="00906992">
        <w:rPr>
          <w:rFonts w:ascii="Times New Roman" w:hAnsi="Times New Roman" w:cs="Times New Roman"/>
          <w:szCs w:val="24"/>
        </w:rPr>
        <w:t xml:space="preserve">: </w:t>
      </w:r>
    </w:p>
    <w:p w14:paraId="20BDE6D9" w14:textId="35AD5ADE" w:rsidR="00486B05" w:rsidRPr="00486B05" w:rsidRDefault="00BF3A90" w:rsidP="00486B05">
      <w:pPr>
        <w:pStyle w:val="ListParagraph"/>
        <w:numPr>
          <w:ilvl w:val="0"/>
          <w:numId w:val="2"/>
        </w:numPr>
        <w:rPr>
          <w:rFonts w:ascii="Times New Roman" w:hAnsi="Times New Roman" w:cs="Times New Roman"/>
          <w:szCs w:val="24"/>
        </w:rPr>
      </w:pPr>
      <w:r w:rsidRPr="00486B05">
        <w:rPr>
          <w:rFonts w:ascii="Times New Roman" w:hAnsi="Times New Roman" w:cs="Times New Roman"/>
          <w:szCs w:val="24"/>
        </w:rPr>
        <w:t>Ser105-DOR minimum distance</w:t>
      </w:r>
      <w:r w:rsidR="00486B05" w:rsidRPr="00486B05">
        <w:rPr>
          <w:rFonts w:ascii="Times New Roman" w:hAnsi="Times New Roman" w:cs="Times New Roman"/>
          <w:szCs w:val="24"/>
        </w:rPr>
        <w:t xml:space="preserve"> that captures the 103-108 loop-proximal shift observed in V106A-containing genotypes</w:t>
      </w:r>
      <w:r w:rsidR="00486B05">
        <w:rPr>
          <w:rFonts w:ascii="Times New Roman" w:hAnsi="Times New Roman" w:cs="Times New Roman"/>
          <w:szCs w:val="24"/>
        </w:rPr>
        <w:t>.</w:t>
      </w:r>
    </w:p>
    <w:p w14:paraId="51D259B9" w14:textId="4C1DFE30" w:rsidR="00486B05" w:rsidRDefault="00BF3A90" w:rsidP="00486B05">
      <w:pPr>
        <w:pStyle w:val="ListParagraph"/>
        <w:numPr>
          <w:ilvl w:val="0"/>
          <w:numId w:val="2"/>
        </w:numPr>
        <w:rPr>
          <w:rFonts w:ascii="Times New Roman" w:hAnsi="Times New Roman" w:cs="Times New Roman"/>
          <w:szCs w:val="24"/>
        </w:rPr>
      </w:pPr>
      <w:r w:rsidRPr="00486B05">
        <w:rPr>
          <w:rFonts w:ascii="Times New Roman" w:hAnsi="Times New Roman" w:cs="Times New Roman"/>
          <w:szCs w:val="24"/>
        </w:rPr>
        <w:t>Tyr188-DOR minimum distance</w:t>
      </w:r>
      <w:r w:rsidR="00486B05">
        <w:rPr>
          <w:rFonts w:ascii="Times New Roman" w:hAnsi="Times New Roman" w:cs="Times New Roman"/>
          <w:szCs w:val="24"/>
        </w:rPr>
        <w:t xml:space="preserve"> that captures </w:t>
      </w:r>
      <w:r w:rsidR="00486B05" w:rsidRPr="00906992">
        <w:rPr>
          <w:rFonts w:ascii="Times New Roman" w:hAnsi="Times New Roman" w:cs="Times New Roman"/>
          <w:szCs w:val="24"/>
        </w:rPr>
        <w:t>disruption of the aromatic wall of the NNRTI-binding pocket</w:t>
      </w:r>
      <w:r w:rsidR="00486B05">
        <w:rPr>
          <w:rFonts w:ascii="Times New Roman" w:hAnsi="Times New Roman" w:cs="Times New Roman"/>
          <w:szCs w:val="24"/>
        </w:rPr>
        <w:t>.</w:t>
      </w:r>
    </w:p>
    <w:p w14:paraId="38F3EB6C" w14:textId="1CD5AB6C" w:rsidR="00BF3A90" w:rsidRPr="00486B05" w:rsidRDefault="00486B05" w:rsidP="00486B05">
      <w:pPr>
        <w:pStyle w:val="ListParagraph"/>
        <w:numPr>
          <w:ilvl w:val="0"/>
          <w:numId w:val="2"/>
        </w:numPr>
        <w:rPr>
          <w:rFonts w:ascii="Times New Roman" w:hAnsi="Times New Roman" w:cs="Times New Roman"/>
          <w:szCs w:val="24"/>
        </w:rPr>
      </w:pPr>
      <w:r>
        <w:rPr>
          <w:rFonts w:ascii="Times New Roman" w:hAnsi="Times New Roman" w:cs="Times New Roman"/>
          <w:szCs w:val="24"/>
        </w:rPr>
        <w:t>R</w:t>
      </w:r>
      <w:r w:rsidR="00AA15DF" w:rsidRPr="00486B05">
        <w:rPr>
          <w:rFonts w:ascii="Times New Roman" w:hAnsi="Times New Roman" w:cs="Times New Roman"/>
          <w:szCs w:val="24"/>
        </w:rPr>
        <w:t>oot mean squared deviation</w:t>
      </w:r>
      <w:r w:rsidR="00BF3A90" w:rsidRPr="00486B05">
        <w:rPr>
          <w:rFonts w:ascii="Times New Roman" w:hAnsi="Times New Roman" w:cs="Times New Roman"/>
          <w:szCs w:val="24"/>
        </w:rPr>
        <w:t xml:space="preserve"> </w:t>
      </w:r>
      <w:r w:rsidR="00AA15DF" w:rsidRPr="00486B05">
        <w:rPr>
          <w:rFonts w:ascii="Times New Roman" w:hAnsi="Times New Roman" w:cs="Times New Roman"/>
          <w:szCs w:val="24"/>
        </w:rPr>
        <w:t>(</w:t>
      </w:r>
      <w:r w:rsidR="00BF3A90" w:rsidRPr="00486B05">
        <w:rPr>
          <w:rFonts w:ascii="Times New Roman" w:hAnsi="Times New Roman" w:cs="Times New Roman"/>
          <w:szCs w:val="24"/>
        </w:rPr>
        <w:t>RMSD</w:t>
      </w:r>
      <w:r w:rsidR="00AA15DF" w:rsidRPr="00486B05">
        <w:rPr>
          <w:rFonts w:ascii="Times New Roman" w:hAnsi="Times New Roman" w:cs="Times New Roman"/>
          <w:szCs w:val="24"/>
        </w:rPr>
        <w:t>) of DOR backbone atoms from the crystal structure</w:t>
      </w:r>
      <w:r>
        <w:rPr>
          <w:rFonts w:ascii="Times New Roman" w:hAnsi="Times New Roman" w:cs="Times New Roman"/>
          <w:szCs w:val="24"/>
        </w:rPr>
        <w:t xml:space="preserve"> that </w:t>
      </w:r>
      <w:r w:rsidRPr="00906992">
        <w:rPr>
          <w:rFonts w:ascii="Times New Roman" w:hAnsi="Times New Roman" w:cs="Times New Roman"/>
          <w:szCs w:val="24"/>
        </w:rPr>
        <w:t xml:space="preserve">summarizes </w:t>
      </w:r>
      <w:r>
        <w:rPr>
          <w:rFonts w:ascii="Times New Roman" w:hAnsi="Times New Roman" w:cs="Times New Roman"/>
          <w:szCs w:val="24"/>
        </w:rPr>
        <w:t>general</w:t>
      </w:r>
      <w:r w:rsidRPr="00906992">
        <w:rPr>
          <w:rFonts w:ascii="Times New Roman" w:hAnsi="Times New Roman" w:cs="Times New Roman"/>
          <w:szCs w:val="24"/>
        </w:rPr>
        <w:t xml:space="preserve"> </w:t>
      </w:r>
      <w:r>
        <w:rPr>
          <w:rFonts w:ascii="Times New Roman" w:hAnsi="Times New Roman" w:cs="Times New Roman"/>
          <w:szCs w:val="24"/>
        </w:rPr>
        <w:t>atomic</w:t>
      </w:r>
      <w:r w:rsidRPr="00906992">
        <w:rPr>
          <w:rFonts w:ascii="Times New Roman" w:hAnsi="Times New Roman" w:cs="Times New Roman"/>
          <w:szCs w:val="24"/>
        </w:rPr>
        <w:t xml:space="preserve"> rearrangement</w:t>
      </w:r>
      <w:r>
        <w:rPr>
          <w:rFonts w:ascii="Times New Roman" w:hAnsi="Times New Roman" w:cs="Times New Roman"/>
          <w:szCs w:val="24"/>
        </w:rPr>
        <w:t xml:space="preserve"> of the drug</w:t>
      </w:r>
      <w:r w:rsidRPr="00906992">
        <w:rPr>
          <w:rFonts w:ascii="Times New Roman" w:hAnsi="Times New Roman" w:cs="Times New Roman"/>
          <w:szCs w:val="24"/>
        </w:rPr>
        <w:t>.</w:t>
      </w:r>
    </w:p>
    <w:p w14:paraId="263E59F7" w14:textId="77777777" w:rsidR="00AA15DF" w:rsidRDefault="00AA15DF" w:rsidP="00BF3A90">
      <w:pPr>
        <w:rPr>
          <w:rFonts w:ascii="Times New Roman" w:hAnsi="Times New Roman" w:cs="Times New Roman"/>
          <w:szCs w:val="24"/>
        </w:rPr>
      </w:pPr>
    </w:p>
    <w:p w14:paraId="5871DFD0" w14:textId="45572E88" w:rsidR="00AA15DF" w:rsidRDefault="00AA15DF" w:rsidP="00BF3A90">
      <w:pPr>
        <w:rPr>
          <w:rFonts w:ascii="Times New Roman" w:hAnsi="Times New Roman" w:cs="Times New Roman"/>
          <w:szCs w:val="24"/>
        </w:rPr>
      </w:pPr>
      <w:r>
        <w:rPr>
          <w:rFonts w:ascii="Times New Roman" w:hAnsi="Times New Roman" w:cs="Times New Roman"/>
          <w:szCs w:val="24"/>
        </w:rPr>
        <w:t xml:space="preserve">These three features were determined using a </w:t>
      </w:r>
      <w:r w:rsidR="00C635E8">
        <w:rPr>
          <w:rFonts w:ascii="Times New Roman" w:hAnsi="Times New Roman" w:cs="Times New Roman"/>
          <w:szCs w:val="24"/>
        </w:rPr>
        <w:t xml:space="preserve">multi-step </w:t>
      </w:r>
      <w:r>
        <w:rPr>
          <w:rFonts w:ascii="Times New Roman" w:hAnsi="Times New Roman" w:cs="Times New Roman"/>
          <w:szCs w:val="24"/>
        </w:rPr>
        <w:t>feature ablation approach</w:t>
      </w:r>
      <w:r w:rsidR="00ED2954">
        <w:rPr>
          <w:rFonts w:ascii="Times New Roman" w:hAnsi="Times New Roman" w:cs="Times New Roman"/>
          <w:szCs w:val="24"/>
        </w:rPr>
        <w:t xml:space="preserve">: starting with a large set of MD-derived features, we trained </w:t>
      </w:r>
      <w:r w:rsidR="00516B6E">
        <w:rPr>
          <w:rFonts w:ascii="Times New Roman" w:hAnsi="Times New Roman" w:cs="Times New Roman"/>
          <w:szCs w:val="24"/>
        </w:rPr>
        <w:t xml:space="preserve">regularized </w:t>
      </w:r>
      <w:r w:rsidR="00ED2954">
        <w:rPr>
          <w:rFonts w:ascii="Times New Roman" w:hAnsi="Times New Roman" w:cs="Times New Roman"/>
          <w:szCs w:val="24"/>
        </w:rPr>
        <w:t xml:space="preserve">logistic regression models on the </w:t>
      </w:r>
      <w:r w:rsidR="00ED2954">
        <w:rPr>
          <w:rFonts w:ascii="Times New Roman" w:hAnsi="Times New Roman" w:cs="Times New Roman"/>
          <w:szCs w:val="24"/>
        </w:rPr>
        <w:lastRenderedPageBreak/>
        <w:t xml:space="preserve">control mutations </w:t>
      </w:r>
      <w:r w:rsidR="00C635E8">
        <w:rPr>
          <w:rFonts w:ascii="Times New Roman" w:hAnsi="Times New Roman" w:cs="Times New Roman"/>
          <w:szCs w:val="24"/>
        </w:rPr>
        <w:t xml:space="preserve">(including WT) </w:t>
      </w:r>
      <w:r w:rsidR="00ED2954">
        <w:rPr>
          <w:rFonts w:ascii="Times New Roman" w:hAnsi="Times New Roman" w:cs="Times New Roman"/>
          <w:szCs w:val="24"/>
        </w:rPr>
        <w:t xml:space="preserve">using </w:t>
      </w:r>
      <w:r w:rsidR="00442CB1">
        <w:rPr>
          <w:rFonts w:ascii="Times New Roman" w:hAnsi="Times New Roman" w:cs="Times New Roman"/>
          <w:szCs w:val="24"/>
        </w:rPr>
        <w:t>one less</w:t>
      </w:r>
      <w:r w:rsidR="00ED2954">
        <w:rPr>
          <w:rFonts w:ascii="Times New Roman" w:hAnsi="Times New Roman" w:cs="Times New Roman"/>
          <w:i/>
          <w:iCs/>
          <w:szCs w:val="24"/>
        </w:rPr>
        <w:t xml:space="preserve"> </w:t>
      </w:r>
      <w:r w:rsidR="00ED2954">
        <w:rPr>
          <w:rFonts w:ascii="Times New Roman" w:hAnsi="Times New Roman" w:cs="Times New Roman"/>
          <w:szCs w:val="24"/>
        </w:rPr>
        <w:t>feature and recursively picked the model with the best accuracy</w:t>
      </w:r>
      <w:r w:rsidR="00C635E8">
        <w:rPr>
          <w:rFonts w:ascii="Times New Roman" w:hAnsi="Times New Roman" w:cs="Times New Roman"/>
          <w:szCs w:val="24"/>
        </w:rPr>
        <w:t xml:space="preserve"> in each step</w:t>
      </w:r>
      <w:r>
        <w:rPr>
          <w:rFonts w:ascii="Times New Roman" w:hAnsi="Times New Roman" w:cs="Times New Roman"/>
          <w:szCs w:val="24"/>
        </w:rPr>
        <w:t xml:space="preserve">. The </w:t>
      </w:r>
      <w:r w:rsidR="00ED2954">
        <w:rPr>
          <w:rFonts w:ascii="Times New Roman" w:hAnsi="Times New Roman" w:cs="Times New Roman"/>
          <w:szCs w:val="24"/>
        </w:rPr>
        <w:t xml:space="preserve">final </w:t>
      </w:r>
      <w:r>
        <w:rPr>
          <w:rFonts w:ascii="Times New Roman" w:hAnsi="Times New Roman" w:cs="Times New Roman"/>
          <w:szCs w:val="24"/>
        </w:rPr>
        <w:t xml:space="preserve">model was fit on only the data from negative and positive control mutations. </w:t>
      </w:r>
      <w:r w:rsidR="00ED2954">
        <w:rPr>
          <w:rFonts w:ascii="Times New Roman" w:hAnsi="Times New Roman" w:cs="Times New Roman"/>
          <w:szCs w:val="24"/>
        </w:rPr>
        <w:t xml:space="preserve">The output of the trained model was the probability that a genotype, parameterized by MD-derived values of the 3 final structural features, would exhibit </w:t>
      </w:r>
      <w:r w:rsidR="00ED2954" w:rsidRPr="00906992">
        <w:rPr>
          <w:rFonts w:ascii="Times New Roman" w:hAnsi="Times New Roman" w:cs="Times New Roman"/>
          <w:szCs w:val="24"/>
        </w:rPr>
        <w:t>≥3</w:t>
      </w:r>
      <w:r w:rsidR="00ED2954">
        <w:rPr>
          <w:rFonts w:ascii="Times New Roman" w:hAnsi="Times New Roman" w:cs="Times New Roman"/>
          <w:szCs w:val="24"/>
        </w:rPr>
        <w:t xml:space="preserve">-fold change in DOR susceptibility. </w:t>
      </w:r>
      <w:r w:rsidR="00E667D3">
        <w:rPr>
          <w:rFonts w:ascii="Times New Roman" w:hAnsi="Times New Roman" w:cs="Times New Roman"/>
          <w:szCs w:val="24"/>
        </w:rPr>
        <w:t>The probability threshold distinguishing class labels was fixed at 0.5</w:t>
      </w:r>
      <w:r w:rsidR="00ED2954">
        <w:rPr>
          <w:rFonts w:ascii="Times New Roman" w:hAnsi="Times New Roman" w:cs="Times New Roman"/>
          <w:szCs w:val="24"/>
        </w:rPr>
        <w:t>.</w:t>
      </w:r>
    </w:p>
    <w:p w14:paraId="0F4957F6" w14:textId="76D23C47" w:rsidR="00120227" w:rsidRPr="00120227" w:rsidRDefault="00120227" w:rsidP="00120227">
      <w:pPr>
        <w:rPr>
          <w:rFonts w:ascii="Times New Roman" w:hAnsi="Times New Roman" w:cs="Times New Roman"/>
          <w:b/>
          <w:bCs/>
          <w:szCs w:val="24"/>
        </w:rPr>
      </w:pPr>
      <w:r w:rsidRPr="00120227">
        <w:rPr>
          <w:rFonts w:ascii="Times New Roman" w:hAnsi="Times New Roman" w:cs="Times New Roman"/>
          <w:b/>
          <w:bCs/>
          <w:szCs w:val="24"/>
        </w:rPr>
        <w:t>A)</w:t>
      </w:r>
    </w:p>
    <w:p w14:paraId="0BC03D74" w14:textId="1F7DCDF6" w:rsidR="00120227" w:rsidRDefault="00C84933" w:rsidP="00120227">
      <w:pPr>
        <w:rPr>
          <w:rFonts w:ascii="Arial" w:hAnsi="Arial" w:cs="Arial"/>
          <w:b/>
          <w:bCs/>
          <w:szCs w:val="24"/>
        </w:rPr>
      </w:pPr>
      <w:r>
        <w:rPr>
          <w:rFonts w:ascii="Arial" w:hAnsi="Arial" w:cs="Arial"/>
          <w:b/>
          <w:bCs/>
          <w:noProof/>
          <w:szCs w:val="24"/>
        </w:rPr>
        <w:drawing>
          <wp:inline distT="0" distB="0" distL="0" distR="0" wp14:anchorId="38532711" wp14:editId="208D3748">
            <wp:extent cx="5447976" cy="4467225"/>
            <wp:effectExtent l="0" t="0" r="635" b="3175"/>
            <wp:docPr id="121516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64202" name="Picture 121516420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67982" cy="4483630"/>
                    </a:xfrm>
                    <a:prstGeom prst="rect">
                      <a:avLst/>
                    </a:prstGeom>
                  </pic:spPr>
                </pic:pic>
              </a:graphicData>
            </a:graphic>
          </wp:inline>
        </w:drawing>
      </w:r>
    </w:p>
    <w:p w14:paraId="690250BF" w14:textId="0B0CF619" w:rsidR="00120227" w:rsidRPr="00120227" w:rsidRDefault="00120227" w:rsidP="00120227">
      <w:pPr>
        <w:rPr>
          <w:rFonts w:ascii="Times New Roman" w:hAnsi="Times New Roman" w:cs="Times New Roman"/>
          <w:b/>
          <w:bCs/>
          <w:szCs w:val="24"/>
        </w:rPr>
      </w:pPr>
      <w:r w:rsidRPr="00120227">
        <w:rPr>
          <w:rFonts w:ascii="Times New Roman" w:hAnsi="Times New Roman" w:cs="Times New Roman"/>
          <w:b/>
          <w:bCs/>
          <w:szCs w:val="24"/>
        </w:rPr>
        <w:t xml:space="preserve">B)                                  </w:t>
      </w:r>
      <w:r>
        <w:rPr>
          <w:rFonts w:ascii="Times New Roman" w:hAnsi="Times New Roman" w:cs="Times New Roman"/>
          <w:b/>
          <w:bCs/>
          <w:szCs w:val="24"/>
        </w:rPr>
        <w:tab/>
      </w:r>
      <w:r>
        <w:rPr>
          <w:rFonts w:ascii="Times New Roman" w:hAnsi="Times New Roman" w:cs="Times New Roman"/>
          <w:b/>
          <w:bCs/>
          <w:szCs w:val="24"/>
        </w:rPr>
        <w:tab/>
      </w:r>
      <w:r w:rsidRPr="00120227">
        <w:rPr>
          <w:rFonts w:ascii="Times New Roman" w:hAnsi="Times New Roman" w:cs="Times New Roman"/>
          <w:b/>
          <w:bCs/>
          <w:szCs w:val="24"/>
        </w:rPr>
        <w:t xml:space="preserve">C)                                  </w:t>
      </w:r>
    </w:p>
    <w:p w14:paraId="4941C676" w14:textId="640370F0" w:rsidR="00120227" w:rsidRDefault="00C84933" w:rsidP="00120227">
      <w:pP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786F1A98" wp14:editId="3BD247A3">
            <wp:extent cx="2247900" cy="1899634"/>
            <wp:effectExtent l="0" t="0" r="0" b="5715"/>
            <wp:docPr id="212655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5293" name="Picture 21265529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74595" cy="1922193"/>
                    </a:xfrm>
                    <a:prstGeom prst="rect">
                      <a:avLst/>
                    </a:prstGeom>
                  </pic:spPr>
                </pic:pic>
              </a:graphicData>
            </a:graphic>
          </wp:inline>
        </w:drawing>
      </w:r>
      <w:r>
        <w:rPr>
          <w:rFonts w:ascii="Times New Roman" w:hAnsi="Times New Roman" w:cs="Times New Roman"/>
          <w:b/>
          <w:bCs/>
          <w:noProof/>
          <w:sz w:val="20"/>
          <w:szCs w:val="20"/>
        </w:rPr>
        <w:drawing>
          <wp:inline distT="0" distB="0" distL="0" distR="0" wp14:anchorId="731088BE" wp14:editId="1B6CE678">
            <wp:extent cx="3248025" cy="1893641"/>
            <wp:effectExtent l="0" t="0" r="3175" b="0"/>
            <wp:docPr id="1951247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47129" name="Picture 195124712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87389" cy="1916591"/>
                    </a:xfrm>
                    <a:prstGeom prst="rect">
                      <a:avLst/>
                    </a:prstGeom>
                  </pic:spPr>
                </pic:pic>
              </a:graphicData>
            </a:graphic>
          </wp:inline>
        </w:drawing>
      </w:r>
    </w:p>
    <w:p w14:paraId="18E0A5C7" w14:textId="31B37E80" w:rsidR="00120227" w:rsidRPr="00120227" w:rsidRDefault="00120227" w:rsidP="00120227">
      <w:pPr>
        <w:rPr>
          <w:rFonts w:ascii="Arial" w:hAnsi="Arial" w:cs="Arial"/>
          <w:b/>
          <w:bCs/>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10</w:t>
      </w:r>
      <w:r w:rsidRPr="005478F3">
        <w:rPr>
          <w:rFonts w:ascii="Times New Roman" w:hAnsi="Times New Roman" w:cs="Times New Roman"/>
          <w:b/>
          <w:bCs/>
          <w:sz w:val="20"/>
          <w:szCs w:val="20"/>
        </w:rPr>
        <w:t xml:space="preserve">: </w:t>
      </w:r>
      <w:r w:rsidRPr="00120227">
        <w:rPr>
          <w:rFonts w:ascii="Times New Roman" w:hAnsi="Times New Roman" w:cs="Times New Roman"/>
          <w:b/>
          <w:bCs/>
          <w:sz w:val="20"/>
          <w:szCs w:val="20"/>
        </w:rPr>
        <w:t xml:space="preserve">Performance of Logistic Regression model </w:t>
      </w:r>
      <w:r w:rsidR="00CD5CCF">
        <w:rPr>
          <w:rFonts w:ascii="Times New Roman" w:hAnsi="Times New Roman" w:cs="Times New Roman"/>
          <w:b/>
          <w:bCs/>
          <w:sz w:val="20"/>
          <w:szCs w:val="20"/>
        </w:rPr>
        <w:t>relating</w:t>
      </w:r>
      <w:r w:rsidRPr="00120227">
        <w:rPr>
          <w:rFonts w:ascii="Times New Roman" w:hAnsi="Times New Roman" w:cs="Times New Roman"/>
          <w:b/>
          <w:bCs/>
          <w:sz w:val="20"/>
          <w:szCs w:val="20"/>
        </w:rPr>
        <w:t xml:space="preserve"> MD simulation features</w:t>
      </w:r>
      <w:r w:rsidR="00CD5CCF">
        <w:rPr>
          <w:rFonts w:ascii="Times New Roman" w:hAnsi="Times New Roman" w:cs="Times New Roman"/>
          <w:b/>
          <w:bCs/>
          <w:sz w:val="20"/>
          <w:szCs w:val="20"/>
        </w:rPr>
        <w:t xml:space="preserve"> to </w:t>
      </w:r>
      <w:r w:rsidR="00CD5CCF" w:rsidRPr="00120227">
        <w:rPr>
          <w:rFonts w:ascii="Times New Roman" w:hAnsi="Times New Roman" w:cs="Times New Roman"/>
          <w:b/>
          <w:bCs/>
          <w:sz w:val="20"/>
          <w:szCs w:val="20"/>
        </w:rPr>
        <w:t>DOR susceptibility</w:t>
      </w:r>
      <w:r w:rsidRPr="00F5517A">
        <w:rPr>
          <w:rFonts w:ascii="Times New Roman" w:hAnsi="Times New Roman" w:cs="Times New Roman"/>
          <w:b/>
          <w:bCs/>
          <w:sz w:val="20"/>
          <w:szCs w:val="20"/>
        </w:rPr>
        <w:t xml:space="preserve">. </w:t>
      </w:r>
      <w:r w:rsidRPr="00F5517A">
        <w:rPr>
          <w:rFonts w:ascii="Times New Roman" w:hAnsi="Times New Roman" w:cs="Times New Roman"/>
          <w:sz w:val="20"/>
          <w:szCs w:val="20"/>
        </w:rPr>
        <w:t>(</w:t>
      </w:r>
      <w:r>
        <w:rPr>
          <w:rFonts w:ascii="Times New Roman" w:hAnsi="Times New Roman" w:cs="Times New Roman"/>
          <w:sz w:val="20"/>
          <w:szCs w:val="20"/>
        </w:rPr>
        <w:t xml:space="preserve">A) </w:t>
      </w:r>
      <w:r w:rsidR="00932D08">
        <w:rPr>
          <w:rFonts w:ascii="Times New Roman" w:hAnsi="Times New Roman" w:cs="Times New Roman"/>
          <w:sz w:val="20"/>
          <w:szCs w:val="20"/>
        </w:rPr>
        <w:t>O</w:t>
      </w:r>
      <w:r>
        <w:rPr>
          <w:rFonts w:ascii="Times New Roman" w:hAnsi="Times New Roman" w:cs="Times New Roman"/>
          <w:sz w:val="20"/>
          <w:szCs w:val="20"/>
        </w:rPr>
        <w:t xml:space="preserve">utput of the logistic regression model, </w:t>
      </w:r>
      <w:proofErr w:type="spellStart"/>
      <w:r w:rsidRPr="00120227">
        <w:rPr>
          <w:rFonts w:ascii="Times New Roman" w:hAnsi="Times New Roman" w:cs="Times New Roman"/>
          <w:i/>
          <w:iCs/>
          <w:sz w:val="20"/>
          <w:szCs w:val="20"/>
        </w:rPr>
        <w:t>P</w:t>
      </w:r>
      <w:r w:rsidRPr="00120227">
        <w:rPr>
          <w:rFonts w:ascii="Times New Roman" w:hAnsi="Times New Roman" w:cs="Times New Roman"/>
          <w:i/>
          <w:iCs/>
          <w:sz w:val="20"/>
          <w:szCs w:val="20"/>
          <w:vertAlign w:val="subscript"/>
        </w:rPr>
        <w:t>high</w:t>
      </w:r>
      <w:proofErr w:type="spellEnd"/>
      <w:r>
        <w:rPr>
          <w:rFonts w:ascii="Times New Roman" w:hAnsi="Times New Roman" w:cs="Times New Roman"/>
          <w:sz w:val="20"/>
          <w:szCs w:val="20"/>
        </w:rPr>
        <w:t>, i.e. the probability of a mutation being labeled as high resistance</w:t>
      </w:r>
      <w:r w:rsidR="00932D08">
        <w:rPr>
          <w:rFonts w:ascii="Times New Roman" w:hAnsi="Times New Roman" w:cs="Times New Roman"/>
          <w:sz w:val="20"/>
          <w:szCs w:val="20"/>
        </w:rPr>
        <w:t>, plotted against median DOR fold-change in susceptibility on the log scale</w:t>
      </w:r>
      <w:r>
        <w:rPr>
          <w:rFonts w:ascii="Times New Roman" w:hAnsi="Times New Roman" w:cs="Times New Roman"/>
          <w:sz w:val="20"/>
          <w:szCs w:val="20"/>
        </w:rPr>
        <w:t xml:space="preserve">. The dotted lines represent the thresholds </w:t>
      </w:r>
      <w:r>
        <w:rPr>
          <w:rFonts w:ascii="Times New Roman" w:hAnsi="Times New Roman" w:cs="Times New Roman"/>
          <w:sz w:val="20"/>
          <w:szCs w:val="20"/>
        </w:rPr>
        <w:lastRenderedPageBreak/>
        <w:t>for the labels</w:t>
      </w:r>
      <w:r w:rsidR="00932D08">
        <w:rPr>
          <w:rFonts w:ascii="Times New Roman" w:hAnsi="Times New Roman" w:cs="Times New Roman"/>
          <w:sz w:val="20"/>
          <w:szCs w:val="20"/>
        </w:rPr>
        <w:t>:</w:t>
      </w:r>
      <w:r>
        <w:rPr>
          <w:rFonts w:ascii="Times New Roman" w:hAnsi="Times New Roman" w:cs="Times New Roman"/>
          <w:sz w:val="20"/>
          <w:szCs w:val="20"/>
        </w:rPr>
        <w:t xml:space="preserve"> </w:t>
      </w:r>
      <w:r w:rsidR="00932D08" w:rsidRPr="00932D08">
        <w:rPr>
          <w:rFonts w:ascii="Times New Roman" w:hAnsi="Times New Roman" w:cs="Times New Roman"/>
          <w:sz w:val="20"/>
          <w:szCs w:val="20"/>
        </w:rPr>
        <w:t xml:space="preserve">Genotypes were labeled as </w:t>
      </w:r>
      <w:r w:rsidR="00A23327">
        <w:rPr>
          <w:rFonts w:ascii="Times New Roman" w:hAnsi="Times New Roman" w:cs="Times New Roman"/>
          <w:sz w:val="20"/>
          <w:szCs w:val="20"/>
        </w:rPr>
        <w:t>“</w:t>
      </w:r>
      <w:r w:rsidR="00932D08" w:rsidRPr="00932D08">
        <w:rPr>
          <w:rFonts w:ascii="Times New Roman" w:hAnsi="Times New Roman" w:cs="Times New Roman"/>
          <w:sz w:val="20"/>
          <w:szCs w:val="20"/>
        </w:rPr>
        <w:t>high</w:t>
      </w:r>
      <w:r w:rsidR="00A23327">
        <w:rPr>
          <w:rFonts w:ascii="Times New Roman" w:hAnsi="Times New Roman" w:cs="Times New Roman"/>
          <w:sz w:val="20"/>
          <w:szCs w:val="20"/>
        </w:rPr>
        <w:t>”</w:t>
      </w:r>
      <w:r w:rsidR="00932D08" w:rsidRPr="00932D08">
        <w:rPr>
          <w:rFonts w:ascii="Times New Roman" w:hAnsi="Times New Roman" w:cs="Times New Roman"/>
          <w:sz w:val="20"/>
          <w:szCs w:val="20"/>
        </w:rPr>
        <w:t xml:space="preserve"> resistance if their median </w:t>
      </w:r>
      <w:r w:rsidR="00F727B6" w:rsidRPr="00932D08">
        <w:rPr>
          <w:rFonts w:ascii="Times New Roman" w:hAnsi="Times New Roman" w:cs="Times New Roman"/>
          <w:sz w:val="20"/>
          <w:szCs w:val="20"/>
        </w:rPr>
        <w:t xml:space="preserve">exceeded </w:t>
      </w:r>
      <w:r w:rsidR="00F727B6">
        <w:rPr>
          <w:rFonts w:ascii="Times New Roman" w:hAnsi="Times New Roman" w:cs="Times New Roman"/>
          <w:sz w:val="20"/>
          <w:szCs w:val="20"/>
        </w:rPr>
        <w:t>3x</w:t>
      </w:r>
      <w:r w:rsidR="00F727B6" w:rsidRPr="00932D08">
        <w:rPr>
          <w:rFonts w:ascii="Times New Roman" w:hAnsi="Times New Roman" w:cs="Times New Roman"/>
          <w:sz w:val="20"/>
          <w:szCs w:val="20"/>
        </w:rPr>
        <w:t xml:space="preserve"> </w:t>
      </w:r>
      <w:r w:rsidR="00932D08" w:rsidRPr="00932D08">
        <w:rPr>
          <w:rFonts w:ascii="Times New Roman" w:hAnsi="Times New Roman" w:cs="Times New Roman"/>
          <w:sz w:val="20"/>
          <w:szCs w:val="20"/>
        </w:rPr>
        <w:t xml:space="preserve">DOR fold-change and </w:t>
      </w:r>
      <w:r w:rsidR="00A23327">
        <w:rPr>
          <w:rFonts w:ascii="Times New Roman" w:hAnsi="Times New Roman" w:cs="Times New Roman"/>
          <w:sz w:val="20"/>
          <w:szCs w:val="20"/>
        </w:rPr>
        <w:t>“</w:t>
      </w:r>
      <w:r w:rsidR="00932D08" w:rsidRPr="00932D08">
        <w:rPr>
          <w:rFonts w:ascii="Times New Roman" w:hAnsi="Times New Roman" w:cs="Times New Roman"/>
          <w:sz w:val="20"/>
          <w:szCs w:val="20"/>
        </w:rPr>
        <w:t>low</w:t>
      </w:r>
      <w:r w:rsidR="00A23327">
        <w:rPr>
          <w:rFonts w:ascii="Times New Roman" w:hAnsi="Times New Roman" w:cs="Times New Roman"/>
          <w:sz w:val="20"/>
          <w:szCs w:val="20"/>
        </w:rPr>
        <w:t>”</w:t>
      </w:r>
      <w:r w:rsidR="00932D08" w:rsidRPr="00932D08">
        <w:rPr>
          <w:rFonts w:ascii="Times New Roman" w:hAnsi="Times New Roman" w:cs="Times New Roman"/>
          <w:sz w:val="20"/>
          <w:szCs w:val="20"/>
        </w:rPr>
        <w:t xml:space="preserve"> resistance otherwise. We used a</w:t>
      </w:r>
      <w:r w:rsidR="007B4484">
        <w:rPr>
          <w:rFonts w:ascii="Times New Roman" w:hAnsi="Times New Roman" w:cs="Times New Roman"/>
          <w:sz w:val="20"/>
          <w:szCs w:val="20"/>
        </w:rPr>
        <w:t>n unoptimized</w:t>
      </w:r>
      <w:r w:rsidR="00932D08" w:rsidRPr="00932D08">
        <w:rPr>
          <w:rFonts w:ascii="Times New Roman" w:hAnsi="Times New Roman" w:cs="Times New Roman"/>
          <w:sz w:val="20"/>
          <w:szCs w:val="20"/>
        </w:rPr>
        <w:t xml:space="preserve"> decision threshold of </w:t>
      </w:r>
      <w:proofErr w:type="spellStart"/>
      <w:r w:rsidR="00932D08" w:rsidRPr="00120227">
        <w:rPr>
          <w:rFonts w:ascii="Times New Roman" w:hAnsi="Times New Roman" w:cs="Times New Roman"/>
          <w:i/>
          <w:iCs/>
          <w:sz w:val="20"/>
          <w:szCs w:val="20"/>
        </w:rPr>
        <w:t>P</w:t>
      </w:r>
      <w:r w:rsidR="00932D08" w:rsidRPr="00120227">
        <w:rPr>
          <w:rFonts w:ascii="Times New Roman" w:hAnsi="Times New Roman" w:cs="Times New Roman"/>
          <w:i/>
          <w:iCs/>
          <w:sz w:val="20"/>
          <w:szCs w:val="20"/>
          <w:vertAlign w:val="subscript"/>
        </w:rPr>
        <w:t>high</w:t>
      </w:r>
      <w:proofErr w:type="spellEnd"/>
      <w:r w:rsidR="00932D08">
        <w:rPr>
          <w:rFonts w:ascii="Times New Roman" w:hAnsi="Times New Roman" w:cs="Times New Roman"/>
          <w:i/>
          <w:iCs/>
          <w:sz w:val="20"/>
          <w:szCs w:val="20"/>
          <w:vertAlign w:val="subscript"/>
        </w:rPr>
        <w:t xml:space="preserve"> </w:t>
      </w:r>
      <w:r w:rsidR="00932D08">
        <w:rPr>
          <w:rFonts w:ascii="Times New Roman" w:hAnsi="Times New Roman" w:cs="Times New Roman"/>
          <w:sz w:val="20"/>
          <w:szCs w:val="20"/>
        </w:rPr>
        <w:t xml:space="preserve">= </w:t>
      </w:r>
      <w:r w:rsidR="00932D08" w:rsidRPr="00932D08">
        <w:rPr>
          <w:rFonts w:ascii="Times New Roman" w:hAnsi="Times New Roman" w:cs="Times New Roman"/>
          <w:sz w:val="20"/>
          <w:szCs w:val="20"/>
        </w:rPr>
        <w:t>0.5 for class assignment.</w:t>
      </w:r>
      <w:r w:rsidR="00932D08">
        <w:rPr>
          <w:rFonts w:ascii="Times New Roman" w:hAnsi="Times New Roman" w:cs="Times New Roman"/>
          <w:sz w:val="20"/>
          <w:szCs w:val="20"/>
        </w:rPr>
        <w:t xml:space="preserve"> </w:t>
      </w:r>
      <w:r>
        <w:rPr>
          <w:rFonts w:ascii="Times New Roman" w:hAnsi="Times New Roman" w:cs="Times New Roman"/>
          <w:sz w:val="20"/>
          <w:szCs w:val="20"/>
        </w:rPr>
        <w:t xml:space="preserve">The dashed trend line is a linear regression fit of the </w:t>
      </w:r>
      <w:r w:rsidR="00932D08" w:rsidRPr="00932D08">
        <w:rPr>
          <w:rFonts w:ascii="Times New Roman" w:hAnsi="Times New Roman" w:cs="Times New Roman"/>
          <w:sz w:val="20"/>
          <w:szCs w:val="20"/>
        </w:rPr>
        <w:t>data</w:t>
      </w:r>
      <w:r>
        <w:rPr>
          <w:rFonts w:ascii="Times New Roman" w:hAnsi="Times New Roman" w:cs="Times New Roman"/>
          <w:sz w:val="20"/>
          <w:szCs w:val="20"/>
        </w:rPr>
        <w:t>. R</w:t>
      </w:r>
      <w:r>
        <w:rPr>
          <w:rFonts w:ascii="Times New Roman" w:hAnsi="Times New Roman" w:cs="Times New Roman"/>
          <w:sz w:val="20"/>
          <w:szCs w:val="20"/>
          <w:vertAlign w:val="superscript"/>
        </w:rPr>
        <w:t>2</w:t>
      </w:r>
      <w:r>
        <w:rPr>
          <w:rFonts w:ascii="Times New Roman" w:hAnsi="Times New Roman" w:cs="Times New Roman"/>
          <w:sz w:val="20"/>
          <w:szCs w:val="20"/>
        </w:rPr>
        <w:t xml:space="preserve"> is the coefficient of determination for this fit and the p-value test</w:t>
      </w:r>
      <w:r w:rsidR="00707D4B">
        <w:rPr>
          <w:rFonts w:ascii="Times New Roman" w:hAnsi="Times New Roman" w:cs="Times New Roman"/>
          <w:sz w:val="20"/>
          <w:szCs w:val="20"/>
        </w:rPr>
        <w:t>s</w:t>
      </w:r>
      <w:r>
        <w:rPr>
          <w:rFonts w:ascii="Times New Roman" w:hAnsi="Times New Roman" w:cs="Times New Roman"/>
          <w:sz w:val="20"/>
          <w:szCs w:val="20"/>
        </w:rPr>
        <w:t xml:space="preserve"> the null hypothesis that the true linear correlation between the two variables is zero.</w:t>
      </w:r>
      <w:r w:rsidR="00961415">
        <w:rPr>
          <w:rFonts w:ascii="Times New Roman" w:hAnsi="Times New Roman" w:cs="Times New Roman"/>
          <w:sz w:val="20"/>
          <w:szCs w:val="20"/>
        </w:rPr>
        <w:t xml:space="preserve"> (B) </w:t>
      </w:r>
      <w:r w:rsidR="00961415" w:rsidRPr="00961415">
        <w:rPr>
          <w:rFonts w:ascii="Times New Roman" w:hAnsi="Times New Roman" w:cs="Times New Roman"/>
          <w:sz w:val="20"/>
          <w:szCs w:val="20"/>
        </w:rPr>
        <w:t xml:space="preserve">Confusion matrix showing predicted labels compared with true labels across </w:t>
      </w:r>
      <w:r w:rsidR="00707D4B">
        <w:rPr>
          <w:rFonts w:ascii="Times New Roman" w:hAnsi="Times New Roman" w:cs="Times New Roman"/>
          <w:sz w:val="20"/>
          <w:szCs w:val="20"/>
        </w:rPr>
        <w:t>the full genotype panel</w:t>
      </w:r>
      <w:r w:rsidR="00961415">
        <w:rPr>
          <w:rFonts w:ascii="Times New Roman" w:hAnsi="Times New Roman" w:cs="Times New Roman"/>
          <w:sz w:val="20"/>
          <w:szCs w:val="20"/>
        </w:rPr>
        <w:t xml:space="preserve">. (C) </w:t>
      </w:r>
      <w:r w:rsidR="00961415" w:rsidRPr="00961415">
        <w:rPr>
          <w:rFonts w:ascii="Times New Roman" w:hAnsi="Times New Roman" w:cs="Times New Roman"/>
          <w:sz w:val="20"/>
          <w:szCs w:val="20"/>
        </w:rPr>
        <w:t>Trained model coefficients for the standardized features showing contribution of all 3 features to the model’s output.</w:t>
      </w:r>
    </w:p>
    <w:p w14:paraId="462DEB05" w14:textId="77777777" w:rsidR="00906992" w:rsidRPr="00906992" w:rsidRDefault="00906992" w:rsidP="00906992">
      <w:pPr>
        <w:rPr>
          <w:rFonts w:ascii="Times New Roman" w:hAnsi="Times New Roman" w:cs="Times New Roman"/>
          <w:szCs w:val="24"/>
        </w:rPr>
      </w:pPr>
    </w:p>
    <w:p w14:paraId="0A24887F" w14:textId="1D0A7DFC" w:rsidR="00906992" w:rsidRDefault="00906992" w:rsidP="00906992">
      <w:pPr>
        <w:rPr>
          <w:rFonts w:ascii="Times New Roman" w:hAnsi="Times New Roman" w:cs="Times New Roman"/>
          <w:szCs w:val="24"/>
        </w:rPr>
      </w:pPr>
      <w:r w:rsidRPr="00906992">
        <w:rPr>
          <w:rFonts w:ascii="Times New Roman" w:hAnsi="Times New Roman" w:cs="Times New Roman"/>
          <w:szCs w:val="24"/>
        </w:rPr>
        <w:t xml:space="preserve">This </w:t>
      </w:r>
      <w:r w:rsidR="00ED2954" w:rsidRPr="00ED2954">
        <w:rPr>
          <w:rFonts w:ascii="Times New Roman" w:hAnsi="Times New Roman" w:cs="Times New Roman"/>
          <w:szCs w:val="24"/>
        </w:rPr>
        <w:t>parsimonious</w:t>
      </w:r>
      <w:r w:rsidR="00ED2954" w:rsidRPr="00ED2954">
        <w:rPr>
          <w:rFonts w:ascii="Times New Roman" w:hAnsi="Times New Roman" w:cs="Times New Roman"/>
          <w:b/>
          <w:bCs/>
          <w:szCs w:val="24"/>
        </w:rPr>
        <w:t xml:space="preserve"> </w:t>
      </w:r>
      <w:r w:rsidRPr="00906992">
        <w:rPr>
          <w:rFonts w:ascii="Times New Roman" w:hAnsi="Times New Roman" w:cs="Times New Roman"/>
          <w:szCs w:val="24"/>
        </w:rPr>
        <w:t xml:space="preserve">model separated the low- and high-resistance control </w:t>
      </w:r>
      <w:r w:rsidR="009B09AD">
        <w:rPr>
          <w:rFonts w:ascii="Times New Roman" w:hAnsi="Times New Roman" w:cs="Times New Roman"/>
          <w:szCs w:val="24"/>
        </w:rPr>
        <w:t>mutations</w:t>
      </w:r>
      <w:r w:rsidRPr="00906992">
        <w:rPr>
          <w:rFonts w:ascii="Times New Roman" w:hAnsi="Times New Roman" w:cs="Times New Roman"/>
          <w:szCs w:val="24"/>
        </w:rPr>
        <w:t xml:space="preserve"> with strong performance in replicate-level grouped cross-validation, achieving 12/13 correct classifications. When </w:t>
      </w:r>
      <w:r w:rsidR="00137D0E">
        <w:rPr>
          <w:rFonts w:ascii="Times New Roman" w:hAnsi="Times New Roman" w:cs="Times New Roman"/>
          <w:szCs w:val="24"/>
        </w:rPr>
        <w:t>applied</w:t>
      </w:r>
      <w:r w:rsidRPr="00906992">
        <w:rPr>
          <w:rFonts w:ascii="Times New Roman" w:hAnsi="Times New Roman" w:cs="Times New Roman"/>
          <w:szCs w:val="24"/>
        </w:rPr>
        <w:t xml:space="preserve"> across the full panel, the resulting model probabilities </w:t>
      </w:r>
      <w:r w:rsidR="001D5A97">
        <w:rPr>
          <w:rFonts w:ascii="Times New Roman" w:hAnsi="Times New Roman" w:cs="Times New Roman"/>
          <w:szCs w:val="24"/>
        </w:rPr>
        <w:t>correlated with</w:t>
      </w:r>
      <w:r w:rsidRPr="00906992">
        <w:rPr>
          <w:rFonts w:ascii="Times New Roman" w:hAnsi="Times New Roman" w:cs="Times New Roman"/>
          <w:szCs w:val="24"/>
        </w:rPr>
        <w:t xml:space="preserve"> the continuous phenotypic</w:t>
      </w:r>
      <w:r w:rsidR="00C635E8">
        <w:rPr>
          <w:rFonts w:ascii="Times New Roman" w:hAnsi="Times New Roman" w:cs="Times New Roman"/>
          <w:szCs w:val="24"/>
        </w:rPr>
        <w:t xml:space="preserve"> </w:t>
      </w:r>
      <w:r w:rsidRPr="00906992">
        <w:rPr>
          <w:rFonts w:ascii="Times New Roman" w:hAnsi="Times New Roman" w:cs="Times New Roman"/>
          <w:szCs w:val="24"/>
        </w:rPr>
        <w:t>fold-change values (R² = 0.</w:t>
      </w:r>
      <w:r w:rsidR="00C635E8">
        <w:rPr>
          <w:rFonts w:ascii="Times New Roman" w:hAnsi="Times New Roman" w:cs="Times New Roman"/>
          <w:szCs w:val="24"/>
        </w:rPr>
        <w:t>48</w:t>
      </w:r>
      <w:r w:rsidRPr="00906992">
        <w:rPr>
          <w:rFonts w:ascii="Times New Roman" w:hAnsi="Times New Roman" w:cs="Times New Roman"/>
          <w:szCs w:val="24"/>
        </w:rPr>
        <w:t xml:space="preserve">, p = </w:t>
      </w:r>
      <w:r w:rsidR="00C635E8">
        <w:rPr>
          <w:rFonts w:ascii="Times New Roman" w:hAnsi="Times New Roman" w:cs="Times New Roman"/>
          <w:szCs w:val="24"/>
        </w:rPr>
        <w:t>1.1</w:t>
      </w:r>
      <w:r w:rsidRPr="00906992">
        <w:rPr>
          <w:rFonts w:ascii="Times New Roman" w:hAnsi="Times New Roman" w:cs="Times New Roman"/>
          <w:szCs w:val="24"/>
        </w:rPr>
        <w:t xml:space="preserve"> × 10⁻</w:t>
      </w:r>
      <w:r w:rsidR="00C635E8" w:rsidRPr="00C635E8">
        <w:rPr>
          <w:rFonts w:ascii="Times New Roman" w:hAnsi="Times New Roman" w:cs="Times New Roman"/>
          <w:szCs w:val="24"/>
          <w:vertAlign w:val="superscript"/>
        </w:rPr>
        <w:t>3</w:t>
      </w:r>
      <w:r w:rsidRPr="00906992">
        <w:rPr>
          <w:rFonts w:ascii="Times New Roman" w:hAnsi="Times New Roman" w:cs="Times New Roman"/>
          <w:szCs w:val="24"/>
        </w:rPr>
        <w:t xml:space="preserve">). WT was assigned a low probability </w:t>
      </w:r>
      <w:r w:rsidR="00874D9D">
        <w:rPr>
          <w:rFonts w:ascii="Times New Roman" w:hAnsi="Times New Roman" w:cs="Times New Roman"/>
          <w:szCs w:val="24"/>
        </w:rPr>
        <w:t>value</w:t>
      </w:r>
      <w:r w:rsidRPr="00906992">
        <w:rPr>
          <w:rFonts w:ascii="Times New Roman" w:hAnsi="Times New Roman" w:cs="Times New Roman"/>
          <w:szCs w:val="24"/>
        </w:rPr>
        <w:t xml:space="preserve">, whereas </w:t>
      </w:r>
      <w:r w:rsidR="00486B05">
        <w:rPr>
          <w:rFonts w:ascii="Times New Roman" w:hAnsi="Times New Roman" w:cs="Times New Roman"/>
          <w:szCs w:val="24"/>
        </w:rPr>
        <w:t>all</w:t>
      </w:r>
      <w:r w:rsidRPr="00906992">
        <w:rPr>
          <w:rFonts w:ascii="Times New Roman" w:hAnsi="Times New Roman" w:cs="Times New Roman"/>
          <w:szCs w:val="24"/>
        </w:rPr>
        <w:t xml:space="preserve"> positive-control genotypes were assigned high probabilities. </w:t>
      </w:r>
      <w:r w:rsidR="00486B05">
        <w:rPr>
          <w:rFonts w:ascii="Times New Roman" w:hAnsi="Times New Roman" w:cs="Times New Roman"/>
          <w:szCs w:val="24"/>
        </w:rPr>
        <w:t xml:space="preserve">The only negative control mutation that was incorrectly predicted to have high DOR fold-change was Y181C. </w:t>
      </w:r>
      <w:r w:rsidRPr="00906992">
        <w:rPr>
          <w:rFonts w:ascii="Times New Roman" w:hAnsi="Times New Roman" w:cs="Times New Roman"/>
          <w:szCs w:val="24"/>
        </w:rPr>
        <w:t>Among genotypes with limited or uncertain phenotype, G190E and G190S received high model probabilities, while V106M, L100I+K103N, K103N+P225H, and K103N+M230L were assigned low probabilities.</w:t>
      </w:r>
    </w:p>
    <w:p w14:paraId="16264058" w14:textId="77777777" w:rsidR="00906992" w:rsidRPr="00906992" w:rsidRDefault="00906992" w:rsidP="00906992">
      <w:pPr>
        <w:rPr>
          <w:rFonts w:ascii="Times New Roman" w:hAnsi="Times New Roman" w:cs="Times New Roman"/>
          <w:szCs w:val="24"/>
        </w:rPr>
      </w:pPr>
    </w:p>
    <w:p w14:paraId="36952244" w14:textId="1F5AC316" w:rsidR="00906992" w:rsidRPr="00906992" w:rsidRDefault="00486B05" w:rsidP="00906992">
      <w:pPr>
        <w:rPr>
          <w:rFonts w:ascii="Times New Roman" w:hAnsi="Times New Roman" w:cs="Times New Roman"/>
          <w:szCs w:val="24"/>
        </w:rPr>
      </w:pPr>
      <w:r>
        <w:rPr>
          <w:rFonts w:ascii="Times New Roman" w:hAnsi="Times New Roman" w:cs="Times New Roman"/>
          <w:szCs w:val="24"/>
        </w:rPr>
        <w:t>As a caveat,</w:t>
      </w:r>
      <w:r w:rsidR="00262F5D">
        <w:rPr>
          <w:rFonts w:ascii="Times New Roman" w:hAnsi="Times New Roman" w:cs="Times New Roman"/>
          <w:szCs w:val="24"/>
        </w:rPr>
        <w:t xml:space="preserve"> t</w:t>
      </w:r>
      <w:r w:rsidR="00906992" w:rsidRPr="00906992">
        <w:rPr>
          <w:rFonts w:ascii="Times New Roman" w:hAnsi="Times New Roman" w:cs="Times New Roman"/>
          <w:szCs w:val="24"/>
        </w:rPr>
        <w:t>his model should be interpreted as a compact structural summary rather than as a validated clinical susceptibility predictor</w:t>
      </w:r>
      <w:r w:rsidR="00634555">
        <w:rPr>
          <w:rFonts w:ascii="Times New Roman" w:hAnsi="Times New Roman" w:cs="Times New Roman"/>
          <w:szCs w:val="24"/>
        </w:rPr>
        <w:t xml:space="preserve"> –</w:t>
      </w:r>
      <w:r w:rsidR="00906992" w:rsidRPr="00906992">
        <w:rPr>
          <w:rFonts w:ascii="Times New Roman" w:hAnsi="Times New Roman" w:cs="Times New Roman"/>
          <w:szCs w:val="24"/>
        </w:rPr>
        <w:t xml:space="preserve"> </w:t>
      </w:r>
      <w:r w:rsidR="00634555">
        <w:rPr>
          <w:rFonts w:ascii="Times New Roman" w:hAnsi="Times New Roman" w:cs="Times New Roman"/>
          <w:szCs w:val="24"/>
        </w:rPr>
        <w:t>t</w:t>
      </w:r>
      <w:r w:rsidR="00906992" w:rsidRPr="00906992">
        <w:rPr>
          <w:rFonts w:ascii="Times New Roman" w:hAnsi="Times New Roman" w:cs="Times New Roman"/>
          <w:szCs w:val="24"/>
        </w:rPr>
        <w:t>he</w:t>
      </w:r>
      <w:r w:rsidR="00634555">
        <w:rPr>
          <w:rFonts w:ascii="Times New Roman" w:hAnsi="Times New Roman" w:cs="Times New Roman"/>
          <w:szCs w:val="24"/>
        </w:rPr>
        <w:t xml:space="preserve"> </w:t>
      </w:r>
      <w:r w:rsidR="00906992" w:rsidRPr="00906992">
        <w:rPr>
          <w:rFonts w:ascii="Times New Roman" w:hAnsi="Times New Roman" w:cs="Times New Roman"/>
          <w:szCs w:val="24"/>
        </w:rPr>
        <w:t>training set is small, the phenotype labels depend on a pragmatic 3-fold threshold, and bootstrap intervals remain wide for several genotypes</w:t>
      </w:r>
      <w:r w:rsidR="00262F5D">
        <w:rPr>
          <w:rFonts w:ascii="Times New Roman" w:hAnsi="Times New Roman" w:cs="Times New Roman"/>
          <w:szCs w:val="24"/>
        </w:rPr>
        <w:t xml:space="preserve"> (</w:t>
      </w:r>
      <w:r w:rsidR="00542AD3">
        <w:rPr>
          <w:rFonts w:ascii="Times New Roman" w:hAnsi="Times New Roman" w:cs="Times New Roman"/>
          <w:szCs w:val="24"/>
        </w:rPr>
        <w:t>Supplementary</w:t>
      </w:r>
      <w:r w:rsidR="00262F5D">
        <w:rPr>
          <w:rFonts w:ascii="Times New Roman" w:hAnsi="Times New Roman" w:cs="Times New Roman"/>
          <w:szCs w:val="24"/>
        </w:rPr>
        <w:t xml:space="preserve"> Table 4)</w:t>
      </w:r>
      <w:r w:rsidR="00906992" w:rsidRPr="00906992">
        <w:rPr>
          <w:rFonts w:ascii="Times New Roman" w:hAnsi="Times New Roman" w:cs="Times New Roman"/>
          <w:szCs w:val="24"/>
        </w:rPr>
        <w:t xml:space="preserve">. Nevertheless, the ability of </w:t>
      </w:r>
      <w:r w:rsidR="00584482">
        <w:rPr>
          <w:rFonts w:ascii="Times New Roman" w:hAnsi="Times New Roman" w:cs="Times New Roman"/>
          <w:szCs w:val="24"/>
        </w:rPr>
        <w:t>three</w:t>
      </w:r>
      <w:r w:rsidR="00906992" w:rsidRPr="00906992">
        <w:rPr>
          <w:rFonts w:ascii="Times New Roman" w:hAnsi="Times New Roman" w:cs="Times New Roman"/>
          <w:szCs w:val="24"/>
        </w:rPr>
        <w:t xml:space="preserve"> local MD-derived features to summarize much of the low-versus-high resistance separation supports the broader conclusion that DOR </w:t>
      </w:r>
      <w:r w:rsidR="00F727B6">
        <w:rPr>
          <w:rFonts w:ascii="Times New Roman" w:hAnsi="Times New Roman" w:cs="Times New Roman"/>
          <w:szCs w:val="24"/>
        </w:rPr>
        <w:t>susceptibility landscape</w:t>
      </w:r>
      <w:r w:rsidR="00906992" w:rsidRPr="00906992">
        <w:rPr>
          <w:rFonts w:ascii="Times New Roman" w:hAnsi="Times New Roman" w:cs="Times New Roman"/>
          <w:szCs w:val="24"/>
        </w:rPr>
        <w:t xml:space="preserve"> </w:t>
      </w:r>
      <w:r w:rsidR="00F727B6">
        <w:rPr>
          <w:rFonts w:ascii="Times New Roman" w:hAnsi="Times New Roman" w:cs="Times New Roman"/>
          <w:szCs w:val="24"/>
        </w:rPr>
        <w:t>can</w:t>
      </w:r>
      <w:r w:rsidR="00584482">
        <w:rPr>
          <w:rFonts w:ascii="Times New Roman" w:hAnsi="Times New Roman" w:cs="Times New Roman"/>
          <w:szCs w:val="24"/>
        </w:rPr>
        <w:t xml:space="preserve"> be</w:t>
      </w:r>
      <w:r w:rsidR="00906992" w:rsidRPr="00906992">
        <w:rPr>
          <w:rFonts w:ascii="Times New Roman" w:hAnsi="Times New Roman" w:cs="Times New Roman"/>
          <w:szCs w:val="24"/>
        </w:rPr>
        <w:t xml:space="preserve"> better explained by coordinated local rearrangements in the binding pocket than by a single global binding-energy metric.</w:t>
      </w:r>
    </w:p>
    <w:p w14:paraId="72CE490E" w14:textId="77777777" w:rsidR="00BB3608" w:rsidRDefault="00BB3608" w:rsidP="00D27076">
      <w:pPr>
        <w:rPr>
          <w:rFonts w:ascii="Times New Roman" w:hAnsi="Times New Roman" w:cs="Times New Roman"/>
          <w:szCs w:val="24"/>
        </w:rPr>
      </w:pPr>
    </w:p>
    <w:p w14:paraId="117A2D6A" w14:textId="495FC2DF" w:rsidR="00BB3608" w:rsidRDefault="00BB3608" w:rsidP="00D27076">
      <w:pPr>
        <w:rPr>
          <w:rFonts w:ascii="Times New Roman" w:hAnsi="Times New Roman" w:cs="Times New Roman"/>
          <w:b/>
          <w:bCs/>
          <w:sz w:val="28"/>
          <w:szCs w:val="28"/>
        </w:rPr>
      </w:pPr>
      <w:r>
        <w:rPr>
          <w:rFonts w:ascii="Times New Roman" w:hAnsi="Times New Roman" w:cs="Times New Roman"/>
          <w:b/>
          <w:bCs/>
          <w:sz w:val="28"/>
          <w:szCs w:val="28"/>
        </w:rPr>
        <w:t>Discussion</w:t>
      </w:r>
    </w:p>
    <w:p w14:paraId="1EB16CF4" w14:textId="4F012FD4" w:rsidR="005F52FE" w:rsidRDefault="007B0373" w:rsidP="005F52FE">
      <w:r w:rsidRPr="007B0373">
        <w:rPr>
          <w:rFonts w:ascii="Times New Roman" w:hAnsi="Times New Roman" w:cs="Times New Roman"/>
          <w:szCs w:val="24"/>
        </w:rPr>
        <w:t xml:space="preserve">DOR poses an unusual resistance problem among second-generation NNRTIs. Like ETR and RPV, DOR retains activity against common NNRTI-associated backgrounds such as K103N, Y181C, and G190A, yet the pathways that reduce DOR susceptibility are distinct and increasingly relevant in clinical use. Specific substitutions such as Y188L, V106A, and Y318F, and combinations including V106I+F227C, V106A+F227L, and V106A+L234I, now recur across phenotypic studies, </w:t>
      </w:r>
      <w:r w:rsidRPr="00382137">
        <w:rPr>
          <w:rFonts w:ascii="Times New Roman" w:hAnsi="Times New Roman" w:cs="Times New Roman"/>
          <w:i/>
          <w:iCs/>
          <w:szCs w:val="24"/>
        </w:rPr>
        <w:t>in vitro</w:t>
      </w:r>
      <w:r w:rsidRPr="007B0373">
        <w:rPr>
          <w:rFonts w:ascii="Times New Roman" w:hAnsi="Times New Roman" w:cs="Times New Roman"/>
          <w:szCs w:val="24"/>
        </w:rPr>
        <w:t xml:space="preserve"> selection experiments, and clinical trial datasets. Despite these observations, publicly </w:t>
      </w:r>
      <w:r>
        <w:rPr>
          <w:rFonts w:ascii="Times New Roman" w:hAnsi="Times New Roman" w:cs="Times New Roman"/>
          <w:szCs w:val="24"/>
        </w:rPr>
        <w:t>available</w:t>
      </w:r>
      <w:r w:rsidRPr="007B0373">
        <w:rPr>
          <w:rFonts w:ascii="Times New Roman" w:hAnsi="Times New Roman" w:cs="Times New Roman"/>
          <w:szCs w:val="24"/>
        </w:rPr>
        <w:t xml:space="preserve"> isolate-level susceptibility data for DOR remain sparse. As of April 2026, Stanford HIVDB indexes only 134 DOR-associated isolates tested by</w:t>
      </w:r>
      <w:r w:rsidR="00461E7C">
        <w:rPr>
          <w:rFonts w:ascii="Times New Roman" w:hAnsi="Times New Roman" w:cs="Times New Roman"/>
          <w:szCs w:val="24"/>
        </w:rPr>
        <w:t xml:space="preserve"> the</w:t>
      </w:r>
      <w:r w:rsidRPr="007B0373">
        <w:rPr>
          <w:rFonts w:ascii="Times New Roman" w:hAnsi="Times New Roman" w:cs="Times New Roman"/>
          <w:szCs w:val="24"/>
        </w:rPr>
        <w:t xml:space="preserve"> </w:t>
      </w:r>
      <w:proofErr w:type="spellStart"/>
      <w:r w:rsidRPr="007B0373">
        <w:rPr>
          <w:rFonts w:ascii="Times New Roman" w:hAnsi="Times New Roman" w:cs="Times New Roman"/>
          <w:szCs w:val="24"/>
        </w:rPr>
        <w:t>PhenoSense</w:t>
      </w:r>
      <w:proofErr w:type="spellEnd"/>
      <w:r w:rsidR="00461E7C">
        <w:rPr>
          <w:rFonts w:ascii="Times New Roman" w:hAnsi="Times New Roman" w:cs="Times New Roman"/>
          <w:szCs w:val="24"/>
        </w:rPr>
        <w:t xml:space="preserve"> assay</w:t>
      </w:r>
      <w:r w:rsidRPr="007B0373">
        <w:rPr>
          <w:rFonts w:ascii="Times New Roman" w:hAnsi="Times New Roman" w:cs="Times New Roman"/>
          <w:szCs w:val="24"/>
        </w:rPr>
        <w:t>, compared with 330 for RPV and 1,193 for ETR. This mismatch between growing clinical relevance and limited public phenotype data for DOR resistance motivated the present study.</w:t>
      </w:r>
      <w:r w:rsidR="005F52FE" w:rsidRPr="005F52FE">
        <w:t xml:space="preserve"> </w:t>
      </w:r>
    </w:p>
    <w:p w14:paraId="0C6F2D9C" w14:textId="77777777" w:rsidR="00461E7C" w:rsidRDefault="00461E7C" w:rsidP="005F52FE">
      <w:pPr>
        <w:rPr>
          <w:rFonts w:ascii="Times New Roman" w:hAnsi="Times New Roman" w:cs="Times New Roman"/>
          <w:szCs w:val="24"/>
        </w:rPr>
      </w:pPr>
    </w:p>
    <w:p w14:paraId="6B4273C4" w14:textId="78217A2F" w:rsidR="00385FCC" w:rsidRDefault="00461E7C" w:rsidP="005F52FE">
      <w:pPr>
        <w:rPr>
          <w:rFonts w:ascii="Times New Roman" w:hAnsi="Times New Roman" w:cs="Times New Roman"/>
          <w:szCs w:val="24"/>
        </w:rPr>
      </w:pPr>
      <w:r w:rsidRPr="005F52FE">
        <w:rPr>
          <w:rFonts w:ascii="Times New Roman" w:hAnsi="Times New Roman" w:cs="Times New Roman"/>
          <w:szCs w:val="24"/>
        </w:rPr>
        <w:t>We asked whether short explicit-solvent MD simulations could provide a coherent structural framework for understanding known and limited-data DOR resistance genotypes.</w:t>
      </w:r>
      <w:r>
        <w:rPr>
          <w:rFonts w:ascii="Times New Roman" w:hAnsi="Times New Roman" w:cs="Times New Roman"/>
          <w:szCs w:val="24"/>
        </w:rPr>
        <w:t xml:space="preserve"> This choice was motivated by prior studies that successfully used such energy calculations from MD simulations to interrogate HIV resistance mutations in RT and Protease. </w:t>
      </w:r>
      <w:r w:rsidR="00146F81">
        <w:rPr>
          <w:rFonts w:ascii="Times New Roman" w:hAnsi="Times New Roman" w:cs="Times New Roman"/>
          <w:szCs w:val="24"/>
        </w:rPr>
        <w:t>However, w</w:t>
      </w:r>
      <w:r w:rsidR="005F52FE">
        <w:rPr>
          <w:rFonts w:ascii="Times New Roman" w:hAnsi="Times New Roman" w:cs="Times New Roman"/>
          <w:szCs w:val="24"/>
        </w:rPr>
        <w:t>e observed</w:t>
      </w:r>
      <w:r w:rsidR="005F52FE" w:rsidRPr="005F52FE">
        <w:rPr>
          <w:rFonts w:ascii="Times New Roman" w:hAnsi="Times New Roman" w:cs="Times New Roman"/>
          <w:szCs w:val="24"/>
        </w:rPr>
        <w:t xml:space="preserve"> </w:t>
      </w:r>
      <w:r w:rsidR="005F52FE">
        <w:rPr>
          <w:rFonts w:ascii="Times New Roman" w:hAnsi="Times New Roman" w:cs="Times New Roman"/>
          <w:szCs w:val="24"/>
        </w:rPr>
        <w:t>that</w:t>
      </w:r>
      <w:r w:rsidR="005F52FE" w:rsidRPr="005F52FE">
        <w:rPr>
          <w:rFonts w:ascii="Times New Roman" w:hAnsi="Times New Roman" w:cs="Times New Roman"/>
          <w:szCs w:val="24"/>
        </w:rPr>
        <w:t xml:space="preserve"> WT-referenced energetic shifts</w:t>
      </w:r>
      <w:r w:rsidR="00146F81">
        <w:rPr>
          <w:rFonts w:ascii="Times New Roman" w:hAnsi="Times New Roman" w:cs="Times New Roman"/>
          <w:szCs w:val="24"/>
        </w:rPr>
        <w:t>, ∆∆G,</w:t>
      </w:r>
      <w:r w:rsidR="005F52FE" w:rsidRPr="005F52FE">
        <w:rPr>
          <w:rFonts w:ascii="Times New Roman" w:hAnsi="Times New Roman" w:cs="Times New Roman"/>
          <w:szCs w:val="24"/>
        </w:rPr>
        <w:t xml:space="preserve"> derived from bound-state MD snapshots did not </w:t>
      </w:r>
      <w:r w:rsidR="00594894">
        <w:rPr>
          <w:rFonts w:ascii="Times New Roman" w:hAnsi="Times New Roman" w:cs="Times New Roman"/>
          <w:szCs w:val="24"/>
        </w:rPr>
        <w:t>correlate well with</w:t>
      </w:r>
      <w:r w:rsidR="005F52FE" w:rsidRPr="005F52FE">
        <w:rPr>
          <w:rFonts w:ascii="Times New Roman" w:hAnsi="Times New Roman" w:cs="Times New Roman"/>
          <w:szCs w:val="24"/>
        </w:rPr>
        <w:t xml:space="preserve"> the </w:t>
      </w:r>
      <w:r w:rsidR="00594894">
        <w:rPr>
          <w:rFonts w:ascii="Times New Roman" w:hAnsi="Times New Roman" w:cs="Times New Roman"/>
          <w:szCs w:val="24"/>
        </w:rPr>
        <w:t xml:space="preserve">available </w:t>
      </w:r>
      <w:r w:rsidR="005F52FE" w:rsidRPr="005F52FE">
        <w:rPr>
          <w:rFonts w:ascii="Times New Roman" w:hAnsi="Times New Roman" w:cs="Times New Roman"/>
          <w:szCs w:val="24"/>
        </w:rPr>
        <w:t xml:space="preserve">phenotypic DOR landscape. </w:t>
      </w:r>
      <w:r w:rsidR="00146F81">
        <w:rPr>
          <w:rFonts w:ascii="Times New Roman" w:hAnsi="Times New Roman" w:cs="Times New Roman"/>
          <w:szCs w:val="24"/>
        </w:rPr>
        <w:t xml:space="preserve">Specifically, the average ∆∆G values of total </w:t>
      </w:r>
      <w:r w:rsidR="006919AA">
        <w:rPr>
          <w:rFonts w:ascii="Times New Roman" w:hAnsi="Times New Roman" w:cs="Times New Roman"/>
          <w:szCs w:val="24"/>
        </w:rPr>
        <w:t xml:space="preserve">MM/GBSA </w:t>
      </w:r>
      <w:r w:rsidR="00146F81">
        <w:rPr>
          <w:rFonts w:ascii="Times New Roman" w:hAnsi="Times New Roman" w:cs="Times New Roman"/>
          <w:szCs w:val="24"/>
        </w:rPr>
        <w:t xml:space="preserve">energy </w:t>
      </w:r>
      <w:r w:rsidR="001352C3">
        <w:rPr>
          <w:rFonts w:ascii="Times New Roman" w:hAnsi="Times New Roman" w:cs="Times New Roman"/>
          <w:szCs w:val="24"/>
        </w:rPr>
        <w:t>across</w:t>
      </w:r>
      <w:r w:rsidR="00146F81">
        <w:rPr>
          <w:rFonts w:ascii="Times New Roman" w:hAnsi="Times New Roman" w:cs="Times New Roman"/>
          <w:szCs w:val="24"/>
        </w:rPr>
        <w:t xml:space="preserve"> independent replicates </w:t>
      </w:r>
      <w:r w:rsidR="006919AA">
        <w:rPr>
          <w:rFonts w:ascii="Times New Roman" w:hAnsi="Times New Roman" w:cs="Times New Roman"/>
          <w:szCs w:val="24"/>
        </w:rPr>
        <w:t xml:space="preserve">had no statistically significant association with the DOR phenotypic susceptibility values in our assembled panel. </w:t>
      </w:r>
      <w:r w:rsidR="00385FCC">
        <w:rPr>
          <w:rFonts w:ascii="Times New Roman" w:hAnsi="Times New Roman" w:cs="Times New Roman"/>
          <w:szCs w:val="24"/>
        </w:rPr>
        <w:t xml:space="preserve">There may be several reasons for this observation. First, the computed </w:t>
      </w:r>
      <w:r w:rsidR="00385FCC" w:rsidRPr="00085D4C">
        <w:rPr>
          <w:rFonts w:ascii="Times New Roman" w:hAnsi="Times New Roman" w:cs="Times New Roman"/>
          <w:szCs w:val="24"/>
        </w:rPr>
        <w:t xml:space="preserve">MM/GBSA </w:t>
      </w:r>
      <w:r w:rsidR="00385FCC">
        <w:rPr>
          <w:rFonts w:ascii="Times New Roman" w:hAnsi="Times New Roman" w:cs="Times New Roman"/>
          <w:szCs w:val="24"/>
        </w:rPr>
        <w:t xml:space="preserve">energy </w:t>
      </w:r>
      <w:r w:rsidR="00385FCC" w:rsidRPr="00085D4C">
        <w:rPr>
          <w:rFonts w:ascii="Times New Roman" w:hAnsi="Times New Roman" w:cs="Times New Roman"/>
          <w:szCs w:val="24"/>
        </w:rPr>
        <w:t xml:space="preserve">values </w:t>
      </w:r>
      <w:r w:rsidR="00385FCC">
        <w:rPr>
          <w:rFonts w:ascii="Times New Roman" w:hAnsi="Times New Roman" w:cs="Times New Roman"/>
          <w:szCs w:val="24"/>
        </w:rPr>
        <w:lastRenderedPageBreak/>
        <w:t xml:space="preserve">fundamentally </w:t>
      </w:r>
      <w:r w:rsidR="00385FCC" w:rsidRPr="00085D4C">
        <w:rPr>
          <w:rFonts w:ascii="Times New Roman" w:hAnsi="Times New Roman" w:cs="Times New Roman"/>
          <w:szCs w:val="24"/>
        </w:rPr>
        <w:t>do not represent equilibrium binding free energies because the simulations do not sample the full bound and unbound state populations needed for a true free</w:t>
      </w:r>
      <w:r w:rsidR="00385FCC">
        <w:rPr>
          <w:rFonts w:ascii="Times New Roman" w:hAnsi="Times New Roman" w:cs="Times New Roman"/>
          <w:szCs w:val="24"/>
        </w:rPr>
        <w:t xml:space="preserve"> </w:t>
      </w:r>
      <w:r w:rsidR="00385FCC" w:rsidRPr="00085D4C">
        <w:rPr>
          <w:rFonts w:ascii="Times New Roman" w:hAnsi="Times New Roman" w:cs="Times New Roman"/>
          <w:szCs w:val="24"/>
        </w:rPr>
        <w:t xml:space="preserve">energy estimate. </w:t>
      </w:r>
      <w:r w:rsidR="00385FCC">
        <w:rPr>
          <w:rFonts w:ascii="Times New Roman" w:hAnsi="Times New Roman" w:cs="Times New Roman"/>
          <w:szCs w:val="24"/>
        </w:rPr>
        <w:t>Second</w:t>
      </w:r>
      <w:r w:rsidR="00385FCC" w:rsidRPr="00085D4C">
        <w:rPr>
          <w:rFonts w:ascii="Times New Roman" w:hAnsi="Times New Roman" w:cs="Times New Roman"/>
          <w:szCs w:val="24"/>
        </w:rPr>
        <w:t xml:space="preserve">, </w:t>
      </w:r>
      <w:r w:rsidR="00385FCC">
        <w:rPr>
          <w:rFonts w:ascii="Times New Roman" w:hAnsi="Times New Roman" w:cs="Times New Roman"/>
          <w:szCs w:val="24"/>
        </w:rPr>
        <w:t xml:space="preserve">though the simulations are performed in explicit solvent, </w:t>
      </w:r>
      <w:r w:rsidR="00385FCC" w:rsidRPr="00085D4C">
        <w:rPr>
          <w:rFonts w:ascii="Times New Roman" w:hAnsi="Times New Roman" w:cs="Times New Roman"/>
          <w:szCs w:val="24"/>
        </w:rPr>
        <w:t xml:space="preserve">the </w:t>
      </w:r>
      <w:r w:rsidR="00385FCC">
        <w:rPr>
          <w:rFonts w:ascii="Times New Roman" w:hAnsi="Times New Roman" w:cs="Times New Roman"/>
          <w:szCs w:val="24"/>
        </w:rPr>
        <w:t xml:space="preserve">MM/GBSA </w:t>
      </w:r>
      <w:r w:rsidR="00385FCC" w:rsidRPr="00085D4C">
        <w:rPr>
          <w:rFonts w:ascii="Times New Roman" w:hAnsi="Times New Roman" w:cs="Times New Roman"/>
          <w:szCs w:val="24"/>
        </w:rPr>
        <w:t xml:space="preserve">calculations omit explicit solvent contributions </w:t>
      </w:r>
      <w:r w:rsidR="00385FCC">
        <w:rPr>
          <w:rFonts w:ascii="Times New Roman" w:hAnsi="Times New Roman" w:cs="Times New Roman"/>
          <w:szCs w:val="24"/>
        </w:rPr>
        <w:t>that could have contributed to errors in the entropic components. Third,</w:t>
      </w:r>
      <w:r w:rsidR="00385FCC" w:rsidRPr="00085D4C">
        <w:rPr>
          <w:rFonts w:ascii="Times New Roman" w:hAnsi="Times New Roman" w:cs="Times New Roman"/>
          <w:szCs w:val="24"/>
        </w:rPr>
        <w:t xml:space="preserve"> </w:t>
      </w:r>
      <w:r w:rsidR="00385FCC">
        <w:rPr>
          <w:rFonts w:ascii="Times New Roman" w:hAnsi="Times New Roman" w:cs="Times New Roman"/>
          <w:szCs w:val="24"/>
        </w:rPr>
        <w:t xml:space="preserve">the simulations </w:t>
      </w:r>
      <w:r w:rsidR="006919AA">
        <w:rPr>
          <w:rFonts w:ascii="Times New Roman" w:hAnsi="Times New Roman" w:cs="Times New Roman"/>
          <w:szCs w:val="24"/>
        </w:rPr>
        <w:t>sample</w:t>
      </w:r>
      <w:r w:rsidR="00385FCC">
        <w:rPr>
          <w:rFonts w:ascii="Times New Roman" w:hAnsi="Times New Roman" w:cs="Times New Roman"/>
          <w:szCs w:val="24"/>
        </w:rPr>
        <w:t xml:space="preserve"> dynamics</w:t>
      </w:r>
      <w:r w:rsidR="00385FCC" w:rsidRPr="00085D4C">
        <w:rPr>
          <w:rFonts w:ascii="Times New Roman" w:hAnsi="Times New Roman" w:cs="Times New Roman"/>
          <w:szCs w:val="24"/>
        </w:rPr>
        <w:t xml:space="preserve"> on a timescale that is much shorter than the conformational rearrangements and kinetic processes governing RT-</w:t>
      </w:r>
      <w:r w:rsidR="00385FCC">
        <w:rPr>
          <w:rFonts w:ascii="Times New Roman" w:hAnsi="Times New Roman" w:cs="Times New Roman"/>
          <w:szCs w:val="24"/>
        </w:rPr>
        <w:t>DOR</w:t>
      </w:r>
      <w:r w:rsidR="00385FCC" w:rsidRPr="00085D4C">
        <w:rPr>
          <w:rFonts w:ascii="Times New Roman" w:hAnsi="Times New Roman" w:cs="Times New Roman"/>
          <w:szCs w:val="24"/>
        </w:rPr>
        <w:t xml:space="preserve"> binding </w:t>
      </w:r>
      <w:r w:rsidR="00385FCC">
        <w:rPr>
          <w:rFonts w:ascii="Times New Roman" w:hAnsi="Times New Roman" w:cs="Times New Roman"/>
          <w:i/>
          <w:iCs/>
          <w:szCs w:val="24"/>
        </w:rPr>
        <w:t>in vitro</w:t>
      </w:r>
      <w:r w:rsidR="00385FCC" w:rsidRPr="00085D4C">
        <w:rPr>
          <w:rFonts w:ascii="Times New Roman" w:hAnsi="Times New Roman" w:cs="Times New Roman"/>
          <w:szCs w:val="24"/>
        </w:rPr>
        <w:t xml:space="preserve">. We therefore </w:t>
      </w:r>
      <w:r w:rsidR="00385FCC">
        <w:rPr>
          <w:rFonts w:ascii="Times New Roman" w:hAnsi="Times New Roman" w:cs="Times New Roman"/>
          <w:szCs w:val="24"/>
        </w:rPr>
        <w:t>recommend viewing</w:t>
      </w:r>
      <w:r w:rsidR="00385FCC" w:rsidRPr="00085D4C">
        <w:rPr>
          <w:rFonts w:ascii="Times New Roman" w:hAnsi="Times New Roman" w:cs="Times New Roman"/>
          <w:szCs w:val="24"/>
        </w:rPr>
        <w:t xml:space="preserve"> the energetic analysis as a </w:t>
      </w:r>
      <w:r w:rsidR="00385FCC">
        <w:rPr>
          <w:rFonts w:ascii="Times New Roman" w:hAnsi="Times New Roman" w:cs="Times New Roman"/>
          <w:szCs w:val="24"/>
        </w:rPr>
        <w:t>directional</w:t>
      </w:r>
      <w:r w:rsidR="00385FCC" w:rsidRPr="00085D4C">
        <w:rPr>
          <w:rFonts w:ascii="Times New Roman" w:hAnsi="Times New Roman" w:cs="Times New Roman"/>
          <w:szCs w:val="24"/>
        </w:rPr>
        <w:t xml:space="preserve"> </w:t>
      </w:r>
      <w:r w:rsidR="00385FCC">
        <w:rPr>
          <w:rFonts w:ascii="Times New Roman" w:hAnsi="Times New Roman" w:cs="Times New Roman"/>
          <w:szCs w:val="24"/>
        </w:rPr>
        <w:t>binding energy score</w:t>
      </w:r>
      <w:r w:rsidR="00385FCC" w:rsidRPr="00085D4C">
        <w:rPr>
          <w:rFonts w:ascii="Times New Roman" w:hAnsi="Times New Roman" w:cs="Times New Roman"/>
          <w:szCs w:val="24"/>
        </w:rPr>
        <w:t xml:space="preserve"> rather than as a </w:t>
      </w:r>
      <w:r w:rsidR="00385FCC">
        <w:rPr>
          <w:rFonts w:ascii="Times New Roman" w:hAnsi="Times New Roman" w:cs="Times New Roman"/>
          <w:szCs w:val="24"/>
        </w:rPr>
        <w:t>precise</w:t>
      </w:r>
      <w:r w:rsidR="00385FCC" w:rsidRPr="00085D4C">
        <w:rPr>
          <w:rFonts w:ascii="Times New Roman" w:hAnsi="Times New Roman" w:cs="Times New Roman"/>
          <w:szCs w:val="24"/>
        </w:rPr>
        <w:t xml:space="preserve"> </w:t>
      </w:r>
      <w:r w:rsidR="00385FCC">
        <w:rPr>
          <w:rFonts w:ascii="Times New Roman" w:hAnsi="Times New Roman" w:cs="Times New Roman"/>
          <w:szCs w:val="24"/>
        </w:rPr>
        <w:t>estimate</w:t>
      </w:r>
      <w:r w:rsidR="00385FCC" w:rsidRPr="00085D4C">
        <w:rPr>
          <w:rFonts w:ascii="Times New Roman" w:hAnsi="Times New Roman" w:cs="Times New Roman"/>
          <w:szCs w:val="24"/>
        </w:rPr>
        <w:t xml:space="preserve"> for </w:t>
      </w:r>
      <w:r w:rsidR="00385FCC">
        <w:rPr>
          <w:rFonts w:ascii="Times New Roman" w:hAnsi="Times New Roman" w:cs="Times New Roman"/>
          <w:szCs w:val="24"/>
        </w:rPr>
        <w:t>RT-DOR binding affinity</w:t>
      </w:r>
      <w:r w:rsidR="00385FCC" w:rsidRPr="00085D4C">
        <w:rPr>
          <w:rFonts w:ascii="Times New Roman" w:hAnsi="Times New Roman" w:cs="Times New Roman"/>
          <w:szCs w:val="24"/>
        </w:rPr>
        <w:t>.</w:t>
      </w:r>
    </w:p>
    <w:p w14:paraId="610ADC79" w14:textId="77777777" w:rsidR="00385FCC" w:rsidRDefault="00385FCC" w:rsidP="005F52FE">
      <w:pPr>
        <w:rPr>
          <w:rFonts w:ascii="Times New Roman" w:hAnsi="Times New Roman" w:cs="Times New Roman"/>
          <w:szCs w:val="24"/>
        </w:rPr>
      </w:pPr>
    </w:p>
    <w:p w14:paraId="17AD8690" w14:textId="6C3F4D23" w:rsidR="005F52FE" w:rsidRDefault="00385FCC" w:rsidP="005F52FE">
      <w:pPr>
        <w:rPr>
          <w:rFonts w:ascii="Times New Roman" w:hAnsi="Times New Roman" w:cs="Times New Roman"/>
          <w:szCs w:val="24"/>
        </w:rPr>
      </w:pPr>
      <w:r>
        <w:rPr>
          <w:rFonts w:ascii="Times New Roman" w:hAnsi="Times New Roman" w:cs="Times New Roman"/>
          <w:szCs w:val="24"/>
        </w:rPr>
        <w:t>Most of the energetic components</w:t>
      </w:r>
      <w:r w:rsidR="00AA56BC">
        <w:rPr>
          <w:rFonts w:ascii="Times New Roman" w:hAnsi="Times New Roman" w:cs="Times New Roman"/>
          <w:szCs w:val="24"/>
        </w:rPr>
        <w:t xml:space="preserve"> behaved similarly. However, significant loss of RT-DOR interaction, such as loss of the aromatic pi-stacking interaction between the </w:t>
      </w:r>
      <w:r w:rsidR="00C901E6">
        <w:rPr>
          <w:rFonts w:ascii="Times New Roman" w:hAnsi="Times New Roman" w:cs="Times New Roman"/>
          <w:szCs w:val="24"/>
        </w:rPr>
        <w:t xml:space="preserve">DOR </w:t>
      </w:r>
      <w:r w:rsidR="00AA56BC">
        <w:rPr>
          <w:rFonts w:ascii="Times New Roman" w:hAnsi="Times New Roman" w:cs="Times New Roman"/>
          <w:szCs w:val="24"/>
        </w:rPr>
        <w:t>chlorophenol ring and the RT Tyr188</w:t>
      </w:r>
      <w:r w:rsidR="00C901E6">
        <w:rPr>
          <w:rFonts w:ascii="Times New Roman" w:hAnsi="Times New Roman" w:cs="Times New Roman"/>
          <w:szCs w:val="24"/>
        </w:rPr>
        <w:t xml:space="preserve"> sidechain</w:t>
      </w:r>
      <w:r w:rsidR="00AA56BC">
        <w:rPr>
          <w:rFonts w:ascii="Times New Roman" w:hAnsi="Times New Roman" w:cs="Times New Roman"/>
          <w:szCs w:val="24"/>
        </w:rPr>
        <w:t xml:space="preserve"> in Y188L simulations led to a </w:t>
      </w:r>
      <w:r w:rsidR="001C441B">
        <w:rPr>
          <w:rFonts w:ascii="Times New Roman" w:hAnsi="Times New Roman" w:cs="Times New Roman"/>
          <w:szCs w:val="24"/>
        </w:rPr>
        <w:t xml:space="preserve">large </w:t>
      </w:r>
      <w:r w:rsidR="00896B84">
        <w:rPr>
          <w:rFonts w:ascii="Times New Roman" w:hAnsi="Times New Roman" w:cs="Times New Roman"/>
          <w:szCs w:val="24"/>
        </w:rPr>
        <w:t xml:space="preserve">WT-referenced </w:t>
      </w:r>
      <w:r w:rsidR="009A671A">
        <w:rPr>
          <w:rFonts w:ascii="Times New Roman" w:hAnsi="Times New Roman" w:cs="Times New Roman"/>
          <w:szCs w:val="24"/>
        </w:rPr>
        <w:t>total</w:t>
      </w:r>
      <w:r w:rsidR="00AA56BC">
        <w:rPr>
          <w:rFonts w:ascii="Times New Roman" w:hAnsi="Times New Roman" w:cs="Times New Roman"/>
          <w:szCs w:val="24"/>
        </w:rPr>
        <w:t xml:space="preserve"> energ</w:t>
      </w:r>
      <w:r w:rsidR="001C441B">
        <w:rPr>
          <w:rFonts w:ascii="Times New Roman" w:hAnsi="Times New Roman" w:cs="Times New Roman"/>
          <w:szCs w:val="24"/>
        </w:rPr>
        <w:t>y</w:t>
      </w:r>
      <w:r w:rsidR="00AA56BC">
        <w:rPr>
          <w:rFonts w:ascii="Times New Roman" w:hAnsi="Times New Roman" w:cs="Times New Roman"/>
          <w:szCs w:val="24"/>
        </w:rPr>
        <w:t xml:space="preserve"> </w:t>
      </w:r>
      <w:r w:rsidR="00896B84">
        <w:rPr>
          <w:rFonts w:ascii="Times New Roman" w:hAnsi="Times New Roman" w:cs="Times New Roman"/>
          <w:szCs w:val="24"/>
        </w:rPr>
        <w:t xml:space="preserve">standard deviation </w:t>
      </w:r>
      <w:r w:rsidR="001C441B">
        <w:rPr>
          <w:rFonts w:ascii="Times New Roman" w:hAnsi="Times New Roman" w:cs="Times New Roman"/>
          <w:szCs w:val="24"/>
        </w:rPr>
        <w:t>between replicates</w:t>
      </w:r>
      <w:r w:rsidR="00AA56BC">
        <w:rPr>
          <w:rFonts w:ascii="Times New Roman" w:hAnsi="Times New Roman" w:cs="Times New Roman"/>
          <w:szCs w:val="24"/>
        </w:rPr>
        <w:t xml:space="preserve"> of ~</w:t>
      </w:r>
      <w:r w:rsidR="00896B84">
        <w:rPr>
          <w:rFonts w:ascii="Times New Roman" w:hAnsi="Times New Roman" w:cs="Times New Roman"/>
          <w:szCs w:val="24"/>
        </w:rPr>
        <w:t>369</w:t>
      </w:r>
      <w:r w:rsidR="00AA56BC">
        <w:rPr>
          <w:rFonts w:ascii="Times New Roman" w:hAnsi="Times New Roman" w:cs="Times New Roman"/>
          <w:szCs w:val="24"/>
        </w:rPr>
        <w:t xml:space="preserve">kJ/mol, mainly driven by the van der Waals component. </w:t>
      </w:r>
      <w:r w:rsidR="00896B84">
        <w:rPr>
          <w:rFonts w:ascii="Times New Roman" w:hAnsi="Times New Roman" w:cs="Times New Roman"/>
          <w:szCs w:val="24"/>
        </w:rPr>
        <w:t xml:space="preserve">Moreover, </w:t>
      </w:r>
      <w:r w:rsidR="00896B84" w:rsidRPr="00896B84">
        <w:rPr>
          <w:rFonts w:ascii="Times New Roman" w:hAnsi="Times New Roman" w:cs="Times New Roman"/>
          <w:szCs w:val="24"/>
        </w:rPr>
        <w:t xml:space="preserve">V106A+F227L and V106I+F227C showed qualitatively different van der Waals shifts relative to WT </w:t>
      </w:r>
      <w:r w:rsidR="00896B84">
        <w:rPr>
          <w:rFonts w:ascii="Times New Roman" w:hAnsi="Times New Roman" w:cs="Times New Roman"/>
          <w:szCs w:val="24"/>
        </w:rPr>
        <w:t>(negative vs positive). Since van der Waals interactions capture residue packing efficiency, t</w:t>
      </w:r>
      <w:r w:rsidR="000C00CB">
        <w:rPr>
          <w:rFonts w:ascii="Times New Roman" w:hAnsi="Times New Roman" w:cs="Times New Roman"/>
          <w:szCs w:val="24"/>
        </w:rPr>
        <w:t>h</w:t>
      </w:r>
      <w:r w:rsidR="00896B84">
        <w:rPr>
          <w:rFonts w:ascii="Times New Roman" w:hAnsi="Times New Roman" w:cs="Times New Roman"/>
          <w:szCs w:val="24"/>
        </w:rPr>
        <w:t>ese</w:t>
      </w:r>
      <w:r w:rsidR="000C00CB">
        <w:rPr>
          <w:rFonts w:ascii="Times New Roman" w:hAnsi="Times New Roman" w:cs="Times New Roman"/>
          <w:szCs w:val="24"/>
        </w:rPr>
        <w:t xml:space="preserve"> observation</w:t>
      </w:r>
      <w:r w:rsidR="00896B84">
        <w:rPr>
          <w:rFonts w:ascii="Times New Roman" w:hAnsi="Times New Roman" w:cs="Times New Roman"/>
          <w:szCs w:val="24"/>
        </w:rPr>
        <w:t>s</w:t>
      </w:r>
      <w:r w:rsidR="005F52FE">
        <w:rPr>
          <w:rFonts w:ascii="Times New Roman" w:hAnsi="Times New Roman" w:cs="Times New Roman"/>
          <w:szCs w:val="24"/>
        </w:rPr>
        <w:t xml:space="preserve">, </w:t>
      </w:r>
      <w:r w:rsidR="000C00CB">
        <w:rPr>
          <w:rFonts w:ascii="Times New Roman" w:hAnsi="Times New Roman" w:cs="Times New Roman"/>
          <w:szCs w:val="24"/>
        </w:rPr>
        <w:t xml:space="preserve">along with </w:t>
      </w:r>
      <w:r w:rsidR="005F52FE">
        <w:rPr>
          <w:rFonts w:ascii="Times New Roman" w:hAnsi="Times New Roman" w:cs="Times New Roman"/>
          <w:szCs w:val="24"/>
        </w:rPr>
        <w:t>t</w:t>
      </w:r>
      <w:r w:rsidR="005F52FE" w:rsidRPr="005F52FE">
        <w:rPr>
          <w:rFonts w:ascii="Times New Roman" w:hAnsi="Times New Roman" w:cs="Times New Roman"/>
          <w:szCs w:val="24"/>
        </w:rPr>
        <w:t xml:space="preserve">he weak but statistically significant association observed </w:t>
      </w:r>
      <w:r w:rsidR="00896B84">
        <w:rPr>
          <w:rFonts w:ascii="Times New Roman" w:hAnsi="Times New Roman" w:cs="Times New Roman"/>
          <w:szCs w:val="24"/>
        </w:rPr>
        <w:t>between</w:t>
      </w:r>
      <w:r w:rsidR="005F52FE" w:rsidRPr="005F52FE">
        <w:rPr>
          <w:rFonts w:ascii="Times New Roman" w:hAnsi="Times New Roman" w:cs="Times New Roman"/>
          <w:szCs w:val="24"/>
        </w:rPr>
        <w:t xml:space="preserve"> the electrostatic component</w:t>
      </w:r>
      <w:r w:rsidR="00896B84">
        <w:rPr>
          <w:rFonts w:ascii="Times New Roman" w:hAnsi="Times New Roman" w:cs="Times New Roman"/>
          <w:szCs w:val="24"/>
        </w:rPr>
        <w:t xml:space="preserve"> and DOR fold-change values in the control set</w:t>
      </w:r>
      <w:r w:rsidR="000C00CB">
        <w:rPr>
          <w:rFonts w:ascii="Times New Roman" w:hAnsi="Times New Roman" w:cs="Times New Roman"/>
          <w:szCs w:val="24"/>
        </w:rPr>
        <w:t>,</w:t>
      </w:r>
      <w:r w:rsidR="005F52FE" w:rsidRPr="005F52FE">
        <w:rPr>
          <w:rFonts w:ascii="Times New Roman" w:hAnsi="Times New Roman" w:cs="Times New Roman"/>
          <w:szCs w:val="24"/>
        </w:rPr>
        <w:t xml:space="preserve"> suggest</w:t>
      </w:r>
      <w:r w:rsidR="005F52FE">
        <w:rPr>
          <w:rFonts w:ascii="Times New Roman" w:hAnsi="Times New Roman" w:cs="Times New Roman"/>
          <w:szCs w:val="24"/>
        </w:rPr>
        <w:t>ed</w:t>
      </w:r>
      <w:r w:rsidR="005F52FE" w:rsidRPr="005F52FE">
        <w:rPr>
          <w:rFonts w:ascii="Times New Roman" w:hAnsi="Times New Roman" w:cs="Times New Roman"/>
          <w:szCs w:val="24"/>
        </w:rPr>
        <w:t xml:space="preserve"> that local </w:t>
      </w:r>
      <w:r w:rsidR="001E4EB9">
        <w:rPr>
          <w:rFonts w:ascii="Times New Roman" w:hAnsi="Times New Roman" w:cs="Times New Roman"/>
          <w:szCs w:val="24"/>
        </w:rPr>
        <w:t xml:space="preserve">DOR contact network </w:t>
      </w:r>
      <w:r w:rsidR="005F52FE" w:rsidRPr="005F52FE">
        <w:rPr>
          <w:rFonts w:ascii="Times New Roman" w:hAnsi="Times New Roman" w:cs="Times New Roman"/>
          <w:szCs w:val="24"/>
        </w:rPr>
        <w:t xml:space="preserve">reorganization </w:t>
      </w:r>
      <w:r w:rsidR="005F52FE">
        <w:rPr>
          <w:rFonts w:ascii="Times New Roman" w:hAnsi="Times New Roman" w:cs="Times New Roman"/>
          <w:szCs w:val="24"/>
        </w:rPr>
        <w:t xml:space="preserve">in the NNIBP </w:t>
      </w:r>
      <w:r w:rsidR="00896B84">
        <w:rPr>
          <w:rFonts w:ascii="Times New Roman" w:hAnsi="Times New Roman" w:cs="Times New Roman"/>
          <w:szCs w:val="24"/>
        </w:rPr>
        <w:t>could</w:t>
      </w:r>
      <w:r w:rsidR="005F52FE">
        <w:rPr>
          <w:rFonts w:ascii="Times New Roman" w:hAnsi="Times New Roman" w:cs="Times New Roman"/>
          <w:szCs w:val="24"/>
        </w:rPr>
        <w:t xml:space="preserve"> be more informative.</w:t>
      </w:r>
    </w:p>
    <w:p w14:paraId="5FADE4AB" w14:textId="77777777" w:rsidR="005F52FE" w:rsidRPr="005F52FE" w:rsidRDefault="005F52FE" w:rsidP="005F52FE">
      <w:pPr>
        <w:rPr>
          <w:rFonts w:ascii="Times New Roman" w:hAnsi="Times New Roman" w:cs="Times New Roman"/>
          <w:szCs w:val="24"/>
        </w:rPr>
      </w:pPr>
    </w:p>
    <w:p w14:paraId="77100572" w14:textId="1705B165" w:rsidR="005F52FE" w:rsidRDefault="005F52FE" w:rsidP="005F52FE">
      <w:pPr>
        <w:rPr>
          <w:rFonts w:ascii="Times New Roman" w:hAnsi="Times New Roman" w:cs="Times New Roman"/>
          <w:szCs w:val="24"/>
        </w:rPr>
      </w:pPr>
      <w:r>
        <w:rPr>
          <w:rFonts w:ascii="Times New Roman" w:hAnsi="Times New Roman" w:cs="Times New Roman"/>
          <w:szCs w:val="24"/>
        </w:rPr>
        <w:t>Consequently, s</w:t>
      </w:r>
      <w:r w:rsidRPr="005F52FE">
        <w:rPr>
          <w:rFonts w:ascii="Times New Roman" w:hAnsi="Times New Roman" w:cs="Times New Roman"/>
          <w:szCs w:val="24"/>
        </w:rPr>
        <w:t xml:space="preserve">ystematic residue-level contact analysis revealed that different DOR-associated genotypes preferentially perturb different local regions of the pocket. V106A-containing genotypes redistributed DOR toward the </w:t>
      </w:r>
      <w:r>
        <w:rPr>
          <w:rFonts w:ascii="Times New Roman" w:hAnsi="Times New Roman" w:cs="Times New Roman"/>
          <w:szCs w:val="24"/>
        </w:rPr>
        <w:t>103-108</w:t>
      </w:r>
      <w:r w:rsidRPr="005F52FE">
        <w:rPr>
          <w:rFonts w:ascii="Times New Roman" w:hAnsi="Times New Roman" w:cs="Times New Roman"/>
          <w:szCs w:val="24"/>
        </w:rPr>
        <w:t xml:space="preserve"> </w:t>
      </w:r>
      <w:r>
        <w:rPr>
          <w:rFonts w:ascii="Times New Roman" w:hAnsi="Times New Roman" w:cs="Times New Roman"/>
          <w:szCs w:val="24"/>
        </w:rPr>
        <w:t>loop</w:t>
      </w:r>
      <w:r w:rsidRPr="005F52FE">
        <w:rPr>
          <w:rFonts w:ascii="Times New Roman" w:hAnsi="Times New Roman" w:cs="Times New Roman"/>
          <w:szCs w:val="24"/>
        </w:rPr>
        <w:t xml:space="preserve"> and favored compensatory proximity to Lys104 and Ser105. V106I+F227C achieved similarly high resistance through a different local route centered more strongly on the residue</w:t>
      </w:r>
      <w:r>
        <w:rPr>
          <w:rFonts w:ascii="Times New Roman" w:hAnsi="Times New Roman" w:cs="Times New Roman"/>
          <w:szCs w:val="24"/>
        </w:rPr>
        <w:t xml:space="preserve"> </w:t>
      </w:r>
      <w:r w:rsidRPr="005F52FE">
        <w:rPr>
          <w:rFonts w:ascii="Times New Roman" w:hAnsi="Times New Roman" w:cs="Times New Roman"/>
          <w:szCs w:val="24"/>
        </w:rPr>
        <w:t xml:space="preserve">227 region. G190E uniquely perturbed the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5F52FE">
        <w:rPr>
          <w:rFonts w:ascii="Times New Roman" w:hAnsi="Times New Roman" w:cs="Times New Roman"/>
          <w:szCs w:val="24"/>
        </w:rPr>
        <w:t xml:space="preserve"> hairpin and weakened the Val179 side of the pocket. These observations support a model in which DOR resistance emerges through multiple mechanistic classes rather than through a single generic reduction in binding strength.</w:t>
      </w:r>
    </w:p>
    <w:p w14:paraId="466E17D1" w14:textId="77777777" w:rsidR="005F52FE" w:rsidRPr="005F52FE" w:rsidRDefault="005F52FE" w:rsidP="005F52FE">
      <w:pPr>
        <w:rPr>
          <w:rFonts w:ascii="Times New Roman" w:hAnsi="Times New Roman" w:cs="Times New Roman"/>
          <w:szCs w:val="24"/>
        </w:rPr>
      </w:pPr>
    </w:p>
    <w:p w14:paraId="3CADDD07" w14:textId="28C434AB" w:rsidR="005F52FE" w:rsidRDefault="005F52FE" w:rsidP="005F52FE">
      <w:pPr>
        <w:rPr>
          <w:rFonts w:ascii="Times New Roman" w:hAnsi="Times New Roman" w:cs="Times New Roman"/>
          <w:szCs w:val="24"/>
        </w:rPr>
      </w:pPr>
      <w:r w:rsidRPr="005F52FE">
        <w:rPr>
          <w:rFonts w:ascii="Times New Roman" w:hAnsi="Times New Roman" w:cs="Times New Roman"/>
          <w:szCs w:val="24"/>
        </w:rPr>
        <w:t>This mechanistic diversity is especially important for interpreting epistasis. The V106A-containing double mutants retained the same local signature already seen in V106A alone, consistent with the idea that V106A acts as a priming mutation that redistributes the DOR pose, after which upper-pocket substitutions exacerbate the resulting vulnerability. By contrast, V106I+F227C shows that a high-resistance phenotype can also emerge without that same structural route. Similar fold-change values can therefore conceal distinct local mechanisms.</w:t>
      </w:r>
    </w:p>
    <w:p w14:paraId="058551A2" w14:textId="77777777" w:rsidR="005F52FE" w:rsidRPr="005F52FE" w:rsidRDefault="005F52FE" w:rsidP="005F52FE">
      <w:pPr>
        <w:rPr>
          <w:rFonts w:ascii="Times New Roman" w:hAnsi="Times New Roman" w:cs="Times New Roman"/>
          <w:szCs w:val="24"/>
        </w:rPr>
      </w:pPr>
    </w:p>
    <w:p w14:paraId="75051DB2" w14:textId="7008EF0C" w:rsidR="005F52FE" w:rsidRDefault="005F52FE" w:rsidP="005F52FE">
      <w:pPr>
        <w:rPr>
          <w:rFonts w:ascii="Times New Roman" w:hAnsi="Times New Roman" w:cs="Times New Roman"/>
          <w:szCs w:val="24"/>
        </w:rPr>
      </w:pPr>
      <w:r w:rsidRPr="005F52FE">
        <w:rPr>
          <w:rFonts w:ascii="Times New Roman" w:hAnsi="Times New Roman" w:cs="Times New Roman"/>
          <w:szCs w:val="24"/>
        </w:rPr>
        <w:t xml:space="preserve">The logistic regression analysis supports this interpretation. The fact that a </w:t>
      </w:r>
      <w:r w:rsidR="00780AC7">
        <w:rPr>
          <w:rFonts w:ascii="Times New Roman" w:hAnsi="Times New Roman" w:cs="Times New Roman"/>
          <w:szCs w:val="24"/>
        </w:rPr>
        <w:t>four</w:t>
      </w:r>
      <w:r w:rsidRPr="005F52FE">
        <w:rPr>
          <w:rFonts w:ascii="Times New Roman" w:hAnsi="Times New Roman" w:cs="Times New Roman"/>
          <w:szCs w:val="24"/>
        </w:rPr>
        <w:t xml:space="preserve">-feature model built from Ser105-DOR distance, Tyr188-DOR distance, </w:t>
      </w:r>
      <w:r w:rsidR="00B14659">
        <w:rPr>
          <w:rFonts w:ascii="Times New Roman" w:hAnsi="Times New Roman" w:cs="Times New Roman"/>
          <w:szCs w:val="24"/>
        </w:rPr>
        <w:t xml:space="preserve">and </w:t>
      </w:r>
      <w:r w:rsidRPr="005F52FE">
        <w:rPr>
          <w:rFonts w:ascii="Times New Roman" w:hAnsi="Times New Roman" w:cs="Times New Roman"/>
          <w:szCs w:val="24"/>
        </w:rPr>
        <w:t>ligand pose RMSD</w:t>
      </w:r>
      <w:r w:rsidR="00B14659">
        <w:rPr>
          <w:rFonts w:ascii="Times New Roman" w:hAnsi="Times New Roman" w:cs="Times New Roman"/>
          <w:szCs w:val="24"/>
        </w:rPr>
        <w:t xml:space="preserve"> </w:t>
      </w:r>
      <w:r w:rsidRPr="005F52FE">
        <w:rPr>
          <w:rFonts w:ascii="Times New Roman" w:hAnsi="Times New Roman" w:cs="Times New Roman"/>
          <w:szCs w:val="24"/>
        </w:rPr>
        <w:t xml:space="preserve">could summarize the low-versus-high resistance control separation suggests that the dominant structural signals in this system are both local and low-dimensional. At the same time, the mixed performance in the </w:t>
      </w:r>
      <w:r w:rsidR="00B14659">
        <w:rPr>
          <w:rFonts w:ascii="Times New Roman" w:hAnsi="Times New Roman" w:cs="Times New Roman"/>
          <w:szCs w:val="24"/>
        </w:rPr>
        <w:t xml:space="preserve">uncertain phenotype </w:t>
      </w:r>
      <w:r w:rsidRPr="005F52FE">
        <w:rPr>
          <w:rFonts w:ascii="Times New Roman" w:hAnsi="Times New Roman" w:cs="Times New Roman"/>
          <w:szCs w:val="24"/>
        </w:rPr>
        <w:t>data set emphasizes that such a model is currently best understood as an interpretable structural summary rather than as a deployable prediction tool.</w:t>
      </w:r>
    </w:p>
    <w:p w14:paraId="4295FACF" w14:textId="77777777" w:rsidR="005F52FE" w:rsidRPr="005F52FE" w:rsidRDefault="005F52FE" w:rsidP="005F52FE">
      <w:pPr>
        <w:rPr>
          <w:rFonts w:ascii="Times New Roman" w:hAnsi="Times New Roman" w:cs="Times New Roman"/>
          <w:szCs w:val="24"/>
        </w:rPr>
      </w:pPr>
    </w:p>
    <w:p w14:paraId="605132CB" w14:textId="28D50A3D" w:rsidR="005F52FE" w:rsidRDefault="005F52FE" w:rsidP="005F52FE">
      <w:pPr>
        <w:rPr>
          <w:rFonts w:ascii="Times New Roman" w:hAnsi="Times New Roman" w:cs="Times New Roman"/>
          <w:szCs w:val="24"/>
        </w:rPr>
      </w:pPr>
      <w:r w:rsidRPr="005F52FE">
        <w:rPr>
          <w:rFonts w:ascii="Times New Roman" w:hAnsi="Times New Roman" w:cs="Times New Roman"/>
          <w:szCs w:val="24"/>
        </w:rPr>
        <w:t>Several limitations should frame the interpretation of this work. First, the simulations were short relative to the conformational and kinetic timescales relevant to RT-</w:t>
      </w:r>
      <w:r>
        <w:rPr>
          <w:rFonts w:ascii="Times New Roman" w:hAnsi="Times New Roman" w:cs="Times New Roman"/>
          <w:szCs w:val="24"/>
        </w:rPr>
        <w:t>DOR</w:t>
      </w:r>
      <w:r w:rsidRPr="005F52FE">
        <w:rPr>
          <w:rFonts w:ascii="Times New Roman" w:hAnsi="Times New Roman" w:cs="Times New Roman"/>
          <w:szCs w:val="24"/>
        </w:rPr>
        <w:t xml:space="preserve"> binding, so </w:t>
      </w:r>
      <w:r>
        <w:rPr>
          <w:rFonts w:ascii="Times New Roman" w:hAnsi="Times New Roman" w:cs="Times New Roman"/>
          <w:szCs w:val="24"/>
        </w:rPr>
        <w:t>there are likely</w:t>
      </w:r>
      <w:r w:rsidRPr="005F52FE">
        <w:rPr>
          <w:rFonts w:ascii="Times New Roman" w:hAnsi="Times New Roman" w:cs="Times New Roman"/>
          <w:szCs w:val="24"/>
        </w:rPr>
        <w:t xml:space="preserve"> mechanistically important events </w:t>
      </w:r>
      <w:r>
        <w:rPr>
          <w:rFonts w:ascii="Times New Roman" w:hAnsi="Times New Roman" w:cs="Times New Roman"/>
          <w:szCs w:val="24"/>
        </w:rPr>
        <w:t xml:space="preserve">that </w:t>
      </w:r>
      <w:r w:rsidRPr="005F52FE">
        <w:rPr>
          <w:rFonts w:ascii="Times New Roman" w:hAnsi="Times New Roman" w:cs="Times New Roman"/>
          <w:szCs w:val="24"/>
        </w:rPr>
        <w:t xml:space="preserve">remain unsampled. Second, the </w:t>
      </w:r>
      <w:r w:rsidR="00B14659">
        <w:rPr>
          <w:rFonts w:ascii="Times New Roman" w:hAnsi="Times New Roman" w:cs="Times New Roman"/>
          <w:szCs w:val="24"/>
        </w:rPr>
        <w:t>logistic regression</w:t>
      </w:r>
      <w:r w:rsidRPr="005F52FE">
        <w:rPr>
          <w:rFonts w:ascii="Times New Roman" w:hAnsi="Times New Roman" w:cs="Times New Roman"/>
          <w:szCs w:val="24"/>
        </w:rPr>
        <w:t xml:space="preserve"> </w:t>
      </w:r>
      <w:r w:rsidRPr="005F52FE">
        <w:rPr>
          <w:rFonts w:ascii="Times New Roman" w:hAnsi="Times New Roman" w:cs="Times New Roman"/>
          <w:szCs w:val="24"/>
        </w:rPr>
        <w:lastRenderedPageBreak/>
        <w:t>classifier is constrained by small sample size and by the difficulty of drawing hard class boundaries in a sparse phenotype landscape.</w:t>
      </w:r>
    </w:p>
    <w:p w14:paraId="547BD018" w14:textId="77777777" w:rsidR="005F52FE" w:rsidRPr="005F52FE" w:rsidRDefault="005F52FE" w:rsidP="005F52FE">
      <w:pPr>
        <w:rPr>
          <w:rFonts w:ascii="Times New Roman" w:hAnsi="Times New Roman" w:cs="Times New Roman"/>
          <w:szCs w:val="24"/>
        </w:rPr>
      </w:pPr>
    </w:p>
    <w:p w14:paraId="674C4E0B" w14:textId="53CDE2AF" w:rsidR="00BB3608" w:rsidRDefault="005F52FE" w:rsidP="005F52FE">
      <w:pPr>
        <w:rPr>
          <w:rFonts w:ascii="Times New Roman" w:hAnsi="Times New Roman" w:cs="Times New Roman"/>
          <w:szCs w:val="24"/>
        </w:rPr>
      </w:pPr>
      <w:r w:rsidRPr="005F52FE">
        <w:rPr>
          <w:rFonts w:ascii="Times New Roman" w:hAnsi="Times New Roman" w:cs="Times New Roman"/>
          <w:szCs w:val="24"/>
        </w:rPr>
        <w:t xml:space="preserve">Despite these limitations, we think the central contribution of this study is clear. Short explicit-solvent MD simulations do not replace phenotypic susceptibility experiments, but they do provide a practical and mechanistically interpretable framework for understanding how pre-existing NNRTI mutations might alter DOR binding in RT. That framework is useful in two ways. First, it can help estimate the risk associated with DOR use in people living with HIV whose viruses harbor pre-existing NNRTI mutations but lack extensive direct DOR phenotype data. Second, it identifies concrete structural features that medicinal chemists can target when designing future NNRTIs with improved resilience against Tyr188-side, V106-side, upper-pocket, or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5F52FE">
        <w:rPr>
          <w:rFonts w:ascii="Times New Roman" w:hAnsi="Times New Roman" w:cs="Times New Roman"/>
          <w:szCs w:val="24"/>
        </w:rPr>
        <w:t xml:space="preserve"> hairpin-mediated resistance pathways.</w:t>
      </w:r>
    </w:p>
    <w:p w14:paraId="6CC17687" w14:textId="77777777" w:rsidR="007B0373" w:rsidRDefault="007B0373" w:rsidP="00D27076">
      <w:pPr>
        <w:rPr>
          <w:rFonts w:ascii="Times New Roman" w:hAnsi="Times New Roman" w:cs="Times New Roman"/>
          <w:szCs w:val="24"/>
        </w:rPr>
      </w:pPr>
    </w:p>
    <w:p w14:paraId="0DA0AD89" w14:textId="237FF2FB" w:rsidR="00763B1D" w:rsidRPr="00763B1D" w:rsidRDefault="00763B1D" w:rsidP="00D27076">
      <w:pPr>
        <w:rPr>
          <w:rFonts w:ascii="Times New Roman" w:hAnsi="Times New Roman" w:cs="Times New Roman"/>
          <w:b/>
          <w:bCs/>
          <w:sz w:val="28"/>
          <w:szCs w:val="28"/>
        </w:rPr>
      </w:pPr>
      <w:r>
        <w:rPr>
          <w:rFonts w:ascii="Times New Roman" w:hAnsi="Times New Roman" w:cs="Times New Roman"/>
          <w:b/>
          <w:bCs/>
          <w:sz w:val="28"/>
          <w:szCs w:val="28"/>
        </w:rPr>
        <w:t>References</w:t>
      </w:r>
    </w:p>
    <w:p w14:paraId="49F3F042" w14:textId="77777777" w:rsidR="00763B1D" w:rsidRDefault="00763B1D" w:rsidP="00D27076">
      <w:pPr>
        <w:rPr>
          <w:rFonts w:ascii="Times New Roman" w:hAnsi="Times New Roman" w:cs="Times New Roman"/>
          <w:szCs w:val="24"/>
        </w:rPr>
      </w:pPr>
    </w:p>
    <w:p w14:paraId="6787982B" w14:textId="77777777" w:rsidR="00153DE6" w:rsidRPr="00153DE6" w:rsidRDefault="00763B1D" w:rsidP="00153DE6">
      <w:pPr>
        <w:pStyle w:val="Bibliography"/>
        <w:rPr>
          <w:rFonts w:ascii="Times New Roman" w:eastAsiaTheme="minorHAnsi" w:hAnsi="Times New Roman" w:cs="Times New Roman"/>
        </w:rPr>
      </w:pPr>
      <w:r>
        <w:rPr>
          <w:rFonts w:cs="Times New Roman"/>
        </w:rPr>
        <w:fldChar w:fldCharType="begin"/>
      </w:r>
      <w:r w:rsidR="005108E2">
        <w:rPr>
          <w:rFonts w:cs="Times New Roman"/>
        </w:rPr>
        <w:instrText xml:space="preserve"> ADDIN ZOTERO_BIBL {"uncited":[],"omitted":[],"custom":[]} CSL_BIBLIOGRAPHY </w:instrText>
      </w:r>
      <w:r>
        <w:rPr>
          <w:rFonts w:cs="Times New Roman"/>
        </w:rPr>
        <w:fldChar w:fldCharType="separate"/>
      </w:r>
      <w:r w:rsidR="00153DE6" w:rsidRPr="00153DE6">
        <w:rPr>
          <w:rFonts w:ascii="Times New Roman" w:eastAsiaTheme="minorHAnsi" w:hAnsi="Times New Roman" w:cs="Times New Roman"/>
        </w:rPr>
        <w:t>1.</w:t>
      </w:r>
      <w:r w:rsidR="00153DE6" w:rsidRPr="00153DE6">
        <w:rPr>
          <w:rFonts w:ascii="Times New Roman" w:eastAsiaTheme="minorHAnsi" w:hAnsi="Times New Roman" w:cs="Times New Roman"/>
        </w:rPr>
        <w:tab/>
        <w:t xml:space="preserve">Gandhi, R. T. Doravirine Approved for Treatment of HIV Infection. </w:t>
      </w:r>
      <w:r w:rsidR="00153DE6" w:rsidRPr="00153DE6">
        <w:rPr>
          <w:rFonts w:ascii="Times New Roman" w:eastAsiaTheme="minorHAnsi" w:hAnsi="Times New Roman" w:cs="Times New Roman"/>
          <w:i/>
          <w:iCs/>
        </w:rPr>
        <w:t>NEJM Clinician</w:t>
      </w:r>
      <w:r w:rsidR="00153DE6" w:rsidRPr="00153DE6">
        <w:rPr>
          <w:rFonts w:ascii="Times New Roman" w:eastAsiaTheme="minorHAnsi" w:hAnsi="Times New Roman" w:cs="Times New Roman"/>
        </w:rPr>
        <w:t xml:space="preserve"> https://clinician.nejm.org/doravirine-approved-treatment-hiv-infection-nejm-jw.NA47512 (2018).</w:t>
      </w:r>
    </w:p>
    <w:p w14:paraId="57E587E1"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2.</w:t>
      </w:r>
      <w:r w:rsidRPr="00153DE6">
        <w:rPr>
          <w:rFonts w:ascii="Times New Roman" w:eastAsiaTheme="minorHAnsi" w:hAnsi="Times New Roman" w:cs="Times New Roman"/>
        </w:rPr>
        <w:tab/>
        <w:t xml:space="preserve">Molina, J.-M.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Doravirine versus ritonavir-boosted darunavir in antiretroviral-naive adults with HIV-1 (DRIVE-FORWARD): 48-week results of a randomised, double-blind, phase 3, non-inferiority trial. </w:t>
      </w:r>
      <w:r w:rsidRPr="00153DE6">
        <w:rPr>
          <w:rFonts w:ascii="Times New Roman" w:eastAsiaTheme="minorHAnsi" w:hAnsi="Times New Roman" w:cs="Times New Roman"/>
          <w:i/>
          <w:iCs/>
        </w:rPr>
        <w:t>The Lancet HIV</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5</w:t>
      </w:r>
      <w:r w:rsidRPr="00153DE6">
        <w:rPr>
          <w:rFonts w:ascii="Times New Roman" w:eastAsiaTheme="minorHAnsi" w:hAnsi="Times New Roman" w:cs="Times New Roman"/>
        </w:rPr>
        <w:t>, e211–e220 (2018).</w:t>
      </w:r>
    </w:p>
    <w:p w14:paraId="1B9AAFE9"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3.</w:t>
      </w:r>
      <w:r w:rsidRPr="00153DE6">
        <w:rPr>
          <w:rFonts w:ascii="Times New Roman" w:eastAsiaTheme="minorHAnsi" w:hAnsi="Times New Roman" w:cs="Times New Roman"/>
        </w:rPr>
        <w:tab/>
        <w:t xml:space="preserve">Orkin, C.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Doravirine/Lamivudine/Tenofovir Disoproxil Fumarate is Non-inferior to Efavirenz/Emtricitabine/Tenofovir Disoproxil Fumarate in Treatment-naive Adults With Human Immunodeficiency Virus–1 Infection: Week 48 Results of the DRIVE-AHEAD Trial. </w:t>
      </w:r>
      <w:r w:rsidRPr="00153DE6">
        <w:rPr>
          <w:rFonts w:ascii="Times New Roman" w:eastAsiaTheme="minorHAnsi" w:hAnsi="Times New Roman" w:cs="Times New Roman"/>
          <w:i/>
          <w:iCs/>
        </w:rPr>
        <w:t>Clin Infect Dis</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68</w:t>
      </w:r>
      <w:r w:rsidRPr="00153DE6">
        <w:rPr>
          <w:rFonts w:ascii="Times New Roman" w:eastAsiaTheme="minorHAnsi" w:hAnsi="Times New Roman" w:cs="Times New Roman"/>
        </w:rPr>
        <w:t>, 535–544 (2019).</w:t>
      </w:r>
    </w:p>
    <w:p w14:paraId="185B4A13"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4.</w:t>
      </w:r>
      <w:r w:rsidRPr="00153DE6">
        <w:rPr>
          <w:rFonts w:ascii="Times New Roman" w:eastAsiaTheme="minorHAnsi" w:hAnsi="Times New Roman" w:cs="Times New Roman"/>
        </w:rPr>
        <w:tab/>
        <w:t xml:space="preserve">Molina, J.-M.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Doravirine versus ritonavir-boosted darunavir in antiretroviral-naive adults with HIV-1 (DRIVE-FORWARD): 96-week results of a randomised, double-blind, non-inferiority, phase 3 trial. </w:t>
      </w:r>
      <w:r w:rsidRPr="00153DE6">
        <w:rPr>
          <w:rFonts w:ascii="Times New Roman" w:eastAsiaTheme="minorHAnsi" w:hAnsi="Times New Roman" w:cs="Times New Roman"/>
          <w:i/>
          <w:iCs/>
        </w:rPr>
        <w:t>The Lancet HIV</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7</w:t>
      </w:r>
      <w:r w:rsidRPr="00153DE6">
        <w:rPr>
          <w:rFonts w:ascii="Times New Roman" w:eastAsiaTheme="minorHAnsi" w:hAnsi="Times New Roman" w:cs="Times New Roman"/>
        </w:rPr>
        <w:t>, e16–e26 (2020).</w:t>
      </w:r>
    </w:p>
    <w:p w14:paraId="013578DF"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5.</w:t>
      </w:r>
      <w:r w:rsidRPr="00153DE6">
        <w:rPr>
          <w:rFonts w:ascii="Times New Roman" w:eastAsiaTheme="minorHAnsi" w:hAnsi="Times New Roman" w:cs="Times New Roman"/>
        </w:rPr>
        <w:tab/>
        <w:t xml:space="preserve">Orkin, C.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Doravirine/Lamivudine/Tenofovir Disoproxil Fumarate (TDF) Versus Efavirenz/Emtricitabine/TDF in Treatment-naive Adults With Human Immunodeficiency </w:t>
      </w:r>
      <w:r w:rsidRPr="00153DE6">
        <w:rPr>
          <w:rFonts w:ascii="Times New Roman" w:eastAsiaTheme="minorHAnsi" w:hAnsi="Times New Roman" w:cs="Times New Roman"/>
        </w:rPr>
        <w:lastRenderedPageBreak/>
        <w:t xml:space="preserve">Virus Type 1 Infection: Week 96 Results of the Randomized, Double-blind, Phase 3 DRIVE-AHEAD Noninferiority Trial. </w:t>
      </w:r>
      <w:r w:rsidRPr="00153DE6">
        <w:rPr>
          <w:rFonts w:ascii="Times New Roman" w:eastAsiaTheme="minorHAnsi" w:hAnsi="Times New Roman" w:cs="Times New Roman"/>
          <w:i/>
          <w:iCs/>
        </w:rPr>
        <w:t>Clin Infect Dis</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73</w:t>
      </w:r>
      <w:r w:rsidRPr="00153DE6">
        <w:rPr>
          <w:rFonts w:ascii="Times New Roman" w:eastAsiaTheme="minorHAnsi" w:hAnsi="Times New Roman" w:cs="Times New Roman"/>
        </w:rPr>
        <w:t>, 33–42 (2021).</w:t>
      </w:r>
    </w:p>
    <w:p w14:paraId="7B6ABECD"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6.</w:t>
      </w:r>
      <w:r w:rsidRPr="00153DE6">
        <w:rPr>
          <w:rFonts w:ascii="Times New Roman" w:eastAsiaTheme="minorHAnsi" w:hAnsi="Times New Roman" w:cs="Times New Roman"/>
        </w:rPr>
        <w:tab/>
        <w:t xml:space="preserve">Orkin, C.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Safety and efficacy of doravirine as first-line therapy in adults with HIV-1: week 192 results from the open-label extensions of the DRIVE-FORWARD and DRIVE-AHEAD phase 3 trials. </w:t>
      </w:r>
      <w:r w:rsidRPr="00153DE6">
        <w:rPr>
          <w:rFonts w:ascii="Times New Roman" w:eastAsiaTheme="minorHAnsi" w:hAnsi="Times New Roman" w:cs="Times New Roman"/>
          <w:i/>
          <w:iCs/>
        </w:rPr>
        <w:t>The Lancet HIV</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11</w:t>
      </w:r>
      <w:r w:rsidRPr="00153DE6">
        <w:rPr>
          <w:rFonts w:ascii="Times New Roman" w:eastAsiaTheme="minorHAnsi" w:hAnsi="Times New Roman" w:cs="Times New Roman"/>
        </w:rPr>
        <w:t>, e75–e85 (2024).</w:t>
      </w:r>
    </w:p>
    <w:p w14:paraId="4926BCBA"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7.</w:t>
      </w:r>
      <w:r w:rsidRPr="00153DE6">
        <w:rPr>
          <w:rFonts w:ascii="Times New Roman" w:eastAsiaTheme="minorHAnsi" w:hAnsi="Times New Roman" w:cs="Times New Roman"/>
        </w:rPr>
        <w:tab/>
        <w:t xml:space="preserve">Mejías-Trueba, M.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Long-term effectiveness, safety, and tolerability of doravirine in antiretroviral-experienced people with HIV in real life. </w:t>
      </w:r>
      <w:r w:rsidRPr="00153DE6">
        <w:rPr>
          <w:rFonts w:ascii="Times New Roman" w:eastAsiaTheme="minorHAnsi" w:hAnsi="Times New Roman" w:cs="Times New Roman"/>
          <w:i/>
          <w:iCs/>
        </w:rPr>
        <w:t>Microbiology Spectrum</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12</w:t>
      </w:r>
      <w:r w:rsidRPr="00153DE6">
        <w:rPr>
          <w:rFonts w:ascii="Times New Roman" w:eastAsiaTheme="minorHAnsi" w:hAnsi="Times New Roman" w:cs="Times New Roman"/>
        </w:rPr>
        <w:t>, e00654-24 (2024).</w:t>
      </w:r>
    </w:p>
    <w:p w14:paraId="6E231358"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8.</w:t>
      </w:r>
      <w:r w:rsidRPr="00153DE6">
        <w:rPr>
          <w:rFonts w:ascii="Times New Roman" w:eastAsiaTheme="minorHAnsi" w:hAnsi="Times New Roman" w:cs="Times New Roman"/>
        </w:rPr>
        <w:tab/>
        <w:t xml:space="preserve">Calza, L.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Doravirine/lamivudine/tenofovir disoproxil fumarate in virologically suppressed people living with HIV: A real-life experience. </w:t>
      </w:r>
      <w:r w:rsidRPr="00153DE6">
        <w:rPr>
          <w:rFonts w:ascii="Times New Roman" w:eastAsiaTheme="minorHAnsi" w:hAnsi="Times New Roman" w:cs="Times New Roman"/>
          <w:i/>
          <w:iCs/>
        </w:rPr>
        <w:t>Int J STD AIDS</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34</w:t>
      </w:r>
      <w:r w:rsidRPr="00153DE6">
        <w:rPr>
          <w:rFonts w:ascii="Times New Roman" w:eastAsiaTheme="minorHAnsi" w:hAnsi="Times New Roman" w:cs="Times New Roman"/>
        </w:rPr>
        <w:t>, 1018–1023 (2023).</w:t>
      </w:r>
    </w:p>
    <w:p w14:paraId="52AA06C3"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9.</w:t>
      </w:r>
      <w:r w:rsidRPr="00153DE6">
        <w:rPr>
          <w:rFonts w:ascii="Times New Roman" w:eastAsiaTheme="minorHAnsi" w:hAnsi="Times New Roman" w:cs="Times New Roman"/>
        </w:rPr>
        <w:tab/>
        <w:t xml:space="preserve">Yang, H., Li, M., Liu, Q., Zeng, Q. &amp; Yuan, J. The efficacy and safety of doravirine/lamivudine/tenofovir disoproxil fumarate in treatment-naïve and treatment-experienced patients with HIV. </w:t>
      </w:r>
      <w:r w:rsidRPr="00153DE6">
        <w:rPr>
          <w:rFonts w:ascii="Times New Roman" w:eastAsiaTheme="minorHAnsi" w:hAnsi="Times New Roman" w:cs="Times New Roman"/>
          <w:i/>
          <w:iCs/>
        </w:rPr>
        <w:t>Annals of Medicine</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57</w:t>
      </w:r>
      <w:r w:rsidRPr="00153DE6">
        <w:rPr>
          <w:rFonts w:ascii="Times New Roman" w:eastAsiaTheme="minorHAnsi" w:hAnsi="Times New Roman" w:cs="Times New Roman"/>
        </w:rPr>
        <w:t>, 2564286 (2025).</w:t>
      </w:r>
    </w:p>
    <w:p w14:paraId="5FD240FA"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10.</w:t>
      </w:r>
      <w:r w:rsidRPr="00153DE6">
        <w:rPr>
          <w:rFonts w:ascii="Times New Roman" w:eastAsiaTheme="minorHAnsi" w:hAnsi="Times New Roman" w:cs="Times New Roman"/>
        </w:rPr>
        <w:tab/>
        <w:t xml:space="preserve">Orkin, C.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Switch to fixed-dose doravirine (100 mg) and islatravir (0·25 mg) once daily in virologically suppressed adults with HIV-1 on oral antiretroviral therapy: 48-week results of a phase 3, multicentre, randomised, open-label, non-inferiority trial. </w:t>
      </w:r>
      <w:r w:rsidRPr="00153DE6">
        <w:rPr>
          <w:rFonts w:ascii="Times New Roman" w:eastAsiaTheme="minorHAnsi" w:hAnsi="Times New Roman" w:cs="Times New Roman"/>
          <w:i/>
          <w:iCs/>
        </w:rPr>
        <w:t>The Lancet</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407</w:t>
      </w:r>
      <w:r w:rsidRPr="00153DE6">
        <w:rPr>
          <w:rFonts w:ascii="Times New Roman" w:eastAsiaTheme="minorHAnsi" w:hAnsi="Times New Roman" w:cs="Times New Roman"/>
        </w:rPr>
        <w:t>, 599–610 (2026).</w:t>
      </w:r>
    </w:p>
    <w:p w14:paraId="2013A45E"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11.</w:t>
      </w:r>
      <w:r w:rsidRPr="00153DE6">
        <w:rPr>
          <w:rFonts w:ascii="Times New Roman" w:eastAsiaTheme="minorHAnsi" w:hAnsi="Times New Roman" w:cs="Times New Roman"/>
        </w:rPr>
        <w:tab/>
        <w:t xml:space="preserve">Moyle, G. The Emerging Roles of Non-Nucleoside Reverse Transcriptase Inhibitors in Antiretroviral Therapy. </w:t>
      </w:r>
      <w:r w:rsidRPr="00153DE6">
        <w:rPr>
          <w:rFonts w:ascii="Times New Roman" w:eastAsiaTheme="minorHAnsi" w:hAnsi="Times New Roman" w:cs="Times New Roman"/>
          <w:i/>
          <w:iCs/>
        </w:rPr>
        <w:t>Drugs</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61</w:t>
      </w:r>
      <w:r w:rsidRPr="00153DE6">
        <w:rPr>
          <w:rFonts w:ascii="Times New Roman" w:eastAsiaTheme="minorHAnsi" w:hAnsi="Times New Roman" w:cs="Times New Roman"/>
        </w:rPr>
        <w:t>, 19–26 (2001).</w:t>
      </w:r>
    </w:p>
    <w:p w14:paraId="2C95730E"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12.</w:t>
      </w:r>
      <w:r w:rsidRPr="00153DE6">
        <w:rPr>
          <w:rFonts w:ascii="Times New Roman" w:eastAsiaTheme="minorHAnsi" w:hAnsi="Times New Roman" w:cs="Times New Roman"/>
        </w:rPr>
        <w:tab/>
        <w:t xml:space="preserve">Maggiolo, F. Efavirenz: a decade of clinical experience in the treatment of HIV. </w:t>
      </w:r>
      <w:r w:rsidRPr="00153DE6">
        <w:rPr>
          <w:rFonts w:ascii="Times New Roman" w:eastAsiaTheme="minorHAnsi" w:hAnsi="Times New Roman" w:cs="Times New Roman"/>
          <w:i/>
          <w:iCs/>
        </w:rPr>
        <w:t>J Antimicrob Chemother</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64</w:t>
      </w:r>
      <w:r w:rsidRPr="00153DE6">
        <w:rPr>
          <w:rFonts w:ascii="Times New Roman" w:eastAsiaTheme="minorHAnsi" w:hAnsi="Times New Roman" w:cs="Times New Roman"/>
        </w:rPr>
        <w:t>, 910–928 (2009).</w:t>
      </w:r>
    </w:p>
    <w:p w14:paraId="7C6BAFCE"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lastRenderedPageBreak/>
        <w:t>13.</w:t>
      </w:r>
      <w:r w:rsidRPr="00153DE6">
        <w:rPr>
          <w:rFonts w:ascii="Times New Roman" w:eastAsiaTheme="minorHAnsi" w:hAnsi="Times New Roman" w:cs="Times New Roman"/>
        </w:rPr>
        <w:tab/>
        <w:t xml:space="preserve">Wang, Y.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The development of drug resistance mutations K103N Y181C and G190A in long term Nevirapine-containing antiviral therapy. </w:t>
      </w:r>
      <w:r w:rsidRPr="00153DE6">
        <w:rPr>
          <w:rFonts w:ascii="Times New Roman" w:eastAsiaTheme="minorHAnsi" w:hAnsi="Times New Roman" w:cs="Times New Roman"/>
          <w:i/>
          <w:iCs/>
        </w:rPr>
        <w:t>AIDS Res Ther</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11</w:t>
      </w:r>
      <w:r w:rsidRPr="00153DE6">
        <w:rPr>
          <w:rFonts w:ascii="Times New Roman" w:eastAsiaTheme="minorHAnsi" w:hAnsi="Times New Roman" w:cs="Times New Roman"/>
        </w:rPr>
        <w:t>, 36 (2014).</w:t>
      </w:r>
    </w:p>
    <w:p w14:paraId="4A447C3A"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14.</w:t>
      </w:r>
      <w:r w:rsidRPr="00153DE6">
        <w:rPr>
          <w:rFonts w:ascii="Times New Roman" w:eastAsiaTheme="minorHAnsi" w:hAnsi="Times New Roman" w:cs="Times New Roman"/>
        </w:rPr>
        <w:tab/>
        <w:t xml:space="preserve">Schöller-Gyüre, M., Kakuda, T. N., Raoof, A., De Smedt, G. &amp; Hoetelmans, R. M. W. Clinical Pharmacokinetics and Pharmacodynamics of Etravirine. </w:t>
      </w:r>
      <w:r w:rsidRPr="00153DE6">
        <w:rPr>
          <w:rFonts w:ascii="Times New Roman" w:eastAsiaTheme="minorHAnsi" w:hAnsi="Times New Roman" w:cs="Times New Roman"/>
          <w:i/>
          <w:iCs/>
        </w:rPr>
        <w:t>Clin Pharmacokinet</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48</w:t>
      </w:r>
      <w:r w:rsidRPr="00153DE6">
        <w:rPr>
          <w:rFonts w:ascii="Times New Roman" w:eastAsiaTheme="minorHAnsi" w:hAnsi="Times New Roman" w:cs="Times New Roman"/>
        </w:rPr>
        <w:t>, 561–574 (2009).</w:t>
      </w:r>
    </w:p>
    <w:p w14:paraId="405EA9CB"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15.</w:t>
      </w:r>
      <w:r w:rsidRPr="00153DE6">
        <w:rPr>
          <w:rFonts w:ascii="Times New Roman" w:eastAsiaTheme="minorHAnsi" w:hAnsi="Times New Roman" w:cs="Times New Roman"/>
        </w:rPr>
        <w:tab/>
        <w:t xml:space="preserve">Schafer, J. J. &amp; Short, W. R. Rilpivirine, a Novel Non-Nucleoside Reverse Transcriptase Inhibitor for the Management of HIV-1 Infection: A Systematic Review. </w:t>
      </w:r>
      <w:r w:rsidRPr="00153DE6">
        <w:rPr>
          <w:rFonts w:ascii="Times New Roman" w:eastAsiaTheme="minorHAnsi" w:hAnsi="Times New Roman" w:cs="Times New Roman"/>
          <w:i/>
          <w:iCs/>
        </w:rPr>
        <w:t>Antiviral Therapy</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17</w:t>
      </w:r>
      <w:r w:rsidRPr="00153DE6">
        <w:rPr>
          <w:rFonts w:ascii="Times New Roman" w:eastAsiaTheme="minorHAnsi" w:hAnsi="Times New Roman" w:cs="Times New Roman"/>
        </w:rPr>
        <w:t>, 1495–1502 (2012).</w:t>
      </w:r>
    </w:p>
    <w:p w14:paraId="0AA499BB"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16.</w:t>
      </w:r>
      <w:r w:rsidRPr="00153DE6">
        <w:rPr>
          <w:rFonts w:ascii="Times New Roman" w:eastAsiaTheme="minorHAnsi" w:hAnsi="Times New Roman" w:cs="Times New Roman"/>
        </w:rPr>
        <w:tab/>
        <w:t xml:space="preserve">Hwang, C., Lai, M.-T. &amp; Hazuda, D. Rational Design of Doravirine: From Bench to Patients. </w:t>
      </w:r>
      <w:r w:rsidRPr="00153DE6">
        <w:rPr>
          <w:rFonts w:ascii="Times New Roman" w:eastAsiaTheme="minorHAnsi" w:hAnsi="Times New Roman" w:cs="Times New Roman"/>
          <w:i/>
          <w:iCs/>
        </w:rPr>
        <w:t>ACS Infect. Dis.</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6</w:t>
      </w:r>
      <w:r w:rsidRPr="00153DE6">
        <w:rPr>
          <w:rFonts w:ascii="Times New Roman" w:eastAsiaTheme="minorHAnsi" w:hAnsi="Times New Roman" w:cs="Times New Roman"/>
        </w:rPr>
        <w:t>, 64–73 (2020).</w:t>
      </w:r>
    </w:p>
    <w:p w14:paraId="67AA4B43"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17.</w:t>
      </w:r>
      <w:r w:rsidRPr="00153DE6">
        <w:rPr>
          <w:rFonts w:ascii="Times New Roman" w:eastAsiaTheme="minorHAnsi" w:hAnsi="Times New Roman" w:cs="Times New Roman"/>
        </w:rPr>
        <w:tab/>
        <w:t xml:space="preserve">Kohlstaedt, L. A., Wang, J., Friedman, J. M., Rice, P. A. &amp; Steitz, T. A. Crystal Structure at 3.5 Å Resolution of HIV-1 Reverse Transcriptase Complexed with an Inhibitor. </w:t>
      </w:r>
      <w:r w:rsidRPr="00153DE6">
        <w:rPr>
          <w:rFonts w:ascii="Times New Roman" w:eastAsiaTheme="minorHAnsi" w:hAnsi="Times New Roman" w:cs="Times New Roman"/>
          <w:i/>
          <w:iCs/>
        </w:rPr>
        <w:t>Science</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256</w:t>
      </w:r>
      <w:r w:rsidRPr="00153DE6">
        <w:rPr>
          <w:rFonts w:ascii="Times New Roman" w:eastAsiaTheme="minorHAnsi" w:hAnsi="Times New Roman" w:cs="Times New Roman"/>
        </w:rPr>
        <w:t>, 1783–1790 (1992).</w:t>
      </w:r>
    </w:p>
    <w:p w14:paraId="0B162940"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18.</w:t>
      </w:r>
      <w:r w:rsidRPr="00153DE6">
        <w:rPr>
          <w:rFonts w:ascii="Times New Roman" w:eastAsiaTheme="minorHAnsi" w:hAnsi="Times New Roman" w:cs="Times New Roman"/>
        </w:rPr>
        <w:tab/>
        <w:t xml:space="preserve">Spence, R. A., Kati, W. M., Anderson, K. S. &amp; Johnson, K. A. Mechanism of Inhibition of HIV-1 Reverse Transcriptase by Nonnucleoside Inhibitors. </w:t>
      </w:r>
      <w:r w:rsidRPr="00153DE6">
        <w:rPr>
          <w:rFonts w:ascii="Times New Roman" w:eastAsiaTheme="minorHAnsi" w:hAnsi="Times New Roman" w:cs="Times New Roman"/>
          <w:i/>
          <w:iCs/>
        </w:rPr>
        <w:t>Science</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267</w:t>
      </w:r>
      <w:r w:rsidRPr="00153DE6">
        <w:rPr>
          <w:rFonts w:ascii="Times New Roman" w:eastAsiaTheme="minorHAnsi" w:hAnsi="Times New Roman" w:cs="Times New Roman"/>
        </w:rPr>
        <w:t>, 988–993 (1995).</w:t>
      </w:r>
    </w:p>
    <w:p w14:paraId="6C3942E8"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19.</w:t>
      </w:r>
      <w:r w:rsidRPr="00153DE6">
        <w:rPr>
          <w:rFonts w:ascii="Times New Roman" w:eastAsiaTheme="minorHAnsi" w:hAnsi="Times New Roman" w:cs="Times New Roman"/>
        </w:rPr>
        <w:tab/>
        <w:t xml:space="preserve">Rodgers, D. W.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The structure of unliganded reverse transcriptase from the human immunodeficiency virus type 1. </w:t>
      </w:r>
      <w:r w:rsidRPr="00153DE6">
        <w:rPr>
          <w:rFonts w:ascii="Times New Roman" w:eastAsiaTheme="minorHAnsi" w:hAnsi="Times New Roman" w:cs="Times New Roman"/>
          <w:i/>
          <w:iCs/>
        </w:rPr>
        <w:t>Proceedings of the National Academy of Sciences</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92</w:t>
      </w:r>
      <w:r w:rsidRPr="00153DE6">
        <w:rPr>
          <w:rFonts w:ascii="Times New Roman" w:eastAsiaTheme="minorHAnsi" w:hAnsi="Times New Roman" w:cs="Times New Roman"/>
        </w:rPr>
        <w:t>, 1222–1226 (1995).</w:t>
      </w:r>
    </w:p>
    <w:p w14:paraId="6BC8A322"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20.</w:t>
      </w:r>
      <w:r w:rsidRPr="00153DE6">
        <w:rPr>
          <w:rFonts w:ascii="Times New Roman" w:eastAsiaTheme="minorHAnsi" w:hAnsi="Times New Roman" w:cs="Times New Roman"/>
        </w:rPr>
        <w:tab/>
        <w:t xml:space="preserve">Hsiou, Y.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Structure of unliganded HIV-1 reverse transcriptase at 2.7 å resolution: implications of conformational changes for polymerization and inhibition mechanisms. </w:t>
      </w:r>
      <w:r w:rsidRPr="00153DE6">
        <w:rPr>
          <w:rFonts w:ascii="Times New Roman" w:eastAsiaTheme="minorHAnsi" w:hAnsi="Times New Roman" w:cs="Times New Roman"/>
          <w:i/>
          <w:iCs/>
        </w:rPr>
        <w:t>Structure</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4</w:t>
      </w:r>
      <w:r w:rsidRPr="00153DE6">
        <w:rPr>
          <w:rFonts w:ascii="Times New Roman" w:eastAsiaTheme="minorHAnsi" w:hAnsi="Times New Roman" w:cs="Times New Roman"/>
        </w:rPr>
        <w:t>, 853–860 (1996).</w:t>
      </w:r>
    </w:p>
    <w:p w14:paraId="0B273BED"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lastRenderedPageBreak/>
        <w:t>21.</w:t>
      </w:r>
      <w:r w:rsidRPr="00153DE6">
        <w:rPr>
          <w:rFonts w:ascii="Times New Roman" w:eastAsiaTheme="minorHAnsi" w:hAnsi="Times New Roman" w:cs="Times New Roman"/>
        </w:rPr>
        <w:tab/>
        <w:t xml:space="preserve">Schauer, G. D., Huber, K. D., Leuba, S. H. &amp; Sluis-Cremer, N. Mechanism of allosteric inhibition of HIV-1 reverse transcriptase revealed by single-molecule and ensemble fluorescence. </w:t>
      </w:r>
      <w:r w:rsidRPr="00153DE6">
        <w:rPr>
          <w:rFonts w:ascii="Times New Roman" w:eastAsiaTheme="minorHAnsi" w:hAnsi="Times New Roman" w:cs="Times New Roman"/>
          <w:i/>
          <w:iCs/>
        </w:rPr>
        <w:t>Nucleic Acids Res</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42</w:t>
      </w:r>
      <w:r w:rsidRPr="00153DE6">
        <w:rPr>
          <w:rFonts w:ascii="Times New Roman" w:eastAsiaTheme="minorHAnsi" w:hAnsi="Times New Roman" w:cs="Times New Roman"/>
        </w:rPr>
        <w:t>, 11687–11696 (2014).</w:t>
      </w:r>
    </w:p>
    <w:p w14:paraId="7B32AE36"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22.</w:t>
      </w:r>
      <w:r w:rsidRPr="00153DE6">
        <w:rPr>
          <w:rFonts w:ascii="Times New Roman" w:eastAsiaTheme="minorHAnsi" w:hAnsi="Times New Roman" w:cs="Times New Roman"/>
        </w:rPr>
        <w:tab/>
        <w:t xml:space="preserve">Arts, E. J. &amp; Hazuda, D. J. HIV-1 Antiretroviral Drug Therapy. </w:t>
      </w:r>
      <w:r w:rsidRPr="00153DE6">
        <w:rPr>
          <w:rFonts w:ascii="Times New Roman" w:eastAsiaTheme="minorHAnsi" w:hAnsi="Times New Roman" w:cs="Times New Roman"/>
          <w:i/>
          <w:iCs/>
        </w:rPr>
        <w:t>Cold Spring Harb Perspect Med</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2</w:t>
      </w:r>
      <w:r w:rsidRPr="00153DE6">
        <w:rPr>
          <w:rFonts w:ascii="Times New Roman" w:eastAsiaTheme="minorHAnsi" w:hAnsi="Times New Roman" w:cs="Times New Roman"/>
        </w:rPr>
        <w:t>, a007161 (2012).</w:t>
      </w:r>
    </w:p>
    <w:p w14:paraId="625259E2"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23.</w:t>
      </w:r>
      <w:r w:rsidRPr="00153DE6">
        <w:rPr>
          <w:rFonts w:ascii="Times New Roman" w:eastAsiaTheme="minorHAnsi" w:hAnsi="Times New Roman" w:cs="Times New Roman"/>
        </w:rPr>
        <w:tab/>
        <w:t xml:space="preserve">Cilento, M. E., Kirby, K. A. &amp; Sarafianos, S. G. Avoiding Drug Resistance in HIV Reverse Transcriptase. </w:t>
      </w:r>
      <w:r w:rsidRPr="00153DE6">
        <w:rPr>
          <w:rFonts w:ascii="Times New Roman" w:eastAsiaTheme="minorHAnsi" w:hAnsi="Times New Roman" w:cs="Times New Roman"/>
          <w:i/>
          <w:iCs/>
        </w:rPr>
        <w:t>Chem. Rev.</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121</w:t>
      </w:r>
      <w:r w:rsidRPr="00153DE6">
        <w:rPr>
          <w:rFonts w:ascii="Times New Roman" w:eastAsiaTheme="minorHAnsi" w:hAnsi="Times New Roman" w:cs="Times New Roman"/>
        </w:rPr>
        <w:t>, 3271–3296 (2021).</w:t>
      </w:r>
    </w:p>
    <w:p w14:paraId="0C4F0E25"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24.</w:t>
      </w:r>
      <w:r w:rsidRPr="00153DE6">
        <w:rPr>
          <w:rFonts w:ascii="Times New Roman" w:eastAsiaTheme="minorHAnsi" w:hAnsi="Times New Roman" w:cs="Times New Roman"/>
        </w:rPr>
        <w:tab/>
        <w:t xml:space="preserve">Tantillo, C.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Locations of Anti-AIDS Drug Binding Sites and Resistance Mutations in the Three-dimensional Structure of HIV-1 Reverse Transcriptase: Implications for Mechanisms of Drug Inhibition and Resistance. </w:t>
      </w:r>
      <w:r w:rsidRPr="00153DE6">
        <w:rPr>
          <w:rFonts w:ascii="Times New Roman" w:eastAsiaTheme="minorHAnsi" w:hAnsi="Times New Roman" w:cs="Times New Roman"/>
          <w:i/>
          <w:iCs/>
        </w:rPr>
        <w:t>Journal of Molecular Biology</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243</w:t>
      </w:r>
      <w:r w:rsidRPr="00153DE6">
        <w:rPr>
          <w:rFonts w:ascii="Times New Roman" w:eastAsiaTheme="minorHAnsi" w:hAnsi="Times New Roman" w:cs="Times New Roman"/>
        </w:rPr>
        <w:t>, 369–387 (1994).</w:t>
      </w:r>
    </w:p>
    <w:p w14:paraId="4FDE4927"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25.</w:t>
      </w:r>
      <w:r w:rsidRPr="00153DE6">
        <w:rPr>
          <w:rFonts w:ascii="Times New Roman" w:eastAsiaTheme="minorHAnsi" w:hAnsi="Times New Roman" w:cs="Times New Roman"/>
        </w:rPr>
        <w:tab/>
        <w:t xml:space="preserve">Hsiou, Y.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The Lys103Asn mutation of HIV-1 RT: a novel mechanism of drug resistance. </w:t>
      </w:r>
      <w:r w:rsidRPr="00153DE6">
        <w:rPr>
          <w:rFonts w:ascii="Times New Roman" w:eastAsiaTheme="minorHAnsi" w:hAnsi="Times New Roman" w:cs="Times New Roman"/>
          <w:i/>
          <w:iCs/>
        </w:rPr>
        <w:t>Journal of Molecular Biology</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309</w:t>
      </w:r>
      <w:r w:rsidRPr="00153DE6">
        <w:rPr>
          <w:rFonts w:ascii="Times New Roman" w:eastAsiaTheme="minorHAnsi" w:hAnsi="Times New Roman" w:cs="Times New Roman"/>
        </w:rPr>
        <w:t>, 437–445 (2001).</w:t>
      </w:r>
    </w:p>
    <w:p w14:paraId="1DA94159"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26.</w:t>
      </w:r>
      <w:r w:rsidRPr="00153DE6">
        <w:rPr>
          <w:rFonts w:ascii="Times New Roman" w:eastAsiaTheme="minorHAnsi" w:hAnsi="Times New Roman" w:cs="Times New Roman"/>
        </w:rPr>
        <w:tab/>
        <w:t xml:space="preserve">Lai, M.-T.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Mechanistic Study of Common Non-Nucleoside Reverse Transcriptase Inhibitor-Resistant Mutations with K103N and Y181C Substitutions. </w:t>
      </w:r>
      <w:r w:rsidRPr="00153DE6">
        <w:rPr>
          <w:rFonts w:ascii="Times New Roman" w:eastAsiaTheme="minorHAnsi" w:hAnsi="Times New Roman" w:cs="Times New Roman"/>
          <w:i/>
          <w:iCs/>
        </w:rPr>
        <w:t>Viruses</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8</w:t>
      </w:r>
      <w:r w:rsidRPr="00153DE6">
        <w:rPr>
          <w:rFonts w:ascii="Times New Roman" w:eastAsiaTheme="minorHAnsi" w:hAnsi="Times New Roman" w:cs="Times New Roman"/>
        </w:rPr>
        <w:t>, 263 (2016).</w:t>
      </w:r>
    </w:p>
    <w:p w14:paraId="013CC78E"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27.</w:t>
      </w:r>
      <w:r w:rsidRPr="00153DE6">
        <w:rPr>
          <w:rFonts w:ascii="Times New Roman" w:eastAsiaTheme="minorHAnsi" w:hAnsi="Times New Roman" w:cs="Times New Roman"/>
        </w:rPr>
        <w:tab/>
        <w:t xml:space="preserve">Ren, J.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Structural mechanisms of drug resistance for mutations at codons 181 and 188 in HIV-1 reverse transcriptase and the improved resilience of second generation non-nucleoside inhibitors1. </w:t>
      </w:r>
      <w:r w:rsidRPr="00153DE6">
        <w:rPr>
          <w:rFonts w:ascii="Times New Roman" w:eastAsiaTheme="minorHAnsi" w:hAnsi="Times New Roman" w:cs="Times New Roman"/>
          <w:i/>
          <w:iCs/>
        </w:rPr>
        <w:t>Journal of Molecular Biology</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312</w:t>
      </w:r>
      <w:r w:rsidRPr="00153DE6">
        <w:rPr>
          <w:rFonts w:ascii="Times New Roman" w:eastAsiaTheme="minorHAnsi" w:hAnsi="Times New Roman" w:cs="Times New Roman"/>
        </w:rPr>
        <w:t>, 795–805 (2001).</w:t>
      </w:r>
    </w:p>
    <w:p w14:paraId="13C04C5C"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28.</w:t>
      </w:r>
      <w:r w:rsidRPr="00153DE6">
        <w:rPr>
          <w:rFonts w:ascii="Times New Roman" w:eastAsiaTheme="minorHAnsi" w:hAnsi="Times New Roman" w:cs="Times New Roman"/>
        </w:rPr>
        <w:tab/>
        <w:t xml:space="preserve">Das, K.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Roles of Conformational and Positional Adaptability in Structure-Based Design of TMC125-R165335 (Etravirine) and Related Non-nucleoside Reverse Transcriptase Inhibitors That Are Highly Potent and Effective against Wild-Type and Drug-Resistant HIV-1 Variants. </w:t>
      </w:r>
      <w:r w:rsidRPr="00153DE6">
        <w:rPr>
          <w:rFonts w:ascii="Times New Roman" w:eastAsiaTheme="minorHAnsi" w:hAnsi="Times New Roman" w:cs="Times New Roman"/>
          <w:i/>
          <w:iCs/>
        </w:rPr>
        <w:t>J. Med. Chem.</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47</w:t>
      </w:r>
      <w:r w:rsidRPr="00153DE6">
        <w:rPr>
          <w:rFonts w:ascii="Times New Roman" w:eastAsiaTheme="minorHAnsi" w:hAnsi="Times New Roman" w:cs="Times New Roman"/>
        </w:rPr>
        <w:t>, 2550–2560 (2004).</w:t>
      </w:r>
    </w:p>
    <w:p w14:paraId="533E1A9F"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lastRenderedPageBreak/>
        <w:t>29.</w:t>
      </w:r>
      <w:r w:rsidRPr="00153DE6">
        <w:rPr>
          <w:rFonts w:ascii="Times New Roman" w:eastAsiaTheme="minorHAnsi" w:hAnsi="Times New Roman" w:cs="Times New Roman"/>
        </w:rPr>
        <w:tab/>
        <w:t xml:space="preserve">Das, K.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High-resolution structures of HIV-1 reverse transcriptase/TMC278 complexes: Strategic flexibility explains potency against resistance mutations. </w:t>
      </w:r>
      <w:r w:rsidRPr="00153DE6">
        <w:rPr>
          <w:rFonts w:ascii="Times New Roman" w:eastAsiaTheme="minorHAnsi" w:hAnsi="Times New Roman" w:cs="Times New Roman"/>
          <w:i/>
          <w:iCs/>
        </w:rPr>
        <w:t>Proceedings of the National Academy of Sciences</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105</w:t>
      </w:r>
      <w:r w:rsidRPr="00153DE6">
        <w:rPr>
          <w:rFonts w:ascii="Times New Roman" w:eastAsiaTheme="minorHAnsi" w:hAnsi="Times New Roman" w:cs="Times New Roman"/>
        </w:rPr>
        <w:t>, 1466–1471 (2008).</w:t>
      </w:r>
    </w:p>
    <w:p w14:paraId="109029C2"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30.</w:t>
      </w:r>
      <w:r w:rsidRPr="00153DE6">
        <w:rPr>
          <w:rFonts w:ascii="Times New Roman" w:eastAsiaTheme="minorHAnsi" w:hAnsi="Times New Roman" w:cs="Times New Roman"/>
        </w:rPr>
        <w:tab/>
        <w:t xml:space="preserve">Côté, B.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Discovery of MK-1439, an orally bioavailable non-nucleoside reverse transcriptase inhibitor potent against a wide range of resistant mutant HIV viruses. </w:t>
      </w:r>
      <w:r w:rsidRPr="00153DE6">
        <w:rPr>
          <w:rFonts w:ascii="Times New Roman" w:eastAsiaTheme="minorHAnsi" w:hAnsi="Times New Roman" w:cs="Times New Roman"/>
          <w:i/>
          <w:iCs/>
        </w:rPr>
        <w:t>Bioorganic &amp; Medicinal Chemistry Letters</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24</w:t>
      </w:r>
      <w:r w:rsidRPr="00153DE6">
        <w:rPr>
          <w:rFonts w:ascii="Times New Roman" w:eastAsiaTheme="minorHAnsi" w:hAnsi="Times New Roman" w:cs="Times New Roman"/>
        </w:rPr>
        <w:t>, 917–922 (2014).</w:t>
      </w:r>
    </w:p>
    <w:p w14:paraId="059EA723"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31.</w:t>
      </w:r>
      <w:r w:rsidRPr="00153DE6">
        <w:rPr>
          <w:rFonts w:ascii="Times New Roman" w:eastAsiaTheme="minorHAnsi" w:hAnsi="Times New Roman" w:cs="Times New Roman"/>
        </w:rPr>
        <w:tab/>
        <w:t xml:space="preserve">Lai, M.-T.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In Vitro Characterization of MK-1439, a Novel HIV-1 Nonnucleoside Reverse Transcriptase Inhibitor. </w:t>
      </w:r>
      <w:r w:rsidRPr="00153DE6">
        <w:rPr>
          <w:rFonts w:ascii="Times New Roman" w:eastAsiaTheme="minorHAnsi" w:hAnsi="Times New Roman" w:cs="Times New Roman"/>
          <w:i/>
          <w:iCs/>
        </w:rPr>
        <w:t>Antimicrobial Agents and Chemotherapy</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58</w:t>
      </w:r>
      <w:r w:rsidRPr="00153DE6">
        <w:rPr>
          <w:rFonts w:ascii="Times New Roman" w:eastAsiaTheme="minorHAnsi" w:hAnsi="Times New Roman" w:cs="Times New Roman"/>
        </w:rPr>
        <w:t>, 1652–1663 (2014).</w:t>
      </w:r>
    </w:p>
    <w:p w14:paraId="327E8AE9"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32.</w:t>
      </w:r>
      <w:r w:rsidRPr="00153DE6">
        <w:rPr>
          <w:rFonts w:ascii="Times New Roman" w:eastAsiaTheme="minorHAnsi" w:hAnsi="Times New Roman" w:cs="Times New Roman"/>
        </w:rPr>
        <w:tab/>
        <w:t xml:space="preserve">Feng, M.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In Vitro Resistance Selection with Doravirine (MK-1439), a Novel Nonnucleoside Reverse Transcriptase Inhibitor with Distinct Mutation Development Pathways. </w:t>
      </w:r>
      <w:r w:rsidRPr="00153DE6">
        <w:rPr>
          <w:rFonts w:ascii="Times New Roman" w:eastAsiaTheme="minorHAnsi" w:hAnsi="Times New Roman" w:cs="Times New Roman"/>
          <w:i/>
          <w:iCs/>
        </w:rPr>
        <w:t>Antimicrobial Agents and Chemotherapy</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59</w:t>
      </w:r>
      <w:r w:rsidRPr="00153DE6">
        <w:rPr>
          <w:rFonts w:ascii="Times New Roman" w:eastAsiaTheme="minorHAnsi" w:hAnsi="Times New Roman" w:cs="Times New Roman"/>
        </w:rPr>
        <w:t>, 590–598 (2014).</w:t>
      </w:r>
    </w:p>
    <w:p w14:paraId="3BA3D207"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33.</w:t>
      </w:r>
      <w:r w:rsidRPr="00153DE6">
        <w:rPr>
          <w:rFonts w:ascii="Times New Roman" w:eastAsiaTheme="minorHAnsi" w:hAnsi="Times New Roman" w:cs="Times New Roman"/>
        </w:rPr>
        <w:tab/>
        <w:t xml:space="preserve">Rhee, S.-Y.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Potential role of doravirine for the treatment of HIV-1-infected persons with transmitted drug resistance. </w:t>
      </w:r>
      <w:r w:rsidRPr="00153DE6">
        <w:rPr>
          <w:rFonts w:ascii="Times New Roman" w:eastAsiaTheme="minorHAnsi" w:hAnsi="Times New Roman" w:cs="Times New Roman"/>
          <w:i/>
          <w:iCs/>
        </w:rPr>
        <w:t>AIDS Res Ther</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20</w:t>
      </w:r>
      <w:r w:rsidRPr="00153DE6">
        <w:rPr>
          <w:rFonts w:ascii="Times New Roman" w:eastAsiaTheme="minorHAnsi" w:hAnsi="Times New Roman" w:cs="Times New Roman"/>
        </w:rPr>
        <w:t>, 8 (2023).</w:t>
      </w:r>
    </w:p>
    <w:p w14:paraId="16BD3807"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34.</w:t>
      </w:r>
      <w:r w:rsidRPr="00153DE6">
        <w:rPr>
          <w:rFonts w:ascii="Times New Roman" w:eastAsiaTheme="minorHAnsi" w:hAnsi="Times New Roman" w:cs="Times New Roman"/>
        </w:rPr>
        <w:tab/>
        <w:t xml:space="preserve">Asante-Appiah, E.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Impact of HIV-1 Resistance-Associated Mutations on Susceptibility to Doravirine: Analysis of Real-World Clinical Isolates. </w:t>
      </w:r>
      <w:r w:rsidRPr="00153DE6">
        <w:rPr>
          <w:rFonts w:ascii="Times New Roman" w:eastAsiaTheme="minorHAnsi" w:hAnsi="Times New Roman" w:cs="Times New Roman"/>
          <w:i/>
          <w:iCs/>
        </w:rPr>
        <w:t>Antimicrobial Agents and Chemotherapy</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65</w:t>
      </w:r>
      <w:r w:rsidRPr="00153DE6">
        <w:rPr>
          <w:rFonts w:ascii="Times New Roman" w:eastAsiaTheme="minorHAnsi" w:hAnsi="Times New Roman" w:cs="Times New Roman"/>
        </w:rPr>
        <w:t>, 10.1128/aac.01216-21 (2021).</w:t>
      </w:r>
    </w:p>
    <w:p w14:paraId="741B2414"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35.</w:t>
      </w:r>
      <w:r w:rsidRPr="00153DE6">
        <w:rPr>
          <w:rFonts w:ascii="Times New Roman" w:eastAsiaTheme="minorHAnsi" w:hAnsi="Times New Roman" w:cs="Times New Roman"/>
        </w:rPr>
        <w:tab/>
        <w:t xml:space="preserve">Lai, M.-T.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Characterization of Doravirine-Selected Resistance Patterns From Participants in Treatment-Naïve Phase 3 Clinical Trials. https://www.natap.org/2018/IAC/IAC_54.htm (2018).</w:t>
      </w:r>
    </w:p>
    <w:p w14:paraId="504414AB"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36.</w:t>
      </w:r>
      <w:r w:rsidRPr="00153DE6">
        <w:rPr>
          <w:rFonts w:ascii="Times New Roman" w:eastAsiaTheme="minorHAnsi" w:hAnsi="Times New Roman" w:cs="Times New Roman"/>
        </w:rPr>
        <w:tab/>
        <w:t xml:space="preserve">Hazuda, D. J.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Understanding the Resistance Profile of the HIV-1 NNRTI Doravirine in Combination With the Novel NRTTI MK-8591. https://www.natap.org/2018/IAC/IAC_48.htm (2018).</w:t>
      </w:r>
    </w:p>
    <w:p w14:paraId="5ED9B245"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lastRenderedPageBreak/>
        <w:t>37.</w:t>
      </w:r>
      <w:r w:rsidRPr="00153DE6">
        <w:rPr>
          <w:rFonts w:ascii="Times New Roman" w:eastAsiaTheme="minorHAnsi" w:hAnsi="Times New Roman" w:cs="Times New Roman"/>
        </w:rPr>
        <w:tab/>
        <w:t xml:space="preserve">Smith, S. J. </w:t>
      </w:r>
      <w:r w:rsidRPr="00153DE6">
        <w:rPr>
          <w:rFonts w:ascii="Times New Roman" w:eastAsiaTheme="minorHAnsi" w:hAnsi="Times New Roman" w:cs="Times New Roman"/>
          <w:i/>
          <w:iCs/>
        </w:rPr>
        <w:t>et al.</w:t>
      </w:r>
      <w:r w:rsidRPr="00153DE6">
        <w:rPr>
          <w:rFonts w:ascii="Times New Roman" w:eastAsiaTheme="minorHAnsi" w:hAnsi="Times New Roman" w:cs="Times New Roman"/>
        </w:rPr>
        <w:t xml:space="preserve"> Rilpivirine and Doravirine Have Complementary Efficacies Against NNRTI-Resistant HIV-1 Mutants. </w:t>
      </w:r>
      <w:r w:rsidRPr="00153DE6">
        <w:rPr>
          <w:rFonts w:ascii="Times New Roman" w:eastAsiaTheme="minorHAnsi" w:hAnsi="Times New Roman" w:cs="Times New Roman"/>
          <w:i/>
          <w:iCs/>
        </w:rPr>
        <w:t>JAIDS Journal of Acquired Immune Deficiency Syndromes</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72</w:t>
      </w:r>
      <w:r w:rsidRPr="00153DE6">
        <w:rPr>
          <w:rFonts w:ascii="Times New Roman" w:eastAsiaTheme="minorHAnsi" w:hAnsi="Times New Roman" w:cs="Times New Roman"/>
        </w:rPr>
        <w:t>, 485 (2016).</w:t>
      </w:r>
    </w:p>
    <w:p w14:paraId="6098EC36"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38.</w:t>
      </w:r>
      <w:r w:rsidRPr="00153DE6">
        <w:rPr>
          <w:rFonts w:ascii="Times New Roman" w:eastAsiaTheme="minorHAnsi" w:hAnsi="Times New Roman" w:cs="Times New Roman"/>
        </w:rPr>
        <w:tab/>
        <w:t xml:space="preserve">Geitmann, M., Unge, T. &amp; Danielson, U. H. Interaction Kinetic Characterization of HIV-1 Reverse Transcriptase Non-nucleoside Inhibitor Resistance. </w:t>
      </w:r>
      <w:r w:rsidRPr="00153DE6">
        <w:rPr>
          <w:rFonts w:ascii="Times New Roman" w:eastAsiaTheme="minorHAnsi" w:hAnsi="Times New Roman" w:cs="Times New Roman"/>
          <w:i/>
          <w:iCs/>
        </w:rPr>
        <w:t>J. Med. Chem.</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49</w:t>
      </w:r>
      <w:r w:rsidRPr="00153DE6">
        <w:rPr>
          <w:rFonts w:ascii="Times New Roman" w:eastAsiaTheme="minorHAnsi" w:hAnsi="Times New Roman" w:cs="Times New Roman"/>
        </w:rPr>
        <w:t>, 2375–2387 (2006).</w:t>
      </w:r>
    </w:p>
    <w:p w14:paraId="65AACA14"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39.</w:t>
      </w:r>
      <w:r w:rsidRPr="00153DE6">
        <w:rPr>
          <w:rFonts w:ascii="Times New Roman" w:eastAsiaTheme="minorHAnsi" w:hAnsi="Times New Roman" w:cs="Times New Roman"/>
        </w:rPr>
        <w:tab/>
        <w:t xml:space="preserve">Srivastava, A., Birari, V. &amp; Sinha, S. Small Conformational Changes Underlie Evolution of Resistance to NNRTI in HIV Reverse Transcriptase. </w:t>
      </w:r>
      <w:r w:rsidRPr="00153DE6">
        <w:rPr>
          <w:rFonts w:ascii="Times New Roman" w:eastAsiaTheme="minorHAnsi" w:hAnsi="Times New Roman" w:cs="Times New Roman"/>
          <w:i/>
          <w:iCs/>
        </w:rPr>
        <w:t>Biophysical Journal</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118</w:t>
      </w:r>
      <w:r w:rsidRPr="00153DE6">
        <w:rPr>
          <w:rFonts w:ascii="Times New Roman" w:eastAsiaTheme="minorHAnsi" w:hAnsi="Times New Roman" w:cs="Times New Roman"/>
        </w:rPr>
        <w:t>, 2489–2501 (2020).</w:t>
      </w:r>
    </w:p>
    <w:p w14:paraId="641741C5"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40.</w:t>
      </w:r>
      <w:r w:rsidRPr="00153DE6">
        <w:rPr>
          <w:rFonts w:ascii="Times New Roman" w:eastAsiaTheme="minorHAnsi" w:hAnsi="Times New Roman" w:cs="Times New Roman"/>
        </w:rPr>
        <w:tab/>
        <w:t xml:space="preserve">Shakhnovich, E., Abkevich, V. &amp; Ptitsyn, O. Conserved residues and the mechanism of protein folding. </w:t>
      </w:r>
      <w:r w:rsidRPr="00153DE6">
        <w:rPr>
          <w:rFonts w:ascii="Times New Roman" w:eastAsiaTheme="minorHAnsi" w:hAnsi="Times New Roman" w:cs="Times New Roman"/>
          <w:i/>
          <w:iCs/>
        </w:rPr>
        <w:t>Nature</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379</w:t>
      </w:r>
      <w:r w:rsidRPr="00153DE6">
        <w:rPr>
          <w:rFonts w:ascii="Times New Roman" w:eastAsiaTheme="minorHAnsi" w:hAnsi="Times New Roman" w:cs="Times New Roman"/>
        </w:rPr>
        <w:t>, 96–98 (1996).</w:t>
      </w:r>
    </w:p>
    <w:p w14:paraId="6B4320F8"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41.</w:t>
      </w:r>
      <w:r w:rsidRPr="00153DE6">
        <w:rPr>
          <w:rFonts w:ascii="Times New Roman" w:eastAsiaTheme="minorHAnsi" w:hAnsi="Times New Roman" w:cs="Times New Roman"/>
        </w:rPr>
        <w:tab/>
        <w:t xml:space="preserve">Portman, J. J., Takada, S. &amp; Wolynes, P. G. Microscopic theory of protein folding rates. II. Local reaction coordinates and chain dynamics. </w:t>
      </w:r>
      <w:r w:rsidRPr="00153DE6">
        <w:rPr>
          <w:rFonts w:ascii="Times New Roman" w:eastAsiaTheme="minorHAnsi" w:hAnsi="Times New Roman" w:cs="Times New Roman"/>
          <w:i/>
          <w:iCs/>
        </w:rPr>
        <w:t>J. Chem. Phys.</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114</w:t>
      </w:r>
      <w:r w:rsidRPr="00153DE6">
        <w:rPr>
          <w:rFonts w:ascii="Times New Roman" w:eastAsiaTheme="minorHAnsi" w:hAnsi="Times New Roman" w:cs="Times New Roman"/>
        </w:rPr>
        <w:t>, 5082–5096 (2001).</w:t>
      </w:r>
    </w:p>
    <w:p w14:paraId="0954B459" w14:textId="77777777" w:rsidR="00153DE6" w:rsidRPr="00153DE6" w:rsidRDefault="00153DE6" w:rsidP="00153DE6">
      <w:pPr>
        <w:pStyle w:val="Bibliography"/>
        <w:rPr>
          <w:rFonts w:ascii="Times New Roman" w:eastAsiaTheme="minorHAnsi" w:hAnsi="Times New Roman" w:cs="Times New Roman"/>
        </w:rPr>
      </w:pPr>
      <w:r w:rsidRPr="00153DE6">
        <w:rPr>
          <w:rFonts w:ascii="Times New Roman" w:eastAsiaTheme="minorHAnsi" w:hAnsi="Times New Roman" w:cs="Times New Roman"/>
        </w:rPr>
        <w:t>42.</w:t>
      </w:r>
      <w:r w:rsidRPr="00153DE6">
        <w:rPr>
          <w:rFonts w:ascii="Times New Roman" w:eastAsiaTheme="minorHAnsi" w:hAnsi="Times New Roman" w:cs="Times New Roman"/>
        </w:rPr>
        <w:tab/>
        <w:t xml:space="preserve">Best, R. B., Hummer, G. &amp; Eaton, W. A. Native contacts determine protein folding mechanisms in atomistic simulations. </w:t>
      </w:r>
      <w:r w:rsidRPr="00153DE6">
        <w:rPr>
          <w:rFonts w:ascii="Times New Roman" w:eastAsiaTheme="minorHAnsi" w:hAnsi="Times New Roman" w:cs="Times New Roman"/>
          <w:i/>
          <w:iCs/>
        </w:rPr>
        <w:t>Proceedings of the National Academy of Sciences</w:t>
      </w:r>
      <w:r w:rsidRPr="00153DE6">
        <w:rPr>
          <w:rFonts w:ascii="Times New Roman" w:eastAsiaTheme="minorHAnsi" w:hAnsi="Times New Roman" w:cs="Times New Roman"/>
        </w:rPr>
        <w:t xml:space="preserve"> </w:t>
      </w:r>
      <w:r w:rsidRPr="00153DE6">
        <w:rPr>
          <w:rFonts w:ascii="Times New Roman" w:eastAsiaTheme="minorHAnsi" w:hAnsi="Times New Roman" w:cs="Times New Roman"/>
          <w:b/>
          <w:bCs/>
        </w:rPr>
        <w:t>110</w:t>
      </w:r>
      <w:r w:rsidRPr="00153DE6">
        <w:rPr>
          <w:rFonts w:ascii="Times New Roman" w:eastAsiaTheme="minorHAnsi" w:hAnsi="Times New Roman" w:cs="Times New Roman"/>
        </w:rPr>
        <w:t>, 17874–17879 (2013).</w:t>
      </w:r>
    </w:p>
    <w:p w14:paraId="22A16918" w14:textId="11975D2D" w:rsidR="007B0373" w:rsidRPr="00BB3608" w:rsidRDefault="00763B1D" w:rsidP="00153DE6">
      <w:pPr>
        <w:pStyle w:val="Bibliography"/>
        <w:rPr>
          <w:rFonts w:ascii="Times New Roman" w:hAnsi="Times New Roman" w:cs="Times New Roman"/>
          <w:szCs w:val="24"/>
        </w:rPr>
      </w:pPr>
      <w:r>
        <w:rPr>
          <w:rFonts w:ascii="Times New Roman" w:hAnsi="Times New Roman" w:cs="Times New Roman"/>
          <w:szCs w:val="24"/>
        </w:rPr>
        <w:fldChar w:fldCharType="end"/>
      </w:r>
    </w:p>
    <w:sectPr w:rsidR="007B0373" w:rsidRPr="00BB3608" w:rsidSect="00006884">
      <w:type w:val="continuous"/>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1E607" w14:textId="77777777" w:rsidR="00B82EBF" w:rsidRDefault="00B82EBF" w:rsidP="00EA5648">
      <w:r>
        <w:separator/>
      </w:r>
    </w:p>
  </w:endnote>
  <w:endnote w:type="continuationSeparator" w:id="0">
    <w:p w14:paraId="016BDB14" w14:textId="77777777" w:rsidR="00B82EBF" w:rsidRDefault="00B82EBF" w:rsidP="00EA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3672657"/>
      <w:docPartObj>
        <w:docPartGallery w:val="Page Numbers (Bottom of Page)"/>
        <w:docPartUnique/>
      </w:docPartObj>
    </w:sdtPr>
    <w:sdtContent>
      <w:p w14:paraId="0A6A5FE2" w14:textId="7CFE8F21" w:rsidR="00EA5648" w:rsidRDefault="00EA5648" w:rsidP="00DA73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9641E2" w14:textId="77777777" w:rsidR="00EA5648" w:rsidRDefault="00EA5648" w:rsidP="00EA56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6073830"/>
      <w:docPartObj>
        <w:docPartGallery w:val="Page Numbers (Bottom of Page)"/>
        <w:docPartUnique/>
      </w:docPartObj>
    </w:sdtPr>
    <w:sdtContent>
      <w:p w14:paraId="7F8B0775" w14:textId="5DB9CA4B" w:rsidR="00EA5648" w:rsidRDefault="00EA5648" w:rsidP="00DA73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9364B4" w14:textId="77777777" w:rsidR="00EA5648" w:rsidRDefault="00EA5648" w:rsidP="00EA56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EFE7D" w14:textId="77777777" w:rsidR="00B82EBF" w:rsidRDefault="00B82EBF" w:rsidP="00EA5648">
      <w:r>
        <w:separator/>
      </w:r>
    </w:p>
  </w:footnote>
  <w:footnote w:type="continuationSeparator" w:id="0">
    <w:p w14:paraId="1B95DDE4" w14:textId="77777777" w:rsidR="00B82EBF" w:rsidRDefault="00B82EBF" w:rsidP="00EA56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7A4327"/>
    <w:multiLevelType w:val="hybridMultilevel"/>
    <w:tmpl w:val="93102F00"/>
    <w:lvl w:ilvl="0" w:tplc="BE80DC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7831632">
    <w:abstractNumId w:val="0"/>
  </w:num>
  <w:num w:numId="2" w16cid:durableId="1834369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3D5"/>
    <w:rsid w:val="000060CC"/>
    <w:rsid w:val="00006884"/>
    <w:rsid w:val="00006FB2"/>
    <w:rsid w:val="000156E3"/>
    <w:rsid w:val="00020DEC"/>
    <w:rsid w:val="000366F8"/>
    <w:rsid w:val="00037D36"/>
    <w:rsid w:val="00040531"/>
    <w:rsid w:val="00044D00"/>
    <w:rsid w:val="000538DD"/>
    <w:rsid w:val="000745EE"/>
    <w:rsid w:val="00083562"/>
    <w:rsid w:val="00085D4C"/>
    <w:rsid w:val="000973ED"/>
    <w:rsid w:val="00097E02"/>
    <w:rsid w:val="000A1172"/>
    <w:rsid w:val="000A369B"/>
    <w:rsid w:val="000B1500"/>
    <w:rsid w:val="000B178E"/>
    <w:rsid w:val="000B2E35"/>
    <w:rsid w:val="000B4D8C"/>
    <w:rsid w:val="000C00CB"/>
    <w:rsid w:val="000C068E"/>
    <w:rsid w:val="000D17F2"/>
    <w:rsid w:val="000E328A"/>
    <w:rsid w:val="000F1E0E"/>
    <w:rsid w:val="00106118"/>
    <w:rsid w:val="00120227"/>
    <w:rsid w:val="0012388D"/>
    <w:rsid w:val="00132E9B"/>
    <w:rsid w:val="00134A97"/>
    <w:rsid w:val="001352C3"/>
    <w:rsid w:val="00137D0E"/>
    <w:rsid w:val="0014494F"/>
    <w:rsid w:val="001464A2"/>
    <w:rsid w:val="00146F81"/>
    <w:rsid w:val="00152EA8"/>
    <w:rsid w:val="00153DE6"/>
    <w:rsid w:val="001550B3"/>
    <w:rsid w:val="0015518B"/>
    <w:rsid w:val="00155503"/>
    <w:rsid w:val="00162BB5"/>
    <w:rsid w:val="00166620"/>
    <w:rsid w:val="001823FD"/>
    <w:rsid w:val="00185C54"/>
    <w:rsid w:val="00186F60"/>
    <w:rsid w:val="00190719"/>
    <w:rsid w:val="001C441B"/>
    <w:rsid w:val="001D0F7D"/>
    <w:rsid w:val="001D5A97"/>
    <w:rsid w:val="001E34F7"/>
    <w:rsid w:val="001E4A2E"/>
    <w:rsid w:val="001E4EB9"/>
    <w:rsid w:val="001F0A69"/>
    <w:rsid w:val="002023D5"/>
    <w:rsid w:val="00211E4E"/>
    <w:rsid w:val="00214355"/>
    <w:rsid w:val="0022348C"/>
    <w:rsid w:val="00230A01"/>
    <w:rsid w:val="002315FF"/>
    <w:rsid w:val="00232CAE"/>
    <w:rsid w:val="0023650E"/>
    <w:rsid w:val="00243BB0"/>
    <w:rsid w:val="00254253"/>
    <w:rsid w:val="00262F5D"/>
    <w:rsid w:val="00276BFB"/>
    <w:rsid w:val="002776BF"/>
    <w:rsid w:val="00277ED3"/>
    <w:rsid w:val="002902D1"/>
    <w:rsid w:val="00297BFC"/>
    <w:rsid w:val="002A64FB"/>
    <w:rsid w:val="002B5128"/>
    <w:rsid w:val="002B62B1"/>
    <w:rsid w:val="002B6DFB"/>
    <w:rsid w:val="002C427F"/>
    <w:rsid w:val="002D1287"/>
    <w:rsid w:val="002D20AA"/>
    <w:rsid w:val="002E2CAD"/>
    <w:rsid w:val="002F5FE7"/>
    <w:rsid w:val="002F6EA2"/>
    <w:rsid w:val="00300C25"/>
    <w:rsid w:val="0030352F"/>
    <w:rsid w:val="0030458C"/>
    <w:rsid w:val="00304F6D"/>
    <w:rsid w:val="00316329"/>
    <w:rsid w:val="00321E53"/>
    <w:rsid w:val="0032366C"/>
    <w:rsid w:val="00325C5A"/>
    <w:rsid w:val="00335759"/>
    <w:rsid w:val="003422D8"/>
    <w:rsid w:val="003431AA"/>
    <w:rsid w:val="0034497A"/>
    <w:rsid w:val="003604E7"/>
    <w:rsid w:val="0036587A"/>
    <w:rsid w:val="00382137"/>
    <w:rsid w:val="00385FCC"/>
    <w:rsid w:val="003869F6"/>
    <w:rsid w:val="003919B1"/>
    <w:rsid w:val="003A1CB7"/>
    <w:rsid w:val="003A584C"/>
    <w:rsid w:val="003B05E9"/>
    <w:rsid w:val="003B21EA"/>
    <w:rsid w:val="003B67BA"/>
    <w:rsid w:val="003B7262"/>
    <w:rsid w:val="003D40B4"/>
    <w:rsid w:val="003E13C8"/>
    <w:rsid w:val="003F4B9F"/>
    <w:rsid w:val="003F6EE9"/>
    <w:rsid w:val="003F704A"/>
    <w:rsid w:val="003F74A7"/>
    <w:rsid w:val="00406A32"/>
    <w:rsid w:val="00415C1D"/>
    <w:rsid w:val="0043131D"/>
    <w:rsid w:val="004327D7"/>
    <w:rsid w:val="00434A22"/>
    <w:rsid w:val="00442202"/>
    <w:rsid w:val="00442CB1"/>
    <w:rsid w:val="00444107"/>
    <w:rsid w:val="00447D4A"/>
    <w:rsid w:val="00456A13"/>
    <w:rsid w:val="004574A0"/>
    <w:rsid w:val="00460C26"/>
    <w:rsid w:val="00461E7C"/>
    <w:rsid w:val="00471553"/>
    <w:rsid w:val="00472985"/>
    <w:rsid w:val="00473791"/>
    <w:rsid w:val="00486B05"/>
    <w:rsid w:val="004B23D9"/>
    <w:rsid w:val="004B60F7"/>
    <w:rsid w:val="004C2897"/>
    <w:rsid w:val="004F5449"/>
    <w:rsid w:val="005108E2"/>
    <w:rsid w:val="00516B6E"/>
    <w:rsid w:val="005170F9"/>
    <w:rsid w:val="0052667C"/>
    <w:rsid w:val="00534F16"/>
    <w:rsid w:val="00536017"/>
    <w:rsid w:val="005365EF"/>
    <w:rsid w:val="00541059"/>
    <w:rsid w:val="005421C2"/>
    <w:rsid w:val="00542AD3"/>
    <w:rsid w:val="00544B7B"/>
    <w:rsid w:val="00546651"/>
    <w:rsid w:val="005475A5"/>
    <w:rsid w:val="005478F3"/>
    <w:rsid w:val="00554FD7"/>
    <w:rsid w:val="00555948"/>
    <w:rsid w:val="00566485"/>
    <w:rsid w:val="00572245"/>
    <w:rsid w:val="00573E87"/>
    <w:rsid w:val="005830D2"/>
    <w:rsid w:val="00584482"/>
    <w:rsid w:val="00594894"/>
    <w:rsid w:val="005A260A"/>
    <w:rsid w:val="005A3F71"/>
    <w:rsid w:val="005A458B"/>
    <w:rsid w:val="005C0F1B"/>
    <w:rsid w:val="005C2299"/>
    <w:rsid w:val="005D5032"/>
    <w:rsid w:val="005E5C8B"/>
    <w:rsid w:val="005F0819"/>
    <w:rsid w:val="005F52FE"/>
    <w:rsid w:val="005F5ED0"/>
    <w:rsid w:val="005F6D6C"/>
    <w:rsid w:val="005F7E90"/>
    <w:rsid w:val="00611478"/>
    <w:rsid w:val="0061294B"/>
    <w:rsid w:val="006257EC"/>
    <w:rsid w:val="00634555"/>
    <w:rsid w:val="006668A5"/>
    <w:rsid w:val="00671B81"/>
    <w:rsid w:val="00687912"/>
    <w:rsid w:val="006919AA"/>
    <w:rsid w:val="00693562"/>
    <w:rsid w:val="0069357F"/>
    <w:rsid w:val="006A06BF"/>
    <w:rsid w:val="006A3F10"/>
    <w:rsid w:val="006A57E7"/>
    <w:rsid w:val="006B2CF8"/>
    <w:rsid w:val="006D52D1"/>
    <w:rsid w:val="006E6413"/>
    <w:rsid w:val="006E7C0B"/>
    <w:rsid w:val="006F24CF"/>
    <w:rsid w:val="006F609B"/>
    <w:rsid w:val="00707D4B"/>
    <w:rsid w:val="00713B36"/>
    <w:rsid w:val="00720A25"/>
    <w:rsid w:val="00724AC1"/>
    <w:rsid w:val="00737ECD"/>
    <w:rsid w:val="00751967"/>
    <w:rsid w:val="00755CAB"/>
    <w:rsid w:val="007618A4"/>
    <w:rsid w:val="00763B1D"/>
    <w:rsid w:val="00774596"/>
    <w:rsid w:val="00780AC7"/>
    <w:rsid w:val="007A2B2E"/>
    <w:rsid w:val="007B0373"/>
    <w:rsid w:val="007B4484"/>
    <w:rsid w:val="007B75F0"/>
    <w:rsid w:val="007B7F74"/>
    <w:rsid w:val="007C15DD"/>
    <w:rsid w:val="007D0ED8"/>
    <w:rsid w:val="007D1187"/>
    <w:rsid w:val="007D28A7"/>
    <w:rsid w:val="007D2CDE"/>
    <w:rsid w:val="007D2F0E"/>
    <w:rsid w:val="007D445F"/>
    <w:rsid w:val="007D6195"/>
    <w:rsid w:val="007E41BA"/>
    <w:rsid w:val="007F0560"/>
    <w:rsid w:val="007F3EAF"/>
    <w:rsid w:val="0080051D"/>
    <w:rsid w:val="00813416"/>
    <w:rsid w:val="008142A6"/>
    <w:rsid w:val="00821A62"/>
    <w:rsid w:val="00822130"/>
    <w:rsid w:val="00834F2A"/>
    <w:rsid w:val="00835458"/>
    <w:rsid w:val="00843133"/>
    <w:rsid w:val="008572A1"/>
    <w:rsid w:val="00862498"/>
    <w:rsid w:val="00865EB5"/>
    <w:rsid w:val="00874D9D"/>
    <w:rsid w:val="008869E6"/>
    <w:rsid w:val="0089367D"/>
    <w:rsid w:val="00896B84"/>
    <w:rsid w:val="00897100"/>
    <w:rsid w:val="008C3021"/>
    <w:rsid w:val="008D0480"/>
    <w:rsid w:val="008D3AFC"/>
    <w:rsid w:val="008D424E"/>
    <w:rsid w:val="00901095"/>
    <w:rsid w:val="00906992"/>
    <w:rsid w:val="00907754"/>
    <w:rsid w:val="00920AD4"/>
    <w:rsid w:val="00921FA4"/>
    <w:rsid w:val="00923B9B"/>
    <w:rsid w:val="009247B6"/>
    <w:rsid w:val="00932D08"/>
    <w:rsid w:val="00933D82"/>
    <w:rsid w:val="00933E8B"/>
    <w:rsid w:val="00936881"/>
    <w:rsid w:val="00937A10"/>
    <w:rsid w:val="0094185F"/>
    <w:rsid w:val="00945134"/>
    <w:rsid w:val="00951AB0"/>
    <w:rsid w:val="00960F9F"/>
    <w:rsid w:val="00961415"/>
    <w:rsid w:val="0096776C"/>
    <w:rsid w:val="00970BE4"/>
    <w:rsid w:val="0097387E"/>
    <w:rsid w:val="00982DF8"/>
    <w:rsid w:val="00985CF1"/>
    <w:rsid w:val="009A671A"/>
    <w:rsid w:val="009B09AD"/>
    <w:rsid w:val="009B499D"/>
    <w:rsid w:val="009B4EB6"/>
    <w:rsid w:val="009B6E3A"/>
    <w:rsid w:val="009C0415"/>
    <w:rsid w:val="009D1AB3"/>
    <w:rsid w:val="009D5DAB"/>
    <w:rsid w:val="009D665E"/>
    <w:rsid w:val="009D67D5"/>
    <w:rsid w:val="009E1D62"/>
    <w:rsid w:val="009E3D06"/>
    <w:rsid w:val="009E48E6"/>
    <w:rsid w:val="009F33B8"/>
    <w:rsid w:val="009F7F9F"/>
    <w:rsid w:val="00A017E0"/>
    <w:rsid w:val="00A13F6B"/>
    <w:rsid w:val="00A23327"/>
    <w:rsid w:val="00A305C8"/>
    <w:rsid w:val="00A361BD"/>
    <w:rsid w:val="00A537ED"/>
    <w:rsid w:val="00A575B2"/>
    <w:rsid w:val="00A64383"/>
    <w:rsid w:val="00A663E1"/>
    <w:rsid w:val="00A77EE2"/>
    <w:rsid w:val="00AA15DF"/>
    <w:rsid w:val="00AA56BC"/>
    <w:rsid w:val="00AA7A20"/>
    <w:rsid w:val="00AB7308"/>
    <w:rsid w:val="00AC3FFE"/>
    <w:rsid w:val="00AD031C"/>
    <w:rsid w:val="00AE6586"/>
    <w:rsid w:val="00AF30BF"/>
    <w:rsid w:val="00B112A6"/>
    <w:rsid w:val="00B11FD5"/>
    <w:rsid w:val="00B14659"/>
    <w:rsid w:val="00B24F5E"/>
    <w:rsid w:val="00B33B67"/>
    <w:rsid w:val="00B421CB"/>
    <w:rsid w:val="00B44656"/>
    <w:rsid w:val="00B47808"/>
    <w:rsid w:val="00B51E09"/>
    <w:rsid w:val="00B532B0"/>
    <w:rsid w:val="00B66B4F"/>
    <w:rsid w:val="00B67051"/>
    <w:rsid w:val="00B747D0"/>
    <w:rsid w:val="00B750C1"/>
    <w:rsid w:val="00B81311"/>
    <w:rsid w:val="00B82EBF"/>
    <w:rsid w:val="00B907B8"/>
    <w:rsid w:val="00B923F2"/>
    <w:rsid w:val="00BA1AEF"/>
    <w:rsid w:val="00BB3608"/>
    <w:rsid w:val="00BC2F88"/>
    <w:rsid w:val="00BC4626"/>
    <w:rsid w:val="00BC7757"/>
    <w:rsid w:val="00BE0212"/>
    <w:rsid w:val="00BE6784"/>
    <w:rsid w:val="00BF3A90"/>
    <w:rsid w:val="00BF3DF7"/>
    <w:rsid w:val="00C04494"/>
    <w:rsid w:val="00C12CEB"/>
    <w:rsid w:val="00C13FA8"/>
    <w:rsid w:val="00C31C75"/>
    <w:rsid w:val="00C427E7"/>
    <w:rsid w:val="00C635E8"/>
    <w:rsid w:val="00C66839"/>
    <w:rsid w:val="00C73676"/>
    <w:rsid w:val="00C76E0F"/>
    <w:rsid w:val="00C808C3"/>
    <w:rsid w:val="00C80D0A"/>
    <w:rsid w:val="00C82BF8"/>
    <w:rsid w:val="00C84933"/>
    <w:rsid w:val="00C901E6"/>
    <w:rsid w:val="00C9045E"/>
    <w:rsid w:val="00C94FBD"/>
    <w:rsid w:val="00C965EE"/>
    <w:rsid w:val="00CB3AC6"/>
    <w:rsid w:val="00CB4331"/>
    <w:rsid w:val="00CC4B34"/>
    <w:rsid w:val="00CC5E6F"/>
    <w:rsid w:val="00CD5CCF"/>
    <w:rsid w:val="00CE23B4"/>
    <w:rsid w:val="00CE48A5"/>
    <w:rsid w:val="00D03D24"/>
    <w:rsid w:val="00D04D97"/>
    <w:rsid w:val="00D27076"/>
    <w:rsid w:val="00D34269"/>
    <w:rsid w:val="00D34B15"/>
    <w:rsid w:val="00D34E37"/>
    <w:rsid w:val="00D4447D"/>
    <w:rsid w:val="00D47BB9"/>
    <w:rsid w:val="00D53395"/>
    <w:rsid w:val="00D55096"/>
    <w:rsid w:val="00D55273"/>
    <w:rsid w:val="00D55C96"/>
    <w:rsid w:val="00D80632"/>
    <w:rsid w:val="00D82DE8"/>
    <w:rsid w:val="00D86BE2"/>
    <w:rsid w:val="00D93008"/>
    <w:rsid w:val="00DA319B"/>
    <w:rsid w:val="00DB5AE6"/>
    <w:rsid w:val="00DB7CB5"/>
    <w:rsid w:val="00DC2082"/>
    <w:rsid w:val="00DC5E99"/>
    <w:rsid w:val="00DC7721"/>
    <w:rsid w:val="00DD72F4"/>
    <w:rsid w:val="00DF6AF9"/>
    <w:rsid w:val="00E049D2"/>
    <w:rsid w:val="00E06057"/>
    <w:rsid w:val="00E0760E"/>
    <w:rsid w:val="00E21BA6"/>
    <w:rsid w:val="00E2418D"/>
    <w:rsid w:val="00E278A5"/>
    <w:rsid w:val="00E3005A"/>
    <w:rsid w:val="00E31695"/>
    <w:rsid w:val="00E340E6"/>
    <w:rsid w:val="00E341D2"/>
    <w:rsid w:val="00E51A7F"/>
    <w:rsid w:val="00E5652C"/>
    <w:rsid w:val="00E63EF7"/>
    <w:rsid w:val="00E667D3"/>
    <w:rsid w:val="00E7021E"/>
    <w:rsid w:val="00E8192C"/>
    <w:rsid w:val="00EA5648"/>
    <w:rsid w:val="00EA6B72"/>
    <w:rsid w:val="00EA6F61"/>
    <w:rsid w:val="00EB72A7"/>
    <w:rsid w:val="00EC4578"/>
    <w:rsid w:val="00EC7DA4"/>
    <w:rsid w:val="00ED1B78"/>
    <w:rsid w:val="00ED2954"/>
    <w:rsid w:val="00ED698D"/>
    <w:rsid w:val="00EE01CA"/>
    <w:rsid w:val="00EE4E1D"/>
    <w:rsid w:val="00EE65AE"/>
    <w:rsid w:val="00F113B1"/>
    <w:rsid w:val="00F2303F"/>
    <w:rsid w:val="00F25C75"/>
    <w:rsid w:val="00F4076A"/>
    <w:rsid w:val="00F41060"/>
    <w:rsid w:val="00F45CA6"/>
    <w:rsid w:val="00F501B3"/>
    <w:rsid w:val="00F520E1"/>
    <w:rsid w:val="00F5517A"/>
    <w:rsid w:val="00F65150"/>
    <w:rsid w:val="00F67A84"/>
    <w:rsid w:val="00F72530"/>
    <w:rsid w:val="00F727B6"/>
    <w:rsid w:val="00F77AFE"/>
    <w:rsid w:val="00F8679F"/>
    <w:rsid w:val="00F86B08"/>
    <w:rsid w:val="00FA0C87"/>
    <w:rsid w:val="00FA68FF"/>
    <w:rsid w:val="00FA7F90"/>
    <w:rsid w:val="00FB45FB"/>
    <w:rsid w:val="00FD5AE8"/>
    <w:rsid w:val="00FE1644"/>
    <w:rsid w:val="00FE1776"/>
    <w:rsid w:val="00FE297B"/>
    <w:rsid w:val="00FE7D2D"/>
    <w:rsid w:val="00FF129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16956"/>
  <w15:chartTrackingRefBased/>
  <w15:docId w15:val="{7EBA3BCB-CABB-E14A-BAC0-8815B135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DE6"/>
    <w:rPr>
      <w:rFonts w:eastAsiaTheme="minorEastAsia"/>
    </w:rPr>
  </w:style>
  <w:style w:type="paragraph" w:styleId="Heading1">
    <w:name w:val="heading 1"/>
    <w:basedOn w:val="Normal"/>
    <w:next w:val="Normal"/>
    <w:link w:val="Heading1Char"/>
    <w:uiPriority w:val="9"/>
    <w:qFormat/>
    <w:rsid w:val="002023D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023D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023D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02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3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3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3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3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3D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023D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023D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02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3D5"/>
    <w:rPr>
      <w:rFonts w:eastAsiaTheme="majorEastAsia" w:cstheme="majorBidi"/>
      <w:color w:val="272727" w:themeColor="text1" w:themeTint="D8"/>
    </w:rPr>
  </w:style>
  <w:style w:type="paragraph" w:styleId="Title">
    <w:name w:val="Title"/>
    <w:basedOn w:val="Normal"/>
    <w:next w:val="Normal"/>
    <w:link w:val="TitleChar"/>
    <w:uiPriority w:val="10"/>
    <w:qFormat/>
    <w:rsid w:val="002023D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023D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023D5"/>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023D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023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23D5"/>
    <w:rPr>
      <w:i/>
      <w:iCs/>
      <w:color w:val="404040" w:themeColor="text1" w:themeTint="BF"/>
    </w:rPr>
  </w:style>
  <w:style w:type="paragraph" w:styleId="ListParagraph">
    <w:name w:val="List Paragraph"/>
    <w:basedOn w:val="Normal"/>
    <w:uiPriority w:val="34"/>
    <w:qFormat/>
    <w:rsid w:val="002023D5"/>
    <w:pPr>
      <w:ind w:left="720"/>
      <w:contextualSpacing/>
    </w:pPr>
  </w:style>
  <w:style w:type="character" w:styleId="IntenseEmphasis">
    <w:name w:val="Intense Emphasis"/>
    <w:basedOn w:val="DefaultParagraphFont"/>
    <w:uiPriority w:val="21"/>
    <w:qFormat/>
    <w:rsid w:val="002023D5"/>
    <w:rPr>
      <w:i/>
      <w:iCs/>
      <w:color w:val="0F4761" w:themeColor="accent1" w:themeShade="BF"/>
    </w:rPr>
  </w:style>
  <w:style w:type="paragraph" w:styleId="IntenseQuote">
    <w:name w:val="Intense Quote"/>
    <w:basedOn w:val="Normal"/>
    <w:next w:val="Normal"/>
    <w:link w:val="IntenseQuoteChar"/>
    <w:uiPriority w:val="30"/>
    <w:qFormat/>
    <w:rsid w:val="00202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3D5"/>
    <w:rPr>
      <w:i/>
      <w:iCs/>
      <w:color w:val="0F4761" w:themeColor="accent1" w:themeShade="BF"/>
    </w:rPr>
  </w:style>
  <w:style w:type="character" w:styleId="IntenseReference">
    <w:name w:val="Intense Reference"/>
    <w:basedOn w:val="DefaultParagraphFont"/>
    <w:uiPriority w:val="32"/>
    <w:qFormat/>
    <w:rsid w:val="002023D5"/>
    <w:rPr>
      <w:b/>
      <w:bCs/>
      <w:smallCaps/>
      <w:color w:val="0F4761" w:themeColor="accent1" w:themeShade="BF"/>
      <w:spacing w:val="5"/>
    </w:rPr>
  </w:style>
  <w:style w:type="paragraph" w:styleId="NormalWeb">
    <w:name w:val="Normal (Web)"/>
    <w:basedOn w:val="Normal"/>
    <w:uiPriority w:val="99"/>
    <w:unhideWhenUsed/>
    <w:rsid w:val="00985CF1"/>
    <w:pPr>
      <w:spacing w:before="100" w:beforeAutospacing="1" w:after="100" w:afterAutospacing="1"/>
    </w:pPr>
    <w:rPr>
      <w:rFonts w:ascii="Times New Roman" w:eastAsia="Times New Roman" w:hAnsi="Times New Roman" w:cs="Times New Roman"/>
      <w:szCs w:val="24"/>
    </w:rPr>
  </w:style>
  <w:style w:type="paragraph" w:styleId="Bibliography">
    <w:name w:val="Bibliography"/>
    <w:basedOn w:val="Normal"/>
    <w:next w:val="Normal"/>
    <w:uiPriority w:val="37"/>
    <w:unhideWhenUsed/>
    <w:rsid w:val="00763B1D"/>
    <w:pPr>
      <w:tabs>
        <w:tab w:val="left" w:pos="260"/>
      </w:tabs>
      <w:spacing w:line="480" w:lineRule="auto"/>
      <w:ind w:left="264" w:hanging="264"/>
    </w:pPr>
  </w:style>
  <w:style w:type="paragraph" w:styleId="Footer">
    <w:name w:val="footer"/>
    <w:basedOn w:val="Normal"/>
    <w:link w:val="FooterChar"/>
    <w:uiPriority w:val="99"/>
    <w:unhideWhenUsed/>
    <w:rsid w:val="00EA5648"/>
    <w:pPr>
      <w:tabs>
        <w:tab w:val="center" w:pos="4680"/>
        <w:tab w:val="right" w:pos="9360"/>
      </w:tabs>
    </w:pPr>
  </w:style>
  <w:style w:type="character" w:customStyle="1" w:styleId="FooterChar">
    <w:name w:val="Footer Char"/>
    <w:basedOn w:val="DefaultParagraphFont"/>
    <w:link w:val="Footer"/>
    <w:uiPriority w:val="99"/>
    <w:rsid w:val="00EA5648"/>
    <w:rPr>
      <w:rFonts w:eastAsiaTheme="minorEastAsia"/>
    </w:rPr>
  </w:style>
  <w:style w:type="character" w:styleId="PageNumber">
    <w:name w:val="page number"/>
    <w:basedOn w:val="DefaultParagraphFont"/>
    <w:uiPriority w:val="99"/>
    <w:semiHidden/>
    <w:unhideWhenUsed/>
    <w:rsid w:val="00EA5648"/>
  </w:style>
  <w:style w:type="character" w:styleId="LineNumber">
    <w:name w:val="line number"/>
    <w:basedOn w:val="DefaultParagraphFont"/>
    <w:uiPriority w:val="99"/>
    <w:semiHidden/>
    <w:unhideWhenUsed/>
    <w:rsid w:val="00006884"/>
  </w:style>
  <w:style w:type="paragraph" w:styleId="Header">
    <w:name w:val="header"/>
    <w:basedOn w:val="Normal"/>
    <w:link w:val="HeaderChar"/>
    <w:uiPriority w:val="99"/>
    <w:unhideWhenUsed/>
    <w:rsid w:val="009C0415"/>
    <w:pPr>
      <w:tabs>
        <w:tab w:val="center" w:pos="4680"/>
        <w:tab w:val="right" w:pos="9360"/>
      </w:tabs>
    </w:pPr>
  </w:style>
  <w:style w:type="character" w:customStyle="1" w:styleId="HeaderChar">
    <w:name w:val="Header Char"/>
    <w:basedOn w:val="DefaultParagraphFont"/>
    <w:link w:val="Header"/>
    <w:uiPriority w:val="99"/>
    <w:rsid w:val="009C0415"/>
    <w:rPr>
      <w:rFonts w:eastAsiaTheme="minorEastAsia"/>
    </w:rPr>
  </w:style>
  <w:style w:type="table" w:styleId="TableGrid">
    <w:name w:val="Table Grid"/>
    <w:basedOn w:val="TableNormal"/>
    <w:uiPriority w:val="39"/>
    <w:rsid w:val="00A361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993</TotalTime>
  <Pages>24</Pages>
  <Words>33753</Words>
  <Characters>192398</Characters>
  <Application>Microsoft Office Word</Application>
  <DocSecurity>0</DocSecurity>
  <Lines>1603</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197</cp:revision>
  <dcterms:created xsi:type="dcterms:W3CDTF">2026-05-18T20:24:00Z</dcterms:created>
  <dcterms:modified xsi:type="dcterms:W3CDTF">2026-05-29T23:56:00Z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id="R7jt3XPG"/&gt;&lt;style id="http://www.zotero.org/styles/nature" hasBibliography="1" bibliographyStyleHasBeenSet="1"/&gt;&lt;prefs&gt;&lt;pref name="fieldType" value="Field"/&gt;&lt;/prefs&gt;&lt;/data&gt;</vt:lpwstr>
  </property>
</Properties>
</file>