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8E" w:rsidRDefault="00D67D8E" w:rsidP="00913CD4">
      <w:pPr>
        <w:jc w:val="center"/>
        <w:rPr>
          <w:rFonts w:asciiTheme="majorHAnsi" w:hAnsiTheme="majorHAnsi" w:cstheme="majorHAnsi"/>
          <w:b/>
          <w:sz w:val="48"/>
          <w:szCs w:val="44"/>
        </w:rPr>
      </w:pPr>
      <w:r w:rsidRPr="00913CD4">
        <w:rPr>
          <w:rFonts w:asciiTheme="majorHAnsi" w:hAnsiTheme="majorHAnsi" w:cstheme="majorHAnsi"/>
          <w:b/>
          <w:sz w:val="48"/>
          <w:szCs w:val="44"/>
        </w:rPr>
        <w:t>Waste Management</w:t>
      </w:r>
    </w:p>
    <w:p w:rsidR="00913CD4" w:rsidRPr="00913CD4" w:rsidRDefault="00913CD4" w:rsidP="00913CD4">
      <w:pPr>
        <w:jc w:val="center"/>
        <w:rPr>
          <w:rFonts w:asciiTheme="majorHAnsi" w:hAnsiTheme="majorHAnsi" w:cstheme="majorHAnsi"/>
          <w:b/>
          <w:sz w:val="48"/>
          <w:szCs w:val="44"/>
        </w:rPr>
      </w:pPr>
    </w:p>
    <w:p w:rsidR="00D67D8E" w:rsidRPr="00913CD4" w:rsidRDefault="00D67D8E" w:rsidP="00D67D8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13CD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Waste</w:t>
      </w:r>
      <w:r w:rsidRPr="00913C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are unwanted or unusable materials. Waste is any substance which is discarded after primary use, or is worthless, defective and of no use.</w:t>
      </w:r>
    </w:p>
    <w:p w:rsidR="00073EC8" w:rsidRPr="00913CD4" w:rsidRDefault="00D67D8E" w:rsidP="00D67D8E">
      <w:pPr>
        <w:rPr>
          <w:rFonts w:ascii="Arial" w:hAnsi="Arial" w:cs="Arial"/>
          <w:color w:val="222222"/>
          <w:sz w:val="20"/>
          <w:szCs w:val="21"/>
          <w:shd w:val="clear" w:color="auto" w:fill="FFFFFF"/>
        </w:rPr>
      </w:pPr>
      <w:r w:rsidRPr="00913CD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Waste management</w:t>
      </w:r>
      <w:r w:rsidRPr="00913C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are the activities and actions required to manage</w:t>
      </w:r>
      <w:r w:rsidRPr="00913C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waste </w:t>
      </w:r>
      <w:r w:rsidRPr="00913CD4">
        <w:rPr>
          <w:rFonts w:ascii="Arial" w:hAnsi="Arial" w:cs="Arial"/>
          <w:color w:val="222222"/>
          <w:sz w:val="24"/>
          <w:szCs w:val="24"/>
          <w:shd w:val="clear" w:color="auto" w:fill="FFFFFF"/>
        </w:rPr>
        <w:t>from its inception to its final disposal</w:t>
      </w:r>
      <w:r w:rsidRPr="00913CD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913CD4"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includes the collection, transport, treatment and disposal of waste, together with monitoring and regulation of the waste management process</w:t>
      </w:r>
      <w:r w:rsidRPr="00913CD4">
        <w:rPr>
          <w:rFonts w:ascii="Arial" w:hAnsi="Arial" w:cs="Arial"/>
          <w:color w:val="222222"/>
          <w:sz w:val="20"/>
          <w:szCs w:val="21"/>
          <w:shd w:val="clear" w:color="auto" w:fill="FFFFFF"/>
        </w:rPr>
        <w:t>.</w:t>
      </w:r>
    </w:p>
    <w:p w:rsidR="00073EC8" w:rsidRPr="00913CD4" w:rsidRDefault="00073EC8" w:rsidP="00D67D8E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073EC8" w:rsidRPr="00913CD4" w:rsidRDefault="00073EC8" w:rsidP="00D67D8E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913CD4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Sources of waste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3EC8" w:rsidRPr="00913CD4" w:rsidTr="00073EC8">
        <w:tc>
          <w:tcPr>
            <w:tcW w:w="4508" w:type="dxa"/>
          </w:tcPr>
          <w:p w:rsidR="00073EC8" w:rsidRPr="00913CD4" w:rsidRDefault="00913CD4" w:rsidP="00073EC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Source</w:t>
            </w:r>
          </w:p>
        </w:tc>
        <w:tc>
          <w:tcPr>
            <w:tcW w:w="4508" w:type="dxa"/>
          </w:tcPr>
          <w:p w:rsidR="00073EC8" w:rsidRPr="00913CD4" w:rsidRDefault="00073EC8" w:rsidP="00073EC8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Type</w:t>
            </w:r>
          </w:p>
          <w:p w:rsidR="00913CD4" w:rsidRPr="00913CD4" w:rsidRDefault="00913CD4" w:rsidP="00073EC8">
            <w:pPr>
              <w:jc w:val="center"/>
              <w:rPr>
                <w:rFonts w:ascii="Arial" w:hAnsi="Arial" w:cs="Arial"/>
                <w:b/>
                <w:color w:val="222222"/>
                <w:sz w:val="32"/>
                <w:szCs w:val="32"/>
                <w:shd w:val="clear" w:color="auto" w:fill="FFFFFF"/>
              </w:rPr>
            </w:pPr>
          </w:p>
        </w:tc>
      </w:tr>
      <w:tr w:rsidR="00073EC8" w:rsidRPr="00913CD4" w:rsidTr="00073EC8"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b/>
                <w:color w:val="222222"/>
                <w:sz w:val="32"/>
                <w:szCs w:val="32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Residential</w:t>
            </w:r>
          </w:p>
        </w:tc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Food wastes, paper, cardboard, plastics, textiles, leather, yard wastes, wood, glass, metals,</w:t>
            </w: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electronics, batteries, oil.</w:t>
            </w:r>
          </w:p>
          <w:p w:rsidR="00913CD4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073EC8" w:rsidRPr="00913CD4" w:rsidTr="00073EC8"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Industrial</w:t>
            </w:r>
          </w:p>
        </w:tc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Housekeeping wastes, packaging, food wastes, construction and demolition materials, hazardous wastes, ashes.</w:t>
            </w:r>
          </w:p>
          <w:p w:rsidR="00913CD4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073EC8" w:rsidRPr="00913CD4" w:rsidTr="00073EC8"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Commercial</w:t>
            </w:r>
          </w:p>
        </w:tc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Paper, cardboard, plastics, wood, food wastes, glass, metals, special wastes, hazardous wastes.</w:t>
            </w:r>
          </w:p>
          <w:p w:rsidR="00913CD4" w:rsidRPr="00913CD4" w:rsidRDefault="00913CD4" w:rsidP="00D67D8E">
            <w:pPr>
              <w:rPr>
                <w:sz w:val="24"/>
                <w:szCs w:val="24"/>
              </w:rPr>
            </w:pPr>
          </w:p>
        </w:tc>
      </w:tr>
      <w:tr w:rsidR="00073EC8" w:rsidRPr="00913CD4" w:rsidTr="00073EC8"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Institutional</w:t>
            </w:r>
          </w:p>
        </w:tc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Paper, cardboard, plastics, wood, food wastes, glass, metals, special wastes, hazardous wastes.</w:t>
            </w:r>
          </w:p>
          <w:p w:rsidR="00913CD4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bookmarkStart w:id="0" w:name="_GoBack"/>
        <w:bookmarkEnd w:id="0"/>
      </w:tr>
      <w:tr w:rsidR="00073EC8" w:rsidRPr="00913CD4" w:rsidTr="00073EC8"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Construction and demolition</w:t>
            </w:r>
          </w:p>
        </w:tc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Wood, steel, concrete, dirt, etc.</w:t>
            </w:r>
          </w:p>
          <w:p w:rsidR="00913CD4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073EC8" w:rsidRPr="00913CD4" w:rsidTr="00073EC8"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Municipal services</w:t>
            </w:r>
          </w:p>
        </w:tc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Street sweepings; landscape and tree trimmings; general wastes from parks, and other recreational areas.</w:t>
            </w:r>
          </w:p>
          <w:p w:rsidR="00913CD4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073EC8" w:rsidRPr="00913CD4" w:rsidTr="00073EC8"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Agriculture</w:t>
            </w:r>
          </w:p>
        </w:tc>
        <w:tc>
          <w:tcPr>
            <w:tcW w:w="4508" w:type="dxa"/>
          </w:tcPr>
          <w:p w:rsidR="00073EC8" w:rsidRPr="00913CD4" w:rsidRDefault="00913CD4" w:rsidP="00D67D8E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13CD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Spoiled food wastes, agricultural wastes, hazardous wastes (e.g., pesticides).</w:t>
            </w:r>
          </w:p>
          <w:p w:rsidR="00913CD4" w:rsidRPr="00913CD4" w:rsidRDefault="00913CD4" w:rsidP="00D67D8E">
            <w:pPr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073EC8" w:rsidRPr="00913CD4" w:rsidRDefault="00073EC8" w:rsidP="00D67D8E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913CD4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</w:t>
      </w:r>
    </w:p>
    <w:p w:rsidR="00073EC8" w:rsidRPr="00913CD4" w:rsidRDefault="00073EC8" w:rsidP="00D67D8E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073EC8" w:rsidRPr="00913CD4" w:rsidRDefault="00073EC8" w:rsidP="00D67D8E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</w:p>
    <w:p w:rsidR="00D67D8E" w:rsidRPr="00913CD4" w:rsidRDefault="00D67D8E" w:rsidP="00D67D8E">
      <w:pPr>
        <w:rPr>
          <w:rFonts w:cstheme="minorHAnsi"/>
          <w:sz w:val="28"/>
          <w:szCs w:val="28"/>
        </w:rPr>
      </w:pPr>
    </w:p>
    <w:sectPr w:rsidR="00D67D8E" w:rsidRPr="0091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E"/>
    <w:rsid w:val="00073EC8"/>
    <w:rsid w:val="00913CD4"/>
    <w:rsid w:val="00D67D8E"/>
    <w:rsid w:val="00F3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A520"/>
  <w15:chartTrackingRefBased/>
  <w15:docId w15:val="{96CDBAF3-BA02-4A1F-BD85-76A4AF4D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7D8E"/>
    <w:rPr>
      <w:color w:val="0000FF"/>
      <w:u w:val="single"/>
    </w:rPr>
  </w:style>
  <w:style w:type="table" w:styleId="TableGrid">
    <w:name w:val="Table Grid"/>
    <w:basedOn w:val="TableNormal"/>
    <w:uiPriority w:val="39"/>
    <w:rsid w:val="0007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2019-07-27T11:57:00Z</dcterms:created>
  <dcterms:modified xsi:type="dcterms:W3CDTF">2019-07-27T12:40:00Z</dcterms:modified>
</cp:coreProperties>
</file>