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44"/>
          <w:szCs w:val="44"/>
        </w:rPr>
        <w:t xml:space="preserve">Technical Design — School Management System ("SchoolSync")</w:t>
      </w:r>
    </w:p>
    <w:p>
      <w:pPr>
        <w:spacing w:after="80"/>
      </w:pPr>
      <w:r>
        <w:rPr>
          <w:color w:val="555555"/>
          <w:sz w:val="24"/>
          <w:szCs w:val="24"/>
        </w:rPr>
        <w:t xml:space="preserve">School Management System · Technical Design</w:t>
      </w:r>
    </w:p>
    <w:p>
      <w:pPr>
        <w:spacing w:after="320"/>
      </w:pPr>
      <w:r>
        <w:rPr>
          <w:i/>
          <w:iCs/>
          <w:color w:val="888888"/>
          <w:sz w:val="18"/>
          <w:szCs w:val="18"/>
        </w:rPr>
        <w:t xml:space="preserve">Rendered from final-tech-design.md on 2026-09-11. This document is generated — edit the Markdown source, not this file. Changes made here are lost on the next render.</w:t>
      </w:r>
    </w:p>
    <w:p>
      <w:pPr>
        <w:spacing w:after="140"/>
      </w:pPr>
      <w:r>
        <w:t xml:space="preserve">&lt;!-- pipeline-provenance produced</w:t>
      </w:r>
      <w:r>
        <w:rPr>
          <w:i/>
          <w:iCs/>
        </w:rPr>
        <w:t xml:space="preserve">by: tech-design-agent plugin</w:t>
      </w:r>
      <w:r>
        <w:t xml:space="preserve">version: 0.3.0 (sdlc-greenfield-v3) model: claude-sonnet-5 generated: 2026-09-11 phase: 3 (final — all Decides/Spike answered, merged with Phase 1 stated decisions) inputs:</w:t>
      </w:r>
    </w:p>
    <w:p>
      <w:pPr>
        <w:spacing w:after="60"/>
        <w:ind w:left="720"/>
      </w:pPr>
      <w:r>
        <w:t xml:space="preserve">• .pipeline/01-brd/BRD_Final.md</w:t>
      </w:r>
    </w:p>
    <w:p>
      <w:pPr>
        <w:spacing w:after="60"/>
        <w:ind w:left="720"/>
      </w:pPr>
      <w:r>
        <w:t xml:space="preserve">• .pipeline/01-brd/requirements.yaml</w:t>
      </w:r>
    </w:p>
    <w:p>
      <w:pPr>
        <w:spacing w:after="60"/>
        <w:ind w:left="720"/>
      </w:pPr>
      <w:r>
        <w:t xml:space="preserve">• .pipeline/02-tech-design/design-tokens.md</w:t>
      </w:r>
    </w:p>
    <w:p>
      <w:pPr>
        <w:spacing w:after="60"/>
        <w:ind w:left="720"/>
      </w:pPr>
      <w:r>
        <w:t xml:space="preserve">• .pipeline/02-tech-design/_decisions.md (D1–D14, all stand as written)</w:t>
      </w:r>
    </w:p>
    <w:p>
      <w:pPr>
        <w:spacing w:after="60"/>
        <w:ind w:left="720"/>
      </w:pPr>
      <w:r>
        <w:t xml:space="preserve">• .pipeline/02-tech-design/_questions.md (T-001–T-006, SP-001 — all answered by Jayesh Idnani)</w:t>
      </w:r>
    </w:p>
    <w:p>
      <w:pPr>
        <w:spacing w:after="60"/>
        <w:ind w:left="720"/>
      </w:pPr>
      <w:r>
        <w:t xml:space="preserve">• .pipeline/_config/company.md</w:t>
      </w:r>
    </w:p>
    <w:p>
      <w:pPr>
        <w:spacing w:after="60"/>
        <w:ind w:left="720"/>
      </w:pPr>
      <w:r>
        <w:t xml:space="preserve">• .pipeline/_config/project.md</w:t>
      </w:r>
    </w:p>
    <w:p>
      <w:pPr>
        <w:spacing w:after="140"/>
      </w:pPr>
      <w:r>
        <w:t xml:space="preserve">diagrams: self-reviewed, not machine-validated --&gt;</w:t>
      </w: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1. Document Header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Project:</w:t>
      </w:r>
      <w:r>
        <w:t xml:space="preserve"> School Management System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Source of truth for this document:</w:t>
      </w:r>
      <w:r>
        <w:t xml:space="preserve"> </w:t>
      </w:r>
      <w:r>
        <w:rPr>
          <w:rFonts w:ascii="Consolas" w:cs="Consolas" w:eastAsia="Consolas" w:hAnsi="Consolas"/>
        </w:rPr>
        <w:t xml:space="preserve">.pipeline/01-brd/BRD_Final.md</w:t>
      </w:r>
      <w:r>
        <w:t xml:space="preserve"> (business contract — never re-opened here) + </w:t>
      </w:r>
      <w:r>
        <w:rPr>
          <w:rFonts w:ascii="Consolas" w:cs="Consolas" w:eastAsia="Consolas" w:hAnsi="Consolas"/>
        </w:rPr>
        <w:t xml:space="preserve">.pipeline/01-brd/requirements.yaml</w:t>
      </w:r>
      <w:r>
        <w:t xml:space="preserve"> (the requirement spine, all IDs </w:t>
      </w:r>
      <w:r>
        <w:rPr>
          <w:rFonts w:ascii="Consolas" w:cs="Consolas" w:eastAsia="Consolas" w:hAnsi="Consolas"/>
        </w:rPr>
        <w:t xml:space="preserve">priority: must</w:t>
      </w:r>
      <w:r>
        <w:t xml:space="preserve">, </w:t>
      </w:r>
      <w:r>
        <w:rPr>
          <w:rFonts w:ascii="Consolas" w:cs="Consolas" w:eastAsia="Consolas" w:hAnsi="Consolas"/>
        </w:rPr>
        <w:t xml:space="preserve">priority_source: confirmed</w:t>
      </w:r>
      <w:r>
        <w:t xml:space="preserve"> except the 13 explicitly </w:t>
      </w:r>
      <w:r>
        <w:rPr>
          <w:rFonts w:ascii="Consolas" w:cs="Consolas" w:eastAsia="Consolas" w:hAnsi="Consolas"/>
        </w:rPr>
        <w:t xml:space="preserve">excluded</w:t>
      </w:r>
      <w:r>
        <w:t xml:space="preserve"> IDs).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Design tokens:</w:t>
      </w:r>
      <w:r>
        <w:t xml:space="preserve"> </w:t>
      </w:r>
      <w:r>
        <w:rPr>
          <w:rFonts w:ascii="Consolas" w:cs="Consolas" w:eastAsia="Consolas" w:hAnsi="Consolas"/>
        </w:rPr>
        <w:t xml:space="preserve">.pipeline/02-tech-design/design-tokens.md</w:t>
      </w:r>
      <w:r>
        <w:t xml:space="preserve">, confirmed by Jayesh Idnani, 2026-09-11. Every color/size/spacing value in §4 cites a token name from that file — never a raw hex/px.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Decision inputs merged into this document:</w:t>
      </w:r>
    </w:p>
    <w:p>
      <w:pPr>
        <w:spacing w:after="60"/>
        <w:ind w:left="720"/>
      </w:pPr>
      <w:r>
        <w:t xml:space="preserve">• Stated Decisions D1–D14 (</w:t>
      </w:r>
      <w:r>
        <w:rPr>
          <w:rFonts w:ascii="Consolas" w:cs="Consolas" w:eastAsia="Consolas" w:hAnsi="Consolas"/>
        </w:rPr>
        <w:t xml:space="preserve">_decisions.md</w:t>
      </w:r>
      <w:r>
        <w:t xml:space="preserve">) — carried verbatim, no overrides received.</w:t>
      </w:r>
    </w:p>
    <w:p>
      <w:pPr>
        <w:spacing w:after="60"/>
        <w:ind w:left="720"/>
      </w:pPr>
      <w:r>
        <w:t xml:space="preserve">• Worksheet items T-001–T-006 and SP-001 (</w:t>
      </w:r>
      <w:r>
        <w:rPr>
          <w:rFonts w:ascii="Consolas" w:cs="Consolas" w:eastAsia="Consolas" w:hAnsi="Consolas"/>
        </w:rPr>
        <w:t xml:space="preserve">_questions.md</w:t>
      </w:r>
      <w:r>
        <w:t xml:space="preserve">) — all answered by Jayesh Idnani on 2026-09-11. T-006/SP-001 answered as a </w:t>
      </w:r>
      <w:r>
        <w:rPr>
          <w:b/>
          <w:bCs/>
        </w:rPr>
        <w:t xml:space="preserve">waived-spike acceptance</w:t>
      </w:r>
      <w:r>
        <w:t xml:space="preserve">: the leaning candidate (Azure Communication Services Calling SDK) is accepted now, and SP-001's five validation points are carried forward below as </w:t>
      </w:r>
      <w:r>
        <w:rPr>
          <w:b/>
          <w:bCs/>
        </w:rPr>
        <w:t xml:space="preserve">named, owned risks</w:t>
      </w:r>
      <w:r>
        <w:t xml:space="preserve"> (§13), not closed findings.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Status:</w:t>
      </w:r>
      <w:r>
        <w:t xml:space="preserve"> Phase 3 — final. Ready for Gate 2 (readiness reported only; approval is the architect's/operator's call).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Team mode:</w:t>
      </w:r>
      <w:r>
        <w:t xml:space="preserve"> </w:t>
      </w:r>
      <w:r>
        <w:rPr>
          <w:rFonts w:ascii="Consolas" w:cs="Consolas" w:eastAsia="Consolas" w:hAnsi="Consolas"/>
        </w:rPr>
        <w:t xml:space="preserve">team</w:t>
      </w:r>
      <w:r>
        <w:t xml:space="preserve"> per </w:t>
      </w:r>
      <w:r>
        <w:rPr>
          <w:rFonts w:ascii="Consolas" w:cs="Consolas" w:eastAsia="Consolas" w:hAnsi="Consolas"/>
        </w:rPr>
        <w:t xml:space="preserve">project.md</w:t>
      </w:r>
      <w:r>
        <w:t xml:space="preserve"> §1a — Gate 2 approval sits with the named Architect (Jayesh Idnani).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Archetype (from Step 0 of the worksheet, restated for the record):</w:t>
      </w:r>
      <w:r>
        <w:t xml:space="preserve"> Full-stack, multi-tenant SaaS. Builds its own frontend, backend, database and identity/authorization end-to-end. Does not connect to any pre-existing institutional system (BRD explicitly excludes incumbent-system migration, FR-088). Two externally-sourced capabilities: real-time transport (T-001) and live meetings (T-006), both vendor-decided below.</w:t>
      </w:r>
    </w:p>
    <w:p>
      <w:pPr>
        <w:pBdr>
          <w:bottom w:val="single" w:color="DDDDDD" w:sz="6" w:space="1"/>
        </w:pBdr>
        <w:spacing w:after="200" w:before="120"/>
      </w:pP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2. Application Overview &amp; Architecture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2.1 What this application is</w:t>
      </w:r>
    </w:p>
    <w:p>
      <w:pPr>
        <w:spacing w:after="140"/>
      </w:pPr>
      <w:r>
        <w:t xml:space="preserve">A single ASP.NET Core Web API + React SPA solution, deployed as one Azure App Service (API) and one static-hosted SPA (or served from the same App Service — see §15 for the deployment-topology note, out of scope for code-level design), backed by one shared Azure SQL Server database using row-level tenant discriminators. It is </w:t>
      </w:r>
      <w:r>
        <w:rPr>
          <w:b/>
          <w:bCs/>
        </w:rPr>
        <w:t xml:space="preserve">not</w:t>
      </w:r>
      <w:r>
        <w:t xml:space="preserve"> a set of connected microservices and does not integrate with any pre-existing school system — every capability in BRD §6.1–§6.13 is built by this codebase.</w:t>
      </w:r>
    </w:p>
    <w:p>
      <w:pPr>
        <w:spacing w:after="140"/>
      </w:pPr>
      <w:r>
        <w:t xml:space="preserve">Two vendor dependencies sit behind narrow integration contracts (§6): Azure Communication Services (email, SMS, and live meeting calling) and Azure SignalR Service (real-time transport backplane). Everything else — data model, business rules, RBAC, reporting, scheduling, subscription/tiering — is native application logic.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2.2 Component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Builds or Connects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Requirement anchor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Institution management &amp; lifecycle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ENT-001, FR-001–005, BR-001–006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Identity/AuthN/AuthZ (RBAC)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ENT-002, FR-006–010, BR-007–016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 records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ENT-003/004, FR-011–017, BR-017–021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Staff (teacher) records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ENT-005, FR-018–023, BR-022–025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Class/Section/Subject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ENT-006/007, FR-024–029, BR-026–029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Attendance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ENT-008, FR-030–037, BR-030–035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Announcements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ENT-009, FR-038–042, BR-036–039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Collaboration rooms &amp; messaging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Builds (chat logic) + </w:t>
            </w:r>
            <w:r>
              <w:rPr>
                <w:b/>
                <w:bCs/>
              </w:rPr>
              <w:t xml:space="preserve">Connects</w:t>
            </w:r>
            <w:r>
              <w:t xml:space="preserve"> (real-time transport, T-001)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ENT-010/011, FR-043–047, 050–051, BR-040–045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Live meetings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Connects</w:t>
            </w:r>
            <w:r>
              <w:t xml:space="preserve"> (media/calling vendor, T-006)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ENT-012, FR-048–050, BR-046–047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Dashboards &amp; reporting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ENT-013, FR-052–058, BR-048–052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ENT-014, FR-059–062, BR-053–056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Institution configuration &amp; academic year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ENT-016/017, FR-063–068, BR-057–060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Commercial/subscription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ENT-015, FR-069–073, BR-061–064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Notifications (email/SMS)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Connects</w:t>
            </w:r>
            <w:r>
              <w:t xml:space="preserve"> (T-004)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FR-065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Background/async jobs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Builds (T-005 framework)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FR-054/055, FR-065, FR-067/068, CMP-001/002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Report/document storage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Connects</w:t>
            </w:r>
            <w:r>
              <w:t xml:space="preserve"> (Azure Blob Storage, D11)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FR-055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No component here is invented beyond what the BRD requires — there is no admin-facing REST surface for a system that does not exist, and no speculative service boundary.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2.3 Technology stack (from </w:t>
      </w:r>
      <w:r>
        <w:rPr>
          <w:rFonts w:ascii="Consolas" w:cs="Consolas" w:eastAsia="Consolas" w:hAnsi="Consolas"/>
          <w:b/>
          <w:bCs/>
          <w:sz w:val="28"/>
          <w:szCs w:val="28"/>
        </w:rPr>
        <w:t xml:space="preserve">company.md</w:t>
      </w:r>
      <w:r>
        <w:rPr>
          <w:b/>
          <w:bCs/>
          <w:sz w:val="28"/>
          <w:szCs w:val="28"/>
        </w:rPr>
        <w:t xml:space="preserve"> §2 / </w:t>
      </w:r>
      <w:r>
        <w:rPr>
          <w:rFonts w:ascii="Consolas" w:cs="Consolas" w:eastAsia="Consolas" w:hAnsi="Consolas"/>
          <w:b/>
          <w:bCs/>
          <w:sz w:val="28"/>
          <w:szCs w:val="28"/>
        </w:rPr>
        <w:t xml:space="preserve">project.md</w:t>
      </w:r>
      <w:r>
        <w:rPr>
          <w:b/>
          <w:bCs/>
          <w:sz w:val="28"/>
          <w:szCs w:val="28"/>
        </w:rPr>
        <w:t xml:space="preserve"> §2, plus the answered Decides)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Choice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Basis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Backend runtime/framework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C# / .NET, ASP.NET Core Web API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company.md</w:t>
            </w:r>
            <w:r>
              <w:t xml:space="preserve"> §2, </w:t>
            </w:r>
            <w:r>
              <w:rPr>
                <w:rFonts w:ascii="Consolas" w:cs="Consolas" w:eastAsia="Consolas" w:hAnsi="Consolas"/>
              </w:rPr>
              <w:t xml:space="preserve">project.md</w:t>
            </w:r>
            <w:r>
              <w:t xml:space="preserve"> §2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Frontend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(TypeScript)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company.md</w:t>
            </w:r>
            <w:r>
              <w:t xml:space="preserve"> §2, </w:t>
            </w:r>
            <w:r>
              <w:rPr>
                <w:rFonts w:ascii="Consolas" w:cs="Consolas" w:eastAsia="Consolas" w:hAnsi="Consolas"/>
              </w:rPr>
              <w:t xml:space="preserve">project.md</w:t>
            </w:r>
            <w:r>
              <w:t xml:space="preserve"> §2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Primary datastore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 Server (Azure SQL)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company.md</w:t>
            </w:r>
            <w:r>
              <w:t xml:space="preserve"> §2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Hosting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Microsoft Azure (App Service)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company.md</w:t>
            </w:r>
            <w:r>
              <w:t xml:space="preserve"> §2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Real-time transport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SignalR + Azure SignalR Service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T-001</w:t>
            </w:r>
            <w:r>
              <w:t xml:space="preserve">, answered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Multi-tenancy model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Shared DB, </w:t>
            </w:r>
            <w:r>
              <w:rPr>
                <w:rFonts w:ascii="Consolas" w:cs="Consolas" w:eastAsia="Consolas" w:hAnsi="Consolas"/>
              </w:rPr>
              <w:t xml:space="preserve">institution_id</w:t>
            </w:r>
            <w:r>
              <w:t xml:space="preserve"> discriminator, EF Core global query filters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T-002</w:t>
            </w:r>
            <w:r>
              <w:t xml:space="preserve">, answered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Notification vendor (email/SMS)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Azure Communication Services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T-004</w:t>
            </w:r>
            <w:r>
              <w:t xml:space="preserve">, answered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Background jobs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Hangfire, in-process, SQL Server storage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T-005</w:t>
            </w:r>
            <w:r>
              <w:t xml:space="preserve">, answered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Live meetings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Azure Communication Services Calling SDK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T-006</w:t>
            </w:r>
            <w:r>
              <w:t xml:space="preserve">, answered (risks carried forward, §13)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Report/document storage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Azure Blob Storage + SQL metadata row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D11</w:t>
            </w:r>
          </w:p>
        </w:tc>
      </w:tr>
    </w:tbl>
    <w:p>
      <w:pPr>
        <w:spacing w:after="160"/>
      </w:pP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2.4 High-level architecture</w:t>
      </w:r>
    </w:p>
    <w:p>
      <w:pPr>
        <w:shd w:fill="F4F4F4"/>
        <w:spacing w:after="160" w:before="100"/>
      </w:pPr>
      <w:r>
        <w:rPr>
          <w:rFonts w:ascii="Consolas" w:cs="Consolas" w:eastAsia="Consolas" w:hAnsi="Consolas"/>
          <w:sz w:val="18"/>
          <w:szCs w:val="18"/>
        </w:rPr>
        <w:t xml:space="preserve">flowchart TB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subgraph Client["Browser (React SPA)"]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UI[React + TypeScript SPA&lt;br/&gt;TanStack Query / Zustand / React Router]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end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subgraph Azure["Azure"]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subgraph AppService["App Service"]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API[ASP.NET Core Web API&lt;br/&gt;Domain / Application / Infrastructure / Api layers]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Hangfire[Hangfire in-process&lt;br/&gt;reports, notifications, rollover, retention sweep]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end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SignalR[Azure SignalR Service&lt;br/&gt;chat, presence, typing, join/leave]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ACS_Comm[Azure Communication Services&lt;br/&gt;Email + SMS]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ACS_Calling[Azure Communication Services&lt;br/&gt;Calling SDK - live meetings]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SQL[(Azure SQL Server&lt;br/&gt;shared DB, institution_id discriminator)]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Blob[(Azure Blob Storage&lt;br/&gt;report snapshots)]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end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UI --&gt;|REST /api/v1| API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UI &lt;--&gt;|WebSocket/SignalR| SignalR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SignalR &lt;--&gt; API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API --&gt; SQL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API --&gt; Blob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API --&gt; Hangfire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Hangfire --&gt; SQL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Hangfire --&gt; ACS_Comm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API -.-&gt;|token/session, not media relay| ACS_Calling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UI &lt;--&gt;|media session, browser-native| ACS_Calling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2.5 Requirements this architecture directly serves</w:t>
      </w:r>
    </w:p>
    <w:p>
      <w:pPr>
        <w:spacing w:after="140"/>
      </w:pPr>
      <w:r>
        <w:t xml:space="preserve">NFR-020 (many institutions concurrently), NFR-021 (tenant-size range), NFR-022 (attendance-peak absorption via horizontally-scalable App Service + SignalR backplane so no sticky-session bottleneck), NFR-016 (absolute tenant isolation, structural via T-002), NFR-010 (99.5% availability — addressed at the deployment layer, noted as out of scope in §15 but the stateless API design here is what makes that layer's job possible).</w:t>
      </w:r>
    </w:p>
    <w:p>
      <w:pPr>
        <w:pBdr>
          <w:bottom w:val="single" w:color="DDDDDD" w:sz="6" w:space="1"/>
        </w:pBdr>
        <w:spacing w:after="200" w:before="120"/>
      </w:pP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3. Backend / Application Logic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3.1 Layering (D13)</w:t>
      </w:r>
    </w:p>
    <w:p>
      <w:pPr>
        <w:spacing w:after="140"/>
      </w:pPr>
      <w:r>
        <w:t xml:space="preserve">Clean/Onion-style layering as separate projects within one ASP.NET Core solution: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`Domain`</w:t>
      </w:r>
      <w:r>
        <w:t xml:space="preserve"> — entities (Institution, User, Student, Teacher, Class, Subject, AttendanceRecord, Announcement, Room, Message, Meeting, Report, TimetablePeriod, SubscriptionPlan, InstitutionConfiguration, AcademicYear/Term, ParentStudentLink), value objects, and business rule enforcement that does not depend on EF Core or HTTP.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`Application`</w:t>
      </w:r>
      <w:r>
        <w:t xml:space="preserve"> — use-case/service layer (e.g. </w:t>
      </w:r>
      <w:r>
        <w:rPr>
          <w:rFonts w:ascii="Consolas" w:cs="Consolas" w:eastAsia="Consolas" w:hAnsi="Consolas"/>
        </w:rPr>
        <w:t xml:space="preserve">EnrolStudentHandler</w:t>
      </w:r>
      <w:r>
        <w:t xml:space="preserve">, </w:t>
      </w:r>
      <w:r>
        <w:rPr>
          <w:rFonts w:ascii="Consolas" w:cs="Consolas" w:eastAsia="Consolas" w:hAnsi="Consolas"/>
        </w:rPr>
        <w:t xml:space="preserve">MarkAttendanceHandler</w:t>
      </w:r>
      <w:r>
        <w:t xml:space="preserve">, </w:t>
      </w:r>
      <w:r>
        <w:rPr>
          <w:rFonts w:ascii="Consolas" w:cs="Consolas" w:eastAsia="Consolas" w:hAnsi="Consolas"/>
        </w:rPr>
        <w:t xml:space="preserve">PromoteRosterHandler</w:t>
      </w:r>
      <w:r>
        <w:t xml:space="preserve">), DTOs, validation, the institution-scoping contract each handler must honor.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`Infrastructure`</w:t>
      </w:r>
      <w:r>
        <w:t xml:space="preserve"> — EF Core </w:t>
      </w:r>
      <w:r>
        <w:rPr>
          <w:rFonts w:ascii="Consolas" w:cs="Consolas" w:eastAsia="Consolas" w:hAnsi="Consolas"/>
        </w:rPr>
        <w:t xml:space="preserve">DbContext</w:t>
      </w:r>
      <w:r>
        <w:t xml:space="preserve"> and configurations (including the global query filters, D4/T-002), the Hangfire job definitions (T-005), the ACS email/SMS/calling clients (T-004/T-006), the SignalR hub implementations (T-001), the Azure Blob Storage client (D11).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`Api`</w:t>
      </w:r>
      <w:r>
        <w:t xml:space="preserve"> — ASP.NET Core Web API controllers (D5), authentication/authorization middleware, request/response mapping, SignalR hub route registration.</w:t>
      </w:r>
    </w:p>
    <w:p>
      <w:pPr>
        <w:spacing w:after="140"/>
      </w:pPr>
      <w:r>
        <w:rPr>
          <w:b/>
          <w:bCs/>
        </w:rPr>
        <w:t xml:space="preserve">Rationale:</w:t>
      </w:r>
      <w:r>
        <w:t xml:space="preserve"> standard layering for a .NET Web API of this size; keeps domain logic unit-testable independent of EF Core/HTTP, per </w:t>
      </w:r>
      <w:r>
        <w:rPr>
          <w:rFonts w:ascii="Consolas" w:cs="Consolas" w:eastAsia="Consolas" w:hAnsi="Consolas"/>
        </w:rPr>
        <w:t xml:space="preserve">company.md</w:t>
      </w:r>
      <w:r>
        <w:t xml:space="preserve"> §7's unit + integration split.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3.2 API style (D5)</w:t>
      </w:r>
    </w:p>
    <w:p>
      <w:pPr>
        <w:spacing w:after="140"/>
      </w:pPr>
      <w:r>
        <w:t xml:space="preserve">RESTful JSON over ASP.NET Core Web API controllers, URL-versioned: </w:t>
      </w:r>
      <w:r>
        <w:rPr>
          <w:rFonts w:ascii="Consolas" w:cs="Consolas" w:eastAsia="Consolas" w:hAnsi="Consolas"/>
        </w:rPr>
        <w:t xml:space="preserve">/api/v1/institutions</w:t>
      </w:r>
      <w:r>
        <w:t xml:space="preserve">, </w:t>
      </w:r>
      <w:r>
        <w:rPr>
          <w:rFonts w:ascii="Consolas" w:cs="Consolas" w:eastAsia="Consolas" w:hAnsi="Consolas"/>
        </w:rPr>
        <w:t xml:space="preserve">/api/v1/students</w:t>
      </w:r>
      <w:r>
        <w:t xml:space="preserve">, </w:t>
      </w:r>
      <w:r>
        <w:rPr>
          <w:rFonts w:ascii="Consolas" w:cs="Consolas" w:eastAsia="Consolas" w:hAnsi="Consolas"/>
        </w:rPr>
        <w:t xml:space="preserve">/api/v1/attendance</w:t>
      </w:r>
      <w:r>
        <w:t xml:space="preserve">, etc. See §7 for the endpoint inventory.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3.3 RBAC / multi-tenancy enforcement (D4, T-002)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Roles (BR-007):</w:t>
      </w:r>
      <w:r>
        <w:t xml:space="preserve"> PlatformOperator, Administrator, Principal, SchoolInCharge, Teacher, Student, Parent — a closed, finite set. Implemented as ASP.NET Core policy-based authorization.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Claims:</w:t>
      </w:r>
      <w:r>
        <w:t xml:space="preserve"> JWT carries </w:t>
      </w:r>
      <w:r>
        <w:rPr>
          <w:rFonts w:ascii="Consolas" w:cs="Consolas" w:eastAsia="Consolas" w:hAnsi="Consolas"/>
        </w:rPr>
        <w:t xml:space="preserve">sub</w:t>
      </w:r>
      <w:r>
        <w:t xml:space="preserve"> (user id), </w:t>
      </w:r>
      <w:r>
        <w:rPr>
          <w:rFonts w:ascii="Consolas" w:cs="Consolas" w:eastAsia="Consolas" w:hAnsi="Consolas"/>
        </w:rPr>
        <w:t xml:space="preserve">role</w:t>
      </w:r>
      <w:r>
        <w:t xml:space="preserve">, and </w:t>
      </w:r>
      <w:r>
        <w:rPr>
          <w:rFonts w:ascii="Consolas" w:cs="Consolas" w:eastAsia="Consolas" w:hAnsi="Consolas"/>
        </w:rPr>
        <w:t xml:space="preserve">institution_id</w:t>
      </w:r>
      <w:r>
        <w:t xml:space="preserve">. Every controller action is annotated with a policy requiring one or more of the seven roles; policies are the only place role logic is expressed (no scattered </w:t>
      </w:r>
      <w:r>
        <w:rPr>
          <w:rFonts w:ascii="Consolas" w:cs="Consolas" w:eastAsia="Consolas" w:hAnsi="Consolas"/>
        </w:rPr>
        <w:t xml:space="preserve">if (role == ...)</w:t>
      </w:r>
      <w:r>
        <w:t xml:space="preserve"> checks in handlers).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Institution scoping (T-002):</w:t>
      </w:r>
      <w:r>
        <w:t xml:space="preserve"> every tenant-owned </w:t>
      </w:r>
      <w:r>
        <w:rPr>
          <w:rFonts w:ascii="Consolas" w:cs="Consolas" w:eastAsia="Consolas" w:hAnsi="Consolas"/>
        </w:rPr>
        <w:t xml:space="preserve">DbSet&lt;T&gt;</w:t>
      </w:r>
      <w:r>
        <w:t xml:space="preserve"> has an EF Core global query filter </w:t>
      </w:r>
      <w:r>
        <w:rPr>
          <w:rFonts w:ascii="Consolas" w:cs="Consolas" w:eastAsia="Consolas" w:hAnsi="Consolas"/>
        </w:rPr>
        <w:t xml:space="preserve">HasQueryFilter(e =&gt; e.InstitutionId == _currentInstitutionAccessor.InstitutionId)</w:t>
      </w:r>
      <w:r>
        <w:t xml:space="preserve">, applied via a shared </w:t>
      </w:r>
      <w:r>
        <w:rPr>
          <w:rFonts w:ascii="Consolas" w:cs="Consolas" w:eastAsia="Consolas" w:hAnsi="Consolas"/>
        </w:rPr>
        <w:t xml:space="preserve">IEntityTypeConfiguration&lt;T&gt;</w:t>
      </w:r>
      <w:r>
        <w:t xml:space="preserve"> base or convention so it cannot be omitted per-entity. The </w:t>
      </w:r>
      <w:r>
        <w:rPr>
          <w:rFonts w:ascii="Consolas" w:cs="Consolas" w:eastAsia="Consolas" w:hAnsi="Consolas"/>
        </w:rPr>
        <w:t xml:space="preserve">PlatformOperator</w:t>
      </w:r>
      <w:r>
        <w:t xml:space="preserve"> role is the only one permitted to bypass this filter, and only through an explicitly named cross-tenant query path (</w:t>
      </w:r>
      <w:r>
        <w:rPr>
          <w:rFonts w:ascii="Consolas" w:cs="Consolas" w:eastAsia="Consolas" w:hAnsi="Consolas"/>
        </w:rPr>
        <w:t xml:space="preserve">IgnoreQueryFilters()</w:t>
      </w:r>
      <w:r>
        <w:t xml:space="preserve"> used solely inside a </w:t>
      </w:r>
      <w:r>
        <w:rPr>
          <w:rFonts w:ascii="Consolas" w:cs="Consolas" w:eastAsia="Consolas" w:hAnsi="Consolas"/>
        </w:rPr>
        <w:t xml:space="preserve">PlatformOperatorQueryService</w:t>
      </w:r>
      <w:r>
        <w:t xml:space="preserve">, never ad hoc in a handler) — satisfies BR-013 and NFR-016's "absolute isolation... sole bounded exception" requirement structurally, not by developer discipline.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Platform-global tables</w:t>
      </w:r>
      <w:r>
        <w:t xml:space="preserve"> (not institution-scoped): </w:t>
      </w:r>
      <w:r>
        <w:rPr>
          <w:rFonts w:ascii="Consolas" w:cs="Consolas" w:eastAsia="Consolas" w:hAnsi="Consolas"/>
        </w:rPr>
        <w:t xml:space="preserve">SubscriptionPlan</w:t>
      </w:r>
      <w:r>
        <w:t xml:space="preserve"> catalogue, </w:t>
      </w:r>
      <w:r>
        <w:rPr>
          <w:rFonts w:ascii="Consolas" w:cs="Consolas" w:eastAsia="Consolas" w:hAnsi="Consolas"/>
        </w:rPr>
        <w:t xml:space="preserve">PublicInstitutionDirectoryProjection</w:t>
      </w:r>
      <w:r>
        <w:t xml:space="preserve"> (FR-005 — read-only projection of name + city/region only, refreshed from </w:t>
      </w:r>
      <w:r>
        <w:rPr>
          <w:rFonts w:ascii="Consolas" w:cs="Consolas" w:eastAsia="Consolas" w:hAnsi="Consolas"/>
        </w:rPr>
        <w:t xml:space="preserve">Institution</w:t>
      </w:r>
      <w:r>
        <w:t xml:space="preserve"> on write).</w:t>
      </w:r>
    </w:p>
    <w:p>
      <w:pPr>
        <w:spacing w:after="60"/>
        <w:ind w:left="360"/>
      </w:pPr>
      <w:r>
        <w:t xml:space="preserve">• Traces: BR-007–013, BR-009, NFR-015, NFR-016.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3.4 Real-time transport (T-001)</w:t>
      </w:r>
    </w:p>
    <w:p>
      <w:pPr>
        <w:spacing w:after="140"/>
      </w:pPr>
      <w:r>
        <w:t xml:space="preserve">SignalR hub(s) — a </w:t>
      </w:r>
      <w:r>
        <w:rPr>
          <w:rFonts w:ascii="Consolas" w:cs="Consolas" w:eastAsia="Consolas" w:hAnsi="Consolas"/>
        </w:rPr>
        <w:t xml:space="preserve">CollaborationHub</w:t>
      </w:r>
      <w:r>
        <w:t xml:space="preserve"> handling: message send/receive (FR-045), presence (FR-047), typing indicators (FR-047), join/leave notices (FR-047, FR-050) — backed by Azure SignalR Service in "Default" mode as the scale-out backplane, so App Service instances can scale horizontally under NFR-022's attendance-day traffic peaks without sticky sessions. Group membership = room id; the hub authorizes group-join against the room's passcode-verified session (never re-checks the passcode on every message — verified once at join, per BR-041).</w:t>
      </w:r>
    </w:p>
    <w:p>
      <w:pPr>
        <w:spacing w:after="140"/>
      </w:pPr>
      <w:r>
        <w:t xml:space="preserve">Reconnection: SignalR's built-in automatic reconnect handles NFR-012's "interrupted sessions reconnect automatically"; on reconnect the client re-fetches message history from the REST API (</w:t>
      </w:r>
      <w:r>
        <w:rPr>
          <w:rFonts w:ascii="Consolas" w:cs="Consolas" w:eastAsia="Consolas" w:hAnsi="Consolas"/>
        </w:rPr>
        <w:t xml:space="preserve">GET /api/v1/rooms/{id}/messages</w:t>
      </w:r>
      <w:r>
        <w:t xml:space="preserve">) to "restore conversation history" per NFR-012, since SignalR reconnect alone does not replay missed messages.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3.5 Background/async jobs (T-005)</w:t>
      </w:r>
    </w:p>
    <w:p>
      <w:pPr>
        <w:spacing w:after="140"/>
      </w:pPr>
      <w:r>
        <w:t xml:space="preserve">Hangfire, self-hosted in-process in the same App Service, SQL Server storage provider. Job definitions: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Job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Report generation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On-demand enqueue from </w:t>
            </w:r>
            <w:r>
              <w:rPr>
                <w:rFonts w:ascii="Consolas" w:cs="Consolas" w:eastAsia="Consolas" w:hAnsi="Consolas"/>
              </w:rPr>
              <w:t xml:space="preserve">POST /api/v1/reports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FR-054/055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Notification dispatch (email/SMS)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Enqueued on announcement publish, attendance events, etc., per institution notification config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FR-065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Academic year rollover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Scheduled (institution's configured academic-year end) + on-demand trigger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FR-067/068, BR-060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Retention/deletion sweep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Scheduled daily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CMP-001/002/003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Each job is institution-scoped where applicable (rollover, notification dispatch) and runs inside the same global-query-filter discipline as request-path code (the job's execution context sets the </w:t>
      </w:r>
      <w:r>
        <w:rPr>
          <w:rFonts w:ascii="Consolas" w:cs="Consolas" w:eastAsia="Consolas" w:hAnsi="Consolas"/>
        </w:rPr>
        <w:t xml:space="preserve">institution_id</w:t>
      </w:r>
      <w:r>
        <w:t xml:space="preserve"> accessor explicitly, since there is no HTTP request to derive it from).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3.6 Audit logging (D9)</w:t>
      </w:r>
    </w:p>
    <w:p>
      <w:pPr>
        <w:spacing w:after="140"/>
      </w:pPr>
      <w:r>
        <w:t xml:space="preserve">A dedicated </w:t>
      </w:r>
      <w:r>
        <w:rPr>
          <w:rFonts w:ascii="Consolas" w:cs="Consolas" w:eastAsia="Consolas" w:hAnsi="Consolas"/>
        </w:rPr>
        <w:t xml:space="preserve">AuditLog</w:t>
      </w:r>
      <w:r>
        <w:t xml:space="preserve"> table (actor user id, institution id, action, entity type, entity id, before/after snapshot as JSON, timestamp UTC, correlation id), populated via an EF Core </w:t>
      </w:r>
      <w:r>
        <w:rPr>
          <w:rFonts w:ascii="Consolas" w:cs="Consolas" w:eastAsia="Consolas" w:hAnsi="Consolas"/>
        </w:rPr>
        <w:t xml:space="preserve">SaveChanges</w:t>
      </w:r>
      <w:r>
        <w:t xml:space="preserve"> interceptor so no individual endpoint can forget to write an audit row. Satisfies NFR-028–033, BR-059 (</w:t>
      </w:r>
      <w:r>
        <w:rPr>
          <w:rFonts w:ascii="Consolas" w:cs="Consolas" w:eastAsia="Consolas" w:hAnsi="Consolas"/>
        </w:rPr>
        <w:t xml:space="preserve">L4</w:t>
      </w:r>
      <w:r>
        <w:t xml:space="preserve">, no separate decision needed), BR-039, BR-044.</w:t>
      </w:r>
    </w:p>
    <w:p>
      <w:pPr>
        <w:spacing w:after="140"/>
      </w:pPr>
      <w:r>
        <w:t xml:space="preserve">Sign-in/sign-out/permission-denial events (NFR-031) are logged the same way from the authentication middleware, not the </w:t>
      </w:r>
      <w:r>
        <w:rPr>
          <w:rFonts w:ascii="Consolas" w:cs="Consolas" w:eastAsia="Consolas" w:hAnsi="Consolas"/>
        </w:rPr>
        <w:t xml:space="preserve">SaveChanges</w:t>
      </w:r>
      <w:r>
        <w:t xml:space="preserve"> interceptor (they are not entity changes).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3.7 Academic year / term modeling (D14)</w:t>
      </w:r>
    </w:p>
    <w:p>
      <w:pPr>
        <w:spacing w:after="140"/>
      </w:pPr>
      <w:r>
        <w:rPr>
          <w:rFonts w:ascii="Consolas" w:cs="Consolas" w:eastAsia="Consolas" w:hAnsi="Consolas"/>
        </w:rPr>
        <w:t xml:space="preserve">AcademicYear</w:t>
      </w:r>
      <w:r>
        <w:t xml:space="preserve"> and </w:t>
      </w:r>
      <w:r>
        <w:rPr>
          <w:rFonts w:ascii="Consolas" w:cs="Consolas" w:eastAsia="Consolas" w:hAnsi="Consolas"/>
        </w:rPr>
        <w:t xml:space="preserve">Term</w:t>
      </w:r>
      <w:r>
        <w:t xml:space="preserve"> are first-class entities (ENT-017). Rollover (FR-067/068) creates a new year-scoped </w:t>
      </w:r>
      <w:r>
        <w:rPr>
          <w:rFonts w:ascii="Consolas" w:cs="Consolas" w:eastAsia="Consolas" w:hAnsi="Consolas"/>
        </w:rPr>
        <w:t xml:space="preserve">Enrollment</w:t>
      </w:r>
      <w:r>
        <w:t xml:space="preserve">/</w:t>
      </w:r>
      <w:r>
        <w:rPr>
          <w:rFonts w:ascii="Consolas" w:cs="Consolas" w:eastAsia="Consolas" w:hAnsi="Consolas"/>
        </w:rPr>
        <w:t xml:space="preserve">ClassRosterHistory</w:t>
      </w:r>
      <w:r>
        <w:t xml:space="preserve"> row per promoted student rather than mutating the live roster in place — prior years' rosters, class allocations and attendance stay queryable and read-only exactly as BR-060 requires. Leadership's override/hold-back (FR-067) is applied as an exception list evaluated against the automatic-promotion job before it commits, or as a post-hoc correction creating a new </w:t>
      </w:r>
      <w:r>
        <w:rPr>
          <w:rFonts w:ascii="Consolas" w:cs="Consolas" w:eastAsia="Consolas" w:hAnsi="Consolas"/>
        </w:rPr>
        <w:t xml:space="preserve">Enrollment</w:t>
      </w:r>
      <w:r>
        <w:t xml:space="preserve"> row (never editing history).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3.8 Parent-to-Student association (T-003, resolves FR-017)</w:t>
      </w:r>
    </w:p>
    <w:p>
      <w:pPr>
        <w:spacing w:after="60"/>
        <w:ind w:left="360"/>
      </w:pPr>
      <w:r>
        <w:t xml:space="preserve">• </w:t>
      </w:r>
      <w:r>
        <w:rPr>
          <w:rFonts w:ascii="Consolas" w:cs="Consolas" w:eastAsia="Consolas" w:hAnsi="Consolas"/>
        </w:rPr>
        <w:t xml:space="preserve">ParentLinkCode</w:t>
      </w:r>
      <w:r>
        <w:t xml:space="preserve"> entity: student id, code (8-char random, single-use), issued-by (staff user id), issued-at, expires-at (7 days from issue), consumed-at (nullable), consumed-by-user-id (nullable), revoked-at (nullable).</w:t>
      </w:r>
    </w:p>
    <w:p>
      <w:pPr>
        <w:spacing w:after="60"/>
        <w:ind w:left="360"/>
      </w:pPr>
      <w:r>
        <w:t xml:space="preserve">• Staff generate a code against a student record (any time after enrolment, FR-011); regenerable if unused/expired.</w:t>
      </w:r>
    </w:p>
    <w:p>
      <w:pPr>
        <w:spacing w:after="60"/>
        <w:ind w:left="360"/>
      </w:pPr>
      <w:r>
        <w:t xml:space="preserve">• A self-registering Parent (FR-006) submits the code during/after registration; validated (unused, unexpired, belongs to an institution matching the parent's chosen institution) and creates a </w:t>
      </w:r>
      <w:r>
        <w:rPr>
          <w:rFonts w:ascii="Consolas" w:cs="Consolas" w:eastAsia="Consolas" w:hAnsi="Consolas"/>
        </w:rPr>
        <w:t xml:space="preserve">ParentStudentLink</w:t>
      </w:r>
      <w:r>
        <w:t xml:space="preserve"> row (many-to-many: </w:t>
      </w:r>
      <w:r>
        <w:rPr>
          <w:rFonts w:ascii="Consolas" w:cs="Consolas" w:eastAsia="Consolas" w:hAnsi="Consolas"/>
        </w:rPr>
        <w:t xml:space="preserve">parent_user_id</w:t>
      </w:r>
      <w:r>
        <w:t xml:space="preserve">, </w:t>
      </w:r>
      <w:r>
        <w:rPr>
          <w:rFonts w:ascii="Consolas" w:cs="Consolas" w:eastAsia="Consolas" w:hAnsi="Consolas"/>
        </w:rPr>
        <w:t xml:space="preserve">student_id</w:t>
      </w:r>
      <w:r>
        <w:t xml:space="preserve">) — supports BR-066's "linked children" plural.</w:t>
      </w:r>
    </w:p>
    <w:p>
      <w:pPr>
        <w:spacing w:after="60"/>
        <w:ind w:left="360"/>
      </w:pPr>
      <w:r>
        <w:t xml:space="preserve">• Consumed codes cannot be reused. Staff can revoke an unconsumed code or unlink a pair later.</w:t>
      </w:r>
    </w:p>
    <w:p>
      <w:pPr>
        <w:spacing w:after="60"/>
        <w:ind w:left="360"/>
      </w:pPr>
      <w:r>
        <w:t xml:space="preserve">• No additional identity-proofing introduced (matches FR-006's no-approval-step posture).</w:t>
      </w:r>
    </w:p>
    <w:p>
      <w:pPr>
        <w:spacing w:after="60"/>
        <w:ind w:left="360"/>
      </w:pPr>
      <w:r>
        <w:t xml:space="preserve">• Traces: FR-017 (BRD-deferred item, now resolved), FR-075, BR-066.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3.9 Notification delivery (T-004)</w:t>
      </w:r>
    </w:p>
    <w:p>
      <w:pPr>
        <w:spacing w:after="140"/>
      </w:pPr>
      <w:r>
        <w:t xml:space="preserve">Azure Communication Services for both email and SMS, dispatched via the Hangfire notification job (§3.5), driven by each institution's </w:t>
      </w:r>
      <w:r>
        <w:rPr>
          <w:rFonts w:ascii="Consolas" w:cs="Consolas" w:eastAsia="Consolas" w:hAnsi="Consolas"/>
        </w:rPr>
        <w:t xml:space="preserve">InstitutionConfiguration.NotificationPreferences</w:t>
      </w:r>
      <w:r>
        <w:t xml:space="preserve"> (FR-065). In-platform alerts are delivered over the same SignalR channel as chat (T-001) rather than a separate channel.</w:t>
      </w:r>
    </w:p>
    <w:p>
      <w:pPr>
        <w:pBdr>
          <w:bottom w:val="single" w:color="DDDDDD" w:sz="6" w:space="1"/>
        </w:pBdr>
        <w:spacing w:after="200" w:before="120"/>
      </w:pP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4. Frontend Architecture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4.1 Stack (D6)</w:t>
      </w:r>
    </w:p>
    <w:p>
      <w:pPr>
        <w:spacing w:after="140"/>
      </w:pPr>
      <w:r>
        <w:t xml:space="preserve">React + TypeScript SPA. </w:t>
      </w:r>
      <w:r>
        <w:rPr>
          <w:b/>
          <w:bCs/>
        </w:rPr>
        <w:t xml:space="preserve">TanStack Query (React Query)</w:t>
      </w:r>
      <w:r>
        <w:t xml:space="preserve"> for server-state/data-fetching and caching; </w:t>
      </w:r>
      <w:r>
        <w:rPr>
          <w:b/>
          <w:bCs/>
        </w:rPr>
        <w:t xml:space="preserve">Zustand</w:t>
      </w:r>
      <w:r>
        <w:t xml:space="preserve"> for local/UI state (active room, meeting media mute/camera state); </w:t>
      </w:r>
      <w:r>
        <w:rPr>
          <w:b/>
          <w:bCs/>
        </w:rPr>
        <w:t xml:space="preserve">React Router</w:t>
      </w:r>
      <w:r>
        <w:t xml:space="preserve"> for routing. Component library: </w:t>
      </w:r>
      <w:r>
        <w:rPr>
          <w:b/>
          <w:bCs/>
        </w:rPr>
        <w:t xml:space="preserve">shadcn/ui + Radix primitives</w:t>
      </w:r>
      <w:r>
        <w:t xml:space="preserve">, themed via Tailwind config bound to the tokens in </w:t>
      </w:r>
      <w:r>
        <w:rPr>
          <w:rFonts w:ascii="Consolas" w:cs="Consolas" w:eastAsia="Consolas" w:hAnsi="Consolas"/>
        </w:rPr>
        <w:t xml:space="preserve">design-tokens.md</w:t>
      </w:r>
      <w:r>
        <w:t xml:space="preserve"> (operator decision, 2026-09-11 — recorded there, not re-decided here).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4.2 Design tokens — cited by name only</w:t>
      </w:r>
    </w:p>
    <w:p>
      <w:pPr>
        <w:spacing w:after="140"/>
      </w:pPr>
      <w:r>
        <w:t xml:space="preserve">Every value below is a token name from </w:t>
      </w:r>
      <w:r>
        <w:rPr>
          <w:rFonts w:ascii="Consolas" w:cs="Consolas" w:eastAsia="Consolas" w:hAnsi="Consolas"/>
        </w:rPr>
        <w:t xml:space="preserve">.pipeline/02-tech-design/design-tokens.md</w:t>
      </w:r>
      <w:r>
        <w:t xml:space="preserve">; no raw hex/px value is introduced in this design.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Color:</w:t>
      </w:r>
      <w:r>
        <w:t xml:space="preserve"> </w:t>
      </w:r>
      <w:r>
        <w:rPr>
          <w:rFonts w:ascii="Consolas" w:cs="Consolas" w:eastAsia="Consolas" w:hAnsi="Consolas"/>
        </w:rPr>
        <w:t xml:space="preserve">color-primary</w:t>
      </w:r>
      <w:r>
        <w:t xml:space="preserve"> / </w:t>
      </w:r>
      <w:r>
        <w:rPr>
          <w:rFonts w:ascii="Consolas" w:cs="Consolas" w:eastAsia="Consolas" w:hAnsi="Consolas"/>
        </w:rPr>
        <w:t xml:space="preserve">color-primary-hover</w:t>
      </w:r>
      <w:r>
        <w:t xml:space="preserve"> for primary actions and active nav (NFR-001 role-aware nav); </w:t>
      </w:r>
      <w:r>
        <w:rPr>
          <w:rFonts w:ascii="Consolas" w:cs="Consolas" w:eastAsia="Consolas" w:hAnsi="Consolas"/>
        </w:rPr>
        <w:t xml:space="preserve">color-primary-subtle-bg</w:t>
      </w:r>
      <w:r>
        <w:t xml:space="preserve"> + </w:t>
      </w:r>
      <w:r>
        <w:rPr>
          <w:rFonts w:ascii="Consolas" w:cs="Consolas" w:eastAsia="Consolas" w:hAnsi="Consolas"/>
        </w:rPr>
        <w:t xml:space="preserve">color-primary-subtle-text</w:t>
      </w:r>
      <w:r>
        <w:t xml:space="preserve"> for badges and selected-nav background; </w:t>
      </w:r>
      <w:r>
        <w:rPr>
          <w:rFonts w:ascii="Consolas" w:cs="Consolas" w:eastAsia="Consolas" w:hAnsi="Consolas"/>
        </w:rPr>
        <w:t xml:space="preserve">color-surface</w:t>
      </w:r>
      <w:r>
        <w:t xml:space="preserve"> / </w:t>
      </w:r>
      <w:r>
        <w:rPr>
          <w:rFonts w:ascii="Consolas" w:cs="Consolas" w:eastAsia="Consolas" w:hAnsi="Consolas"/>
        </w:rPr>
        <w:t xml:space="preserve">color-background</w:t>
      </w:r>
      <w:r>
        <w:t xml:space="preserve"> / </w:t>
      </w:r>
      <w:r>
        <w:rPr>
          <w:rFonts w:ascii="Consolas" w:cs="Consolas" w:eastAsia="Consolas" w:hAnsi="Consolas"/>
        </w:rPr>
        <w:t xml:space="preserve">color-border</w:t>
      </w:r>
      <w:r>
        <w:t xml:space="preserve"> / </w:t>
      </w:r>
      <w:r>
        <w:rPr>
          <w:rFonts w:ascii="Consolas" w:cs="Consolas" w:eastAsia="Consolas" w:hAnsi="Consolas"/>
        </w:rPr>
        <w:t xml:space="preserve">color-border-subtle</w:t>
      </w:r>
      <w:r>
        <w:t xml:space="preserve"> for page and card chrome; </w:t>
      </w:r>
      <w:r>
        <w:rPr>
          <w:rFonts w:ascii="Consolas" w:cs="Consolas" w:eastAsia="Consolas" w:hAnsi="Consolas"/>
        </w:rPr>
        <w:t xml:space="preserve">color-text-primary</w:t>
      </w:r>
      <w:r>
        <w:t xml:space="preserve"> / </w:t>
      </w:r>
      <w:r>
        <w:rPr>
          <w:rFonts w:ascii="Consolas" w:cs="Consolas" w:eastAsia="Consolas" w:hAnsi="Consolas"/>
        </w:rPr>
        <w:t xml:space="preserve">-secondary</w:t>
      </w:r>
      <w:r>
        <w:t xml:space="preserve"> / </w:t>
      </w:r>
      <w:r>
        <w:rPr>
          <w:rFonts w:ascii="Consolas" w:cs="Consolas" w:eastAsia="Consolas" w:hAnsi="Consolas"/>
        </w:rPr>
        <w:t xml:space="preserve">-tertiary</w:t>
      </w:r>
      <w:r>
        <w:t xml:space="preserve"> / </w:t>
      </w:r>
      <w:r>
        <w:rPr>
          <w:rFonts w:ascii="Consolas" w:cs="Consolas" w:eastAsia="Consolas" w:hAnsi="Consolas"/>
        </w:rPr>
        <w:t xml:space="preserve">-quaternary</w:t>
      </w:r>
      <w:r>
        <w:t xml:space="preserve"> for the text hierarchy; </w:t>
      </w:r>
      <w:r>
        <w:rPr>
          <w:rFonts w:ascii="Consolas" w:cs="Consolas" w:eastAsia="Consolas" w:hAnsi="Consolas"/>
        </w:rPr>
        <w:t xml:space="preserve">color-success</w:t>
      </w:r>
      <w:r>
        <w:t xml:space="preserve"> for the "Present" attendance pill; </w:t>
      </w:r>
      <w:r>
        <w:rPr>
          <w:rFonts w:ascii="Consolas" w:cs="Consolas" w:eastAsia="Consolas" w:hAnsi="Consolas"/>
        </w:rPr>
        <w:t xml:space="preserve">color-error</w:t>
      </w:r>
      <w:r>
        <w:t xml:space="preserve"> for "Absent" and destructive/form-error states (NFR-003's destructive-action confirmation styling); </w:t>
      </w:r>
      <w:r>
        <w:rPr>
          <w:rFonts w:ascii="Consolas" w:cs="Consolas" w:eastAsia="Consolas" w:hAnsi="Consolas"/>
        </w:rPr>
        <w:t xml:space="preserve">color-warning-bg</w:t>
      </w:r>
      <w:r>
        <w:t xml:space="preserve"> + </w:t>
      </w:r>
      <w:r>
        <w:rPr>
          <w:rFonts w:ascii="Consolas" w:cs="Consolas" w:eastAsia="Consolas" w:hAnsi="Consolas"/>
        </w:rPr>
        <w:t xml:space="preserve">color-warning-text</w:t>
      </w:r>
      <w:r>
        <w:t xml:space="preserve"> (the AA-corrected pairing from design-tokens §1a) for the "Late" pill — the mockup's original solid </w:t>
      </w:r>
      <w:r>
        <w:rPr>
          <w:rFonts w:ascii="Consolas" w:cs="Consolas" w:eastAsia="Consolas" w:hAnsi="Consolas"/>
        </w:rPr>
        <w:t xml:space="preserve">amber-500</w:t>
      </w:r>
      <w:r>
        <w:t xml:space="preserve">/white combination is </w:t>
      </w:r>
      <w:r>
        <w:rPr>
          <w:b/>
          <w:bCs/>
        </w:rPr>
        <w:t xml:space="preserve">not</w:t>
      </w:r>
      <w:r>
        <w:t xml:space="preserve"> carried into the build, per that file's binding instruction; </w:t>
      </w:r>
      <w:r>
        <w:rPr>
          <w:rFonts w:ascii="Consolas" w:cs="Consolas" w:eastAsia="Consolas" w:hAnsi="Consolas"/>
        </w:rPr>
        <w:t xml:space="preserve">color-info</w:t>
      </w:r>
      <w:r>
        <w:t xml:space="preserve"> for the "Leave" pill.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Typography:</w:t>
      </w:r>
      <w:r>
        <w:t xml:space="preserve"> </w:t>
      </w:r>
      <w:r>
        <w:rPr>
          <w:rFonts w:ascii="Consolas" w:cs="Consolas" w:eastAsia="Consolas" w:hAnsi="Consolas"/>
        </w:rPr>
        <w:t xml:space="preserve">text-display</w:t>
      </w:r>
      <w:r>
        <w:t xml:space="preserve"> for the public marketing hero; </w:t>
      </w:r>
      <w:r>
        <w:rPr>
          <w:rFonts w:ascii="Consolas" w:cs="Consolas" w:eastAsia="Consolas" w:hAnsi="Consolas"/>
        </w:rPr>
        <w:t xml:space="preserve">text-h1</w:t>
      </w:r>
      <w:r>
        <w:t xml:space="preserve"> for section titles; </w:t>
      </w:r>
      <w:r>
        <w:rPr>
          <w:rFonts w:ascii="Consolas" w:cs="Consolas" w:eastAsia="Consolas" w:hAnsi="Consolas"/>
        </w:rPr>
        <w:t xml:space="preserve">text-h2</w:t>
      </w:r>
      <w:r>
        <w:t xml:space="preserve"> for card/panel titles; </w:t>
      </w:r>
      <w:r>
        <w:rPr>
          <w:rFonts w:ascii="Consolas" w:cs="Consolas" w:eastAsia="Consolas" w:hAnsi="Consolas"/>
        </w:rPr>
        <w:t xml:space="preserve">text-body-lg</w:t>
      </w:r>
      <w:r>
        <w:t xml:space="preserve"> for lead paragraphs; </w:t>
      </w:r>
      <w:r>
        <w:rPr>
          <w:rFonts w:ascii="Consolas" w:cs="Consolas" w:eastAsia="Consolas" w:hAnsi="Consolas"/>
        </w:rPr>
        <w:t xml:space="preserve">text-body</w:t>
      </w:r>
      <w:r>
        <w:t xml:space="preserve"> default body; </w:t>
      </w:r>
      <w:r>
        <w:rPr>
          <w:rFonts w:ascii="Consolas" w:cs="Consolas" w:eastAsia="Consolas" w:hAnsi="Consolas"/>
        </w:rPr>
        <w:t xml:space="preserve">text-body-sm</w:t>
      </w:r>
      <w:r>
        <w:t xml:space="preserve"> for nav labels/buttons/secondary text; </w:t>
      </w:r>
      <w:r>
        <w:rPr>
          <w:rFonts w:ascii="Consolas" w:cs="Consolas" w:eastAsia="Consolas" w:hAnsi="Consolas"/>
        </w:rPr>
        <w:t xml:space="preserve">text-caption</w:t>
      </w:r>
      <w:r>
        <w:t xml:space="preserve"> for timestamps and stat labels; </w:t>
      </w:r>
      <w:r>
        <w:rPr>
          <w:rFonts w:ascii="Consolas" w:cs="Consolas" w:eastAsia="Consolas" w:hAnsi="Consolas"/>
        </w:rPr>
        <w:t xml:space="preserve">text-micro-label</w:t>
      </w:r>
      <w:r>
        <w:t xml:space="preserve"> for eyebrow labels.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Spacing:</w:t>
      </w:r>
      <w:r>
        <w:t xml:space="preserve"> </w:t>
      </w:r>
      <w:r>
        <w:rPr>
          <w:rFonts w:ascii="Consolas" w:cs="Consolas" w:eastAsia="Consolas" w:hAnsi="Consolas"/>
        </w:rPr>
        <w:t xml:space="preserve">space-1</w:t>
      </w:r>
      <w:r>
        <w:t xml:space="preserve">…</w:t>
      </w:r>
      <w:r>
        <w:rPr>
          <w:rFonts w:ascii="Consolas" w:cs="Consolas" w:eastAsia="Consolas" w:hAnsi="Consolas"/>
        </w:rPr>
        <w:t xml:space="preserve">space-16</w:t>
      </w:r>
      <w:r>
        <w:t xml:space="preserve"> (4px scale) for all margin/padding/gap values — no ad hoc pixel spacing.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Radii/elevation:</w:t>
      </w:r>
      <w:r>
        <w:t xml:space="preserve"> </w:t>
      </w:r>
      <w:r>
        <w:rPr>
          <w:rFonts w:ascii="Consolas" w:cs="Consolas" w:eastAsia="Consolas" w:hAnsi="Consolas"/>
        </w:rPr>
        <w:t xml:space="preserve">radius-sm</w:t>
      </w:r>
      <w:r>
        <w:t xml:space="preserve">/</w:t>
      </w:r>
      <w:r>
        <w:rPr>
          <w:rFonts w:ascii="Consolas" w:cs="Consolas" w:eastAsia="Consolas" w:hAnsi="Consolas"/>
        </w:rPr>
        <w:t xml:space="preserve">radius-md</w:t>
      </w:r>
      <w:r>
        <w:t xml:space="preserve"> for controls/buttons/inputs; </w:t>
      </w:r>
      <w:r>
        <w:rPr>
          <w:rFonts w:ascii="Consolas" w:cs="Consolas" w:eastAsia="Consolas" w:hAnsi="Consolas"/>
        </w:rPr>
        <w:t xml:space="preserve">radius-lg</w:t>
      </w:r>
      <w:r>
        <w:t xml:space="preserve">/</w:t>
      </w:r>
      <w:r>
        <w:rPr>
          <w:rFonts w:ascii="Consolas" w:cs="Consolas" w:eastAsia="Consolas" w:hAnsi="Consolas"/>
        </w:rPr>
        <w:t xml:space="preserve">radius-xl</w:t>
      </w:r>
      <w:r>
        <w:t xml:space="preserve"> for panels/modals/large cards; </w:t>
      </w:r>
      <w:r>
        <w:rPr>
          <w:rFonts w:ascii="Consolas" w:cs="Consolas" w:eastAsia="Consolas" w:hAnsi="Consolas"/>
        </w:rPr>
        <w:t xml:space="preserve">radius-full</w:t>
      </w:r>
      <w:r>
        <w:t xml:space="preserve"> for pills/avatars/badges; </w:t>
      </w:r>
      <w:r>
        <w:rPr>
          <w:rFonts w:ascii="Consolas" w:cs="Consolas" w:eastAsia="Consolas" w:hAnsi="Consolas"/>
        </w:rPr>
        <w:t xml:space="preserve">elevation-card</w:t>
      </w:r>
      <w:r>
        <w:t xml:space="preserve"> for default card shadow; </w:t>
      </w:r>
      <w:r>
        <w:rPr>
          <w:rFonts w:ascii="Consolas" w:cs="Consolas" w:eastAsia="Consolas" w:hAnsi="Consolas"/>
        </w:rPr>
        <w:t xml:space="preserve">elevation-glow-primary</w:t>
      </w:r>
      <w:r>
        <w:t xml:space="preserve"> for primary CTA emphasis.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Breakpoints:</w:t>
      </w:r>
      <w:r>
        <w:t xml:space="preserve"> </w:t>
      </w:r>
      <w:r>
        <w:rPr>
          <w:rFonts w:ascii="Consolas" w:cs="Consolas" w:eastAsia="Consolas" w:hAnsi="Consolas"/>
        </w:rPr>
        <w:t xml:space="preserve">bp-sm</w:t>
      </w:r>
      <w:r>
        <w:t xml:space="preserve">/</w:t>
      </w:r>
      <w:r>
        <w:rPr>
          <w:rFonts w:ascii="Consolas" w:cs="Consolas" w:eastAsia="Consolas" w:hAnsi="Consolas"/>
        </w:rPr>
        <w:t xml:space="preserve">bp-md</w:t>
      </w:r>
      <w:r>
        <w:t xml:space="preserve">/</w:t>
      </w:r>
      <w:r>
        <w:rPr>
          <w:rFonts w:ascii="Consolas" w:cs="Consolas" w:eastAsia="Consolas" w:hAnsi="Consolas"/>
        </w:rPr>
        <w:t xml:space="preserve">bp-lg</w:t>
      </w:r>
      <w:r>
        <w:t xml:space="preserve">/</w:t>
      </w:r>
      <w:r>
        <w:rPr>
          <w:rFonts w:ascii="Consolas" w:cs="Consolas" w:eastAsia="Consolas" w:hAnsi="Consolas"/>
        </w:rPr>
        <w:t xml:space="preserve">bp-xl</w:t>
      </w:r>
      <w:r>
        <w:t xml:space="preserve"> drive the responsive layout required by NFR-025.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Iconography:</w:t>
      </w:r>
      <w:r>
        <w:t xml:space="preserve"> </w:t>
      </w:r>
      <w:r>
        <w:rPr>
          <w:rFonts w:ascii="Consolas" w:cs="Consolas" w:eastAsia="Consolas" w:hAnsi="Consolas"/>
        </w:rPr>
        <w:t xml:space="preserve">lucide-react</w:t>
      </w:r>
      <w:r>
        <w:t xml:space="preserve">, using the nav-item mapping table in design-tokens §6 (</w:t>
      </w:r>
      <w:r>
        <w:rPr>
          <w:rFonts w:ascii="Consolas" w:cs="Consolas" w:eastAsia="Consolas" w:hAnsi="Consolas"/>
        </w:rPr>
        <w:t xml:space="preserve">layout-dashboard</w:t>
      </w:r>
      <w:r>
        <w:t xml:space="preserve">, </w:t>
      </w:r>
      <w:r>
        <w:rPr>
          <w:rFonts w:ascii="Consolas" w:cs="Consolas" w:eastAsia="Consolas" w:hAnsi="Consolas"/>
        </w:rPr>
        <w:t xml:space="preserve">layers</w:t>
      </w:r>
      <w:r>
        <w:t xml:space="preserve">, </w:t>
      </w:r>
      <w:r>
        <w:rPr>
          <w:rFonts w:ascii="Consolas" w:cs="Consolas" w:eastAsia="Consolas" w:hAnsi="Consolas"/>
        </w:rPr>
        <w:t xml:space="preserve">user-round</w:t>
      </w:r>
      <w:r>
        <w:t xml:space="preserve">, </w:t>
      </w:r>
      <w:r>
        <w:rPr>
          <w:rFonts w:ascii="Consolas" w:cs="Consolas" w:eastAsia="Consolas" w:hAnsi="Consolas"/>
        </w:rPr>
        <w:t xml:space="preserve">graduation-cap</w:t>
      </w:r>
      <w:r>
        <w:t xml:space="preserve">, </w:t>
      </w:r>
      <w:r>
        <w:rPr>
          <w:rFonts w:ascii="Consolas" w:cs="Consolas" w:eastAsia="Consolas" w:hAnsi="Consolas"/>
        </w:rPr>
        <w:t xml:space="preserve">clipboard-check</w:t>
      </w:r>
      <w:r>
        <w:t xml:space="preserve">, </w:t>
      </w:r>
      <w:r>
        <w:rPr>
          <w:rFonts w:ascii="Consolas" w:cs="Consolas" w:eastAsia="Consolas" w:hAnsi="Consolas"/>
        </w:rPr>
        <w:t xml:space="preserve">megaphone</w:t>
      </w:r>
      <w:r>
        <w:t xml:space="preserve">, </w:t>
      </w:r>
      <w:r>
        <w:rPr>
          <w:rFonts w:ascii="Consolas" w:cs="Consolas" w:eastAsia="Consolas" w:hAnsi="Consolas"/>
        </w:rPr>
        <w:t xml:space="preserve">video</w:t>
      </w:r>
      <w:r>
        <w:t xml:space="preserve">, </w:t>
      </w:r>
      <w:r>
        <w:rPr>
          <w:rFonts w:ascii="Consolas" w:cs="Consolas" w:eastAsia="Consolas" w:hAnsi="Consolas"/>
        </w:rPr>
        <w:t xml:space="preserve">settings</w:t>
      </w:r>
      <w:r>
        <w:t xml:space="preserve">, </w:t>
      </w:r>
      <w:r>
        <w:rPr>
          <w:rFonts w:ascii="Consolas" w:cs="Consolas" w:eastAsia="Consolas" w:hAnsi="Consolas"/>
        </w:rPr>
        <w:t xml:space="preserve">calendar-days</w:t>
      </w:r>
      <w:r>
        <w:t xml:space="preserve">, </w:t>
      </w:r>
      <w:r>
        <w:rPr>
          <w:rFonts w:ascii="Consolas" w:cs="Consolas" w:eastAsia="Consolas" w:hAnsi="Consolas"/>
        </w:rPr>
        <w:t xml:space="preserve">bar-chart-3</w:t>
      </w:r>
      <w:r>
        <w:t xml:space="preserve">); icon sizes </w:t>
      </w:r>
      <w:r>
        <w:rPr>
          <w:rFonts w:ascii="Consolas" w:cs="Consolas" w:eastAsia="Consolas" w:hAnsi="Consolas"/>
        </w:rPr>
        <w:t xml:space="preserve">icon-sm</w:t>
      </w:r>
      <w:r>
        <w:t xml:space="preserve">/</w:t>
      </w:r>
      <w:r>
        <w:rPr>
          <w:rFonts w:ascii="Consolas" w:cs="Consolas" w:eastAsia="Consolas" w:hAnsi="Consolas"/>
        </w:rPr>
        <w:t xml:space="preserve">icon-md</w:t>
      </w:r>
      <w:r>
        <w:t xml:space="preserve">/</w:t>
      </w:r>
      <w:r>
        <w:rPr>
          <w:rFonts w:ascii="Consolas" w:cs="Consolas" w:eastAsia="Consolas" w:hAnsi="Consolas"/>
        </w:rPr>
        <w:t xml:space="preserve">icon-lg</w:t>
      </w:r>
      <w:r>
        <w:t xml:space="preserve">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4.3 Component inventory reused from design-tokens §8</w:t>
      </w:r>
    </w:p>
    <w:p>
      <w:pPr>
        <w:spacing w:after="140"/>
      </w:pPr>
      <w:r>
        <w:t xml:space="preserve">Button, top/side nav (role-filtered per BR-007 role set — NFR-001), card/panel, modal, status pill/badge (attendance outcomes, D14/FR-031 mapped to </w:t>
      </w:r>
      <w:r>
        <w:rPr>
          <w:rFonts w:ascii="Consolas" w:cs="Consolas" w:eastAsia="Consolas" w:hAnsi="Consolas"/>
        </w:rPr>
        <w:t xml:space="preserve">color-success</w:t>
      </w:r>
      <w:r>
        <w:t xml:space="preserve">/</w:t>
      </w:r>
      <w:r>
        <w:rPr>
          <w:rFonts w:ascii="Consolas" w:cs="Consolas" w:eastAsia="Consolas" w:hAnsi="Consolas"/>
        </w:rPr>
        <w:t xml:space="preserve">color-error</w:t>
      </w:r>
      <w:r>
        <w:t xml:space="preserve">/ </w:t>
      </w:r>
      <w:r>
        <w:rPr>
          <w:rFonts w:ascii="Consolas" w:cs="Consolas" w:eastAsia="Consolas" w:hAnsi="Consolas"/>
        </w:rPr>
        <w:t xml:space="preserve">color-warning-*</w:t>
      </w:r>
      <w:r>
        <w:t xml:space="preserve">/</w:t>
      </w:r>
      <w:r>
        <w:rPr>
          <w:rFonts w:ascii="Consolas" w:cs="Consolas" w:eastAsia="Consolas" w:hAnsi="Consolas"/>
        </w:rPr>
        <w:t xml:space="preserve">color-info</w:t>
      </w:r>
      <w:r>
        <w:t xml:space="preserve">), toast notification (NFR-003 feedback), data table (extended to student/teacher/class/attendance lists beyond the mockup's plan-comparison table), attendance grid (roster with per-row Present/Absent/Late/Leave toggle, BR-034's default-not-present state), chat panel (</w:t>
      </w:r>
      <w:r>
        <w:rPr>
          <w:rFonts w:ascii="Consolas" w:cs="Consolas" w:eastAsia="Consolas" w:hAnsi="Consolas"/>
        </w:rPr>
        <w:t xml:space="preserve">chatLog</w:t>
      </w:r>
      <w:r>
        <w:t xml:space="preserve">/</w:t>
      </w:r>
      <w:r>
        <w:rPr>
          <w:rFonts w:ascii="Consolas" w:cs="Consolas" w:eastAsia="Consolas" w:hAnsi="Consolas"/>
        </w:rPr>
        <w:t xml:space="preserve">chatInput</w:t>
      </w:r>
      <w:r>
        <w:t xml:space="preserve">, FR-045–047), avatar with presence-dot overlay (FR-047 presence).</w:t>
      </w:r>
    </w:p>
    <w:p>
      <w:pPr>
        <w:spacing w:after="140"/>
      </w:pPr>
      <w:r>
        <w:rPr>
          <w:b/>
          <w:bCs/>
        </w:rPr>
        <w:t xml:space="preserve">Explicitly not built:</w:t>
      </w:r>
      <w:r>
        <w:t xml:space="preserve"> the mockup's </w:t>
      </w:r>
      <w:r>
        <w:rPr>
          <w:rFonts w:ascii="Consolas" w:cs="Consolas" w:eastAsia="Consolas" w:hAnsi="Consolas"/>
        </w:rPr>
        <w:t xml:space="preserve">roleSwitcher</w:t>
      </w:r>
      <w:r>
        <w:t xml:space="preserve"> demo affordance — BRD binds one role per account at registration (BR-008); this is a mockup-only dev convenience and must not appear in the shipped product UI, per design-tokens §8's own flag.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4.4 Screen build source (per design-tokens §9)</w:t>
      </w:r>
    </w:p>
    <w:p>
      <w:pPr>
        <w:spacing w:after="140"/>
      </w:pPr>
      <w:r>
        <w:t xml:space="preserve">Real mockup: Public Home/About/Pricing/Contact, Auth modal, App shell. Partial (component real, screen narrative-derived): Dashboard, Attendance roster marking, Collaboration/meetings. Fully narrative-derived (BRD text only): Classes, Teachers, Students, Announcements, Settings, Schedule, Reports. Payment and Leave nav entries are explicitly </w:t>
      </w:r>
      <w:r>
        <w:rPr>
          <w:b/>
          <w:bCs/>
        </w:rPr>
        <w:t xml:space="preserve">not built</w:t>
      </w:r>
      <w:r>
        <w:t xml:space="preserve">, even as "coming soon" placeholders, since fee/payroll and leave workflow are out of scope (FR-081/082).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4.5 Role-aware navigation (NFR-001, NFR-009's counterpart usability rule NFR-002)</w:t>
      </w:r>
    </w:p>
    <w:p>
      <w:pPr>
        <w:spacing w:after="140"/>
      </w:pPr>
      <w:r>
        <w:t xml:space="preserve">Side nav renders from a nav config filtered by the signed-in user's role claim — mirrors BRD §2's RBAC directly in the client shell, in addition to (never instead of) server-side authorization (FR-009/010, NFR-015).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4.6 Live meeting client (T-006)</w:t>
      </w:r>
    </w:p>
    <w:p>
      <w:pPr>
        <w:spacing w:after="140"/>
      </w:pPr>
      <w:r>
        <w:t xml:space="preserve">Meeting UI (mic/camera controls, participant tiles — FR-049) is built against the Azure Communication Services Calling SDK's browser JS client. Browser-only, no native app — matches NFR-026 and the BRD's "no native mobile apps" exclusion (FR-087). See §13 for the carried-forward validation risks on participant cap, reconnection, and browser compatibility that this UI must be built to tolerate gracefully (e.g. a visible "reconnecting..." state) until confirmed.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4.7 Accessibility (NFR-005)</w:t>
      </w:r>
    </w:p>
    <w:p>
      <w:pPr>
        <w:spacing w:after="140"/>
      </w:pPr>
      <w:r>
        <w:t xml:space="preserve">WCAG 2.1 AA baseline for all built screens; the one identified token-level contrast defect ("Late" pill) is already corrected at the token layer (design-tokens §1a) — the frontend must consume </w:t>
      </w:r>
      <w:r>
        <w:rPr>
          <w:rFonts w:ascii="Consolas" w:cs="Consolas" w:eastAsia="Consolas" w:hAnsi="Consolas"/>
        </w:rPr>
        <w:t xml:space="preserve">color-warning-bg</w:t>
      </w:r>
      <w:r>
        <w:t xml:space="preserve">/</w:t>
      </w:r>
      <w:r>
        <w:rPr>
          <w:rFonts w:ascii="Consolas" w:cs="Consolas" w:eastAsia="Consolas" w:hAnsi="Consolas"/>
        </w:rPr>
        <w:t xml:space="preserve">color-warning-text</w:t>
      </w:r>
      <w:r>
        <w:t xml:space="preserve">, never the mockup's original amber-500/white pair.</w:t>
      </w:r>
    </w:p>
    <w:p>
      <w:pPr>
        <w:pBdr>
          <w:bottom w:val="single" w:color="DDDDDD" w:sz="6" w:space="1"/>
        </w:pBdr>
        <w:spacing w:after="200" w:before="120"/>
      </w:pP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5. Data Model &amp; Database Design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5.1 Multi-tenancy model (T-002)</w:t>
      </w:r>
    </w:p>
    <w:p>
      <w:pPr>
        <w:spacing w:after="140"/>
      </w:pPr>
      <w:r>
        <w:t xml:space="preserve">Shared database; every tenant-owned table carries </w:t>
      </w:r>
      <w:r>
        <w:rPr>
          <w:rFonts w:ascii="Consolas" w:cs="Consolas" w:eastAsia="Consolas" w:hAnsi="Consolas"/>
        </w:rPr>
        <w:t xml:space="preserve">institution_id</w:t>
      </w:r>
      <w:r>
        <w:t xml:space="preserve"> (FK to </w:t>
      </w:r>
      <w:r>
        <w:rPr>
          <w:rFonts w:ascii="Consolas" w:cs="Consolas" w:eastAsia="Consolas" w:hAnsi="Consolas"/>
        </w:rPr>
        <w:t xml:space="preserve">Institution</w:t>
      </w:r>
      <w:r>
        <w:t xml:space="preserve">), enforced via EF Core global query filters (§3.3). Platform-global tables (no </w:t>
      </w:r>
      <w:r>
        <w:rPr>
          <w:rFonts w:ascii="Consolas" w:cs="Consolas" w:eastAsia="Consolas" w:hAnsi="Consolas"/>
        </w:rPr>
        <w:t xml:space="preserve">institution_id</w:t>
      </w:r>
      <w:r>
        <w:t xml:space="preserve">): </w:t>
      </w:r>
      <w:r>
        <w:rPr>
          <w:rFonts w:ascii="Consolas" w:cs="Consolas" w:eastAsia="Consolas" w:hAnsi="Consolas"/>
        </w:rPr>
        <w:t xml:space="preserve">SubscriptionPlan</w:t>
      </w:r>
      <w:r>
        <w:t xml:space="preserve">, </w:t>
      </w:r>
      <w:r>
        <w:rPr>
          <w:rFonts w:ascii="Consolas" w:cs="Consolas" w:eastAsia="Consolas" w:hAnsi="Consolas"/>
        </w:rPr>
        <w:t xml:space="preserve">PublicInstitutionDirectoryProjection</w:t>
      </w:r>
      <w:r>
        <w:t xml:space="preserve">, </w:t>
      </w:r>
      <w:r>
        <w:rPr>
          <w:rFonts w:ascii="Consolas" w:cs="Consolas" w:eastAsia="Consolas" w:hAnsi="Consolas"/>
        </w:rPr>
        <w:t xml:space="preserve">AuditLog</w:t>
      </w:r>
      <w:r>
        <w:t xml:space="preserve"> (carries </w:t>
      </w:r>
      <w:r>
        <w:rPr>
          <w:rFonts w:ascii="Consolas" w:cs="Consolas" w:eastAsia="Consolas" w:hAnsi="Consolas"/>
        </w:rPr>
        <w:t xml:space="preserve">institution_id</w:t>
      </w:r>
      <w:r>
        <w:t xml:space="preserve"> as a column but is queried across tenants only by the Platform Operator path).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5.2 Soft-delete / reversible deactivation (D8)</w:t>
      </w:r>
    </w:p>
    <w:p>
      <w:pPr>
        <w:spacing w:after="140"/>
      </w:pPr>
      <w:r>
        <w:t xml:space="preserve">Uniform </w:t>
      </w:r>
      <w:r>
        <w:rPr>
          <w:rFonts w:ascii="Consolas" w:cs="Consolas" w:eastAsia="Consolas" w:hAnsi="Consolas"/>
        </w:rPr>
        <w:t xml:space="preserve">IsActive</w:t>
      </w:r>
      <w:r>
        <w:t xml:space="preserve"> (bool) + </w:t>
      </w:r>
      <w:r>
        <w:rPr>
          <w:rFonts w:ascii="Consolas" w:cs="Consolas" w:eastAsia="Consolas" w:hAnsi="Consolas"/>
        </w:rPr>
        <w:t xml:space="preserve">DeactivatedAtUtc</w:t>
      </w:r>
      <w:r>
        <w:t xml:space="preserve"> (nullable) on </w:t>
      </w:r>
      <w:r>
        <w:rPr>
          <w:rFonts w:ascii="Consolas" w:cs="Consolas" w:eastAsia="Consolas" w:hAnsi="Consolas"/>
        </w:rPr>
        <w:t xml:space="preserve">Institution</w:t>
      </w:r>
      <w:r>
        <w:t xml:space="preserve">, </w:t>
      </w:r>
      <w:r>
        <w:rPr>
          <w:rFonts w:ascii="Consolas" w:cs="Consolas" w:eastAsia="Consolas" w:hAnsi="Consolas"/>
        </w:rPr>
        <w:t xml:space="preserve">Student</w:t>
      </w:r>
      <w:r>
        <w:t xml:space="preserve">, </w:t>
      </w:r>
      <w:r>
        <w:rPr>
          <w:rFonts w:ascii="Consolas" w:cs="Consolas" w:eastAsia="Consolas" w:hAnsi="Consolas"/>
        </w:rPr>
        <w:t xml:space="preserve">Teacher</w:t>
      </w:r>
      <w:r>
        <w:t xml:space="preserve">, </w:t>
      </w:r>
      <w:r>
        <w:rPr>
          <w:rFonts w:ascii="Consolas" w:cs="Consolas" w:eastAsia="Consolas" w:hAnsi="Consolas"/>
        </w:rPr>
        <w:t xml:space="preserve">Room</w:t>
      </w:r>
      <w:r>
        <w:t xml:space="preserve">, and </w:t>
      </w:r>
      <w:r>
        <w:rPr>
          <w:rFonts w:ascii="Consolas" w:cs="Consolas" w:eastAsia="Consolas" w:hAnsi="Consolas"/>
        </w:rPr>
        <w:t xml:space="preserve">UserAccount</w:t>
      </w:r>
      <w:r>
        <w:t xml:space="preserve">. No physical delete on these — required for reversibility (BR-005, FR-014, FR-019, FR-004) and to avoid orphaning history (BR-025).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5.3 Attendance concurrency (D10)</w:t>
      </w:r>
    </w:p>
    <w:p>
      <w:pPr>
        <w:spacing w:after="140"/>
      </w:pPr>
      <w:r>
        <w:t xml:space="preserve">Unique constraint on </w:t>
      </w:r>
      <w:r>
        <w:rPr>
          <w:rFonts w:ascii="Consolas" w:cs="Consolas" w:eastAsia="Consolas" w:hAnsi="Consolas"/>
        </w:rPr>
        <w:t xml:space="preserve">AttendanceRecord (person_id, attendance_date)</w:t>
      </w:r>
      <w:r>
        <w:t xml:space="preserve">. A repeat submission is an upsert (BR-031) — never a duplicate row. </w:t>
      </w:r>
      <w:r>
        <w:rPr>
          <w:rFonts w:ascii="Consolas" w:cs="Consolas" w:eastAsia="Consolas" w:hAnsi="Consolas"/>
        </w:rPr>
        <w:t xml:space="preserve">person_type</w:t>
      </w:r>
      <w:r>
        <w:t xml:space="preserve"> discriminator (Student | Teacher) plus </w:t>
      </w:r>
      <w:r>
        <w:rPr>
          <w:rFonts w:ascii="Consolas" w:cs="Consolas" w:eastAsia="Consolas" w:hAnsi="Consolas"/>
        </w:rPr>
        <w:t xml:space="preserve">person_id</w:t>
      </w:r>
      <w:r>
        <w:t xml:space="preserve"> lets one table serve both FR-030 and FR-032.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5.4 Report/document storage (D11)</w:t>
      </w:r>
    </w:p>
    <w:p>
      <w:pPr>
        <w:spacing w:after="140"/>
      </w:pPr>
      <w:r>
        <w:rPr>
          <w:rFonts w:ascii="Consolas" w:cs="Consolas" w:eastAsia="Consolas" w:hAnsi="Consolas"/>
        </w:rPr>
        <w:t xml:space="preserve">ReportRun</w:t>
      </w:r>
      <w:r>
        <w:t xml:space="preserve"> metadata row in SQL Server (institution id, report type, generated-at, generated-by, blob pointer) + the generated file itself (PDF/CSV, D7) in Azure Blob Storage. Retained indefinitely per FR-055, subject to CMP-001/002 at the underlying student/staff-data level (the report snapshot itself is not separately time-boxed beyond the general retention sweep).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5.5 Directory search (D12)</w:t>
      </w:r>
    </w:p>
    <w:p>
      <w:pPr>
        <w:spacing w:after="140"/>
      </w:pPr>
      <w:r>
        <w:rPr>
          <w:rFonts w:ascii="Consolas" w:cs="Consolas" w:eastAsia="Consolas" w:hAnsi="Consolas"/>
        </w:rPr>
        <w:t xml:space="preserve">PublicInstitutionDirectoryProjection</w:t>
      </w:r>
      <w:r>
        <w:t xml:space="preserve"> (institution name, city/region only — FR-005, NFR-016), queried via SQL Server </w:t>
      </w:r>
      <w:r>
        <w:rPr>
          <w:rFonts w:ascii="Consolas" w:cs="Consolas" w:eastAsia="Consolas" w:hAnsi="Consolas"/>
        </w:rPr>
        <w:t xml:space="preserve">LIKE</w:t>
      </w:r>
      <w:r>
        <w:t xml:space="preserve">/basic full-text search. No dedicated search engine at this scale (D12 rationale).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5.6 Academic year rollover (D14, §3.7)</w:t>
      </w:r>
    </w:p>
    <w:p>
      <w:pPr>
        <w:spacing w:after="140"/>
      </w:pPr>
      <w:r>
        <w:rPr>
          <w:rFonts w:ascii="Consolas" w:cs="Consolas" w:eastAsia="Consolas" w:hAnsi="Consolas"/>
        </w:rPr>
        <w:t xml:space="preserve">AcademicYear</w:t>
      </w:r>
      <w:r>
        <w:t xml:space="preserve">, </w:t>
      </w:r>
      <w:r>
        <w:rPr>
          <w:rFonts w:ascii="Consolas" w:cs="Consolas" w:eastAsia="Consolas" w:hAnsi="Consolas"/>
        </w:rPr>
        <w:t xml:space="preserve">Term</w:t>
      </w:r>
      <w:r>
        <w:t xml:space="preserve"> as first-class entities. </w:t>
      </w:r>
      <w:r>
        <w:rPr>
          <w:rFonts w:ascii="Consolas" w:cs="Consolas" w:eastAsia="Consolas" w:hAnsi="Consolas"/>
        </w:rPr>
        <w:t xml:space="preserve">Enrollment</w:t>
      </w:r>
      <w:r>
        <w:t xml:space="preserve"> (or </w:t>
      </w:r>
      <w:r>
        <w:rPr>
          <w:rFonts w:ascii="Consolas" w:cs="Consolas" w:eastAsia="Consolas" w:hAnsi="Consolas"/>
        </w:rPr>
        <w:t xml:space="preserve">ClassRosterHistory</w:t>
      </w:r>
      <w:r>
        <w:t xml:space="preserve">) is a year-scoped, append-only snapshot — never mutated post-rollover, satisfying BR-060's "historical data intact and read-only."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5.7 Parent-Student linking (T-003, §3.8)</w:t>
      </w:r>
    </w:p>
    <w:p>
      <w:pPr>
        <w:spacing w:after="140"/>
      </w:pPr>
      <w:r>
        <w:rPr>
          <w:rFonts w:ascii="Consolas" w:cs="Consolas" w:eastAsia="Consolas" w:hAnsi="Consolas"/>
        </w:rPr>
        <w:t xml:space="preserve">ParentLinkCode</w:t>
      </w:r>
      <w:r>
        <w:t xml:space="preserve"> (single-use, time-limited) and </w:t>
      </w:r>
      <w:r>
        <w:rPr>
          <w:rFonts w:ascii="Consolas" w:cs="Consolas" w:eastAsia="Consolas" w:hAnsi="Consolas"/>
        </w:rPr>
        <w:t xml:space="preserve">ParentStudentLink</w:t>
      </w:r>
      <w:r>
        <w:t xml:space="preserve"> (many-to-many) as described in §3.8.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5.8 Entity-Relationship Diagram</w:t>
      </w:r>
    </w:p>
    <w:p>
      <w:pPr>
        <w:shd w:fill="F4F4F4"/>
        <w:spacing w:after="160" w:before="100"/>
      </w:pPr>
      <w:r>
        <w:rPr>
          <w:rFonts w:ascii="Consolas" w:cs="Consolas" w:eastAsia="Consolas" w:hAnsi="Consolas"/>
          <w:sz w:val="18"/>
          <w:szCs w:val="18"/>
        </w:rPr>
        <w:t xml:space="preserve">erDiagram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INSTITUTION ||--o{ USER_ACCOUNT : "employs/enrols"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INSTITUTION ||--o{ STUDENT : has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INSTITUTION ||--o{ TEACHER : has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INSTITUTION ||--o{ CLASS : has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INSTITUTION ||--o{ SUBJECT : has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INSTITUTION ||--o{ ANNOUNCEMENT : publishes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INSTITUTION ||--o{ ROOM : hosts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INSTITUTION ||--o{ ACADEMIC_YEAR : defines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INSTITUTION ||--|| INSTITUTION_CONFIGURATION : configures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INSTITUTION }o--|| SUBSCRIPTION_PLAN : "subscribes to"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USER_ACCOUNT }o--|| INSTITUTION : "bound to (BR-008)"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USER_ACCOUNT ||--o| STUDENT : "optionally linked (FR-016)"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USER_ACCOUNT ||--o| TEACHER : "optionally linked (FR-023)"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USER_ACCOUNT ||--o{ PARENT_STUDENT_LINK : "parent of"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STUDENT ||--o{ PARENT_STUDENT_LINK : "linked via"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STUDENT }o--|| CLASS : "placed in (BR-017)"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STUDENT ||--o{ ATTENDANCE_RECORD : has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STUDENT ||--o{ PARENT_LINK_CODE : "issued for"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STUDENT ||--o{ ENROLLMENT : "year-scoped roster row"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TEACHER ||--o| CLASS : "class teacher of (BR-023)"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TEACHER ||--o{ ATTENDANCE_RECORD : has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TEACHER }o--o{ SUBJECT : "assigned to teach (BR-024)"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CLASS ||--o{ STUDENT : contains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CLASS ||--o{ TIMETABLE_PERIOD : scheduled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CLASS }o--o{ SUBJECT : "mapped (FR-029)"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ROOM ||--o{ MESSAGE : contains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ROOM ||--o| MEETING : "may host"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ROOM }o--|| USER_ACCOUNT : "created by"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ACADEMIC_YEAR ||--o{ TERM : contains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ACADEMIC_YEAR ||--o{ ENROLLMENT : "rollover creates"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ANNOUNCEMENT }o--|| USER_ACCOUNT : "authored by"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AUDIT_LOG }o--|| USER_ACCOUNT : "actor"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REPORT_RUN }o--|| INSTITUTION : "scoped to"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5.9 Key sequence — Daily attendance marking (FR-030–035, BR-034)</w:t>
      </w:r>
    </w:p>
    <w:p>
      <w:pPr>
        <w:shd w:fill="F4F4F4"/>
        <w:spacing w:after="160" w:before="100"/>
      </w:pPr>
      <w:r>
        <w:rPr>
          <w:rFonts w:ascii="Consolas" w:cs="Consolas" w:eastAsia="Consolas" w:hAnsi="Consolas"/>
          <w:sz w:val="18"/>
          <w:szCs w:val="18"/>
        </w:rPr>
        <w:t xml:space="preserve">sequenceDiagram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participant T as Teacher (SPA)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participant API as ASP.NET Core API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participant DB as SQL Server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T-&gt;&gt;API: GET /api/v1/classes/{id}/roster?date=today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API-&gt;&gt;DB: SELECT students WHERE class_id, institution_id (query filter)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DB--&gt;&gt;API: roster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API--&gt;&gt;T: roster, all defaulted to "not present" (BR-034)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T-&gt;&gt;API: PUT /api/v1/attendance (bulk outcomes)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API-&gt;&gt;DB: UPSERT AttendanceRecord ON (person_id, attendance_date) (BR-031)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API-&gt;&gt;DB: write AuditLog row (SaveChanges interceptor, D9)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API--&gt;&gt;T: 200 OK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Note over T,API: From day+1, correction requires Principal/VP/Academic-Admin approval (FR-034);&lt;br/&gt;locked entirely after 30 days (FR-035)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5.10 Key sequence — Parent Link Code (T-003)</w:t>
      </w:r>
    </w:p>
    <w:p>
      <w:pPr>
        <w:shd w:fill="F4F4F4"/>
        <w:spacing w:after="160" w:before="100"/>
      </w:pPr>
      <w:r>
        <w:rPr>
          <w:rFonts w:ascii="Consolas" w:cs="Consolas" w:eastAsia="Consolas" w:hAnsi="Consolas"/>
          <w:sz w:val="18"/>
          <w:szCs w:val="18"/>
        </w:rPr>
        <w:t xml:space="preserve">sequenceDiagram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participant Staff as Institution Staff (SPA)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participant API as API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participant Parent as Parent (self-registering)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Staff-&gt;&gt;API: POST /api/v1/students/{id}/parent-link-codes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API-&gt;&gt;API: generate 8-char single-use code, 7-day expiry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API--&gt;&gt;Staff: code (communicated out-of-band, mirrors room-passcode pattern)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Parent-&gt;&gt;API: POST /api/v1/auth/register (role=Parent, institution)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Parent-&gt;&gt;API: POST /api/v1/parent-links {code}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API-&gt;&gt;API: validate unused, unexpired, institution match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API-&gt;&gt;API: create ParentStudentLink; mark code consumed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API--&gt;&gt;Parent: 200 OK — child now visible under FR-075</w:t>
      </w:r>
    </w:p>
    <w:p>
      <w:pPr>
        <w:pBdr>
          <w:bottom w:val="single" w:color="DDDDDD" w:sz="6" w:space="1"/>
        </w:pBdr>
        <w:spacing w:after="200" w:before="120"/>
      </w:pP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6. Integration Contracts</w:t>
      </w:r>
    </w:p>
    <w:p>
      <w:pPr>
        <w:spacing w:after="140"/>
      </w:pPr>
      <w:r>
        <w:t xml:space="preserve">All three vendor dependencies are Azure-native, consistent with </w:t>
      </w:r>
      <w:r>
        <w:rPr>
          <w:rFonts w:ascii="Consolas" w:cs="Consolas" w:eastAsia="Consolas" w:hAnsi="Consolas"/>
        </w:rPr>
        <w:t xml:space="preserve">company.md</w:t>
      </w:r>
      <w:r>
        <w:t xml:space="preserve"> §2's Azure default. No pre-existing institutional system is integrated (confirmed at §2.1).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Vendor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Contract shape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Azure SignalR Service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Real-time chat, presence, typing, join/leave backplane (T-001)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 SDK from </w:t>
            </w:r>
            <w:r>
              <w:rPr>
                <w:rFonts w:ascii="Consolas" w:cs="Consolas" w:eastAsia="Consolas" w:hAnsi="Consolas"/>
              </w:rPr>
              <w:t xml:space="preserve">Infrastructure</w:t>
            </w:r>
            <w:r>
              <w:t xml:space="preserve"> hub; client SDK from React SPA over WebSocket (falls back to Server-Sent Events/long-polling per SignalR's own negotiation)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FR-045–047, FR-050, NFR-008, NFR-012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Azure Communication Services — Email/SMS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Notification delivery (T-004)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REST/SDK call from the Hangfire notification job (§3.5); institution-scoped sender identity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FR-065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Azure Communication Services — Calling SDK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Live audio/video meetings (T-006)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Browser JS SDK from the React SPA; API issues short-lived ACS access tokens per meeting/participant, does not relay media itself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FR-048–050, NFR-009, NFR-026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Azure Blob Storage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Report snapshot storage (D11)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Infrastructure</w:t>
            </w:r>
            <w:r>
              <w:t xml:space="preserve"> blob client; </w:t>
            </w:r>
            <w:r>
              <w:rPr>
                <w:rFonts w:ascii="Consolas" w:cs="Consolas" w:eastAsia="Consolas" w:hAnsi="Consolas"/>
              </w:rPr>
              <w:t xml:space="preserve">ReportRun</w:t>
            </w:r>
            <w:r>
              <w:t xml:space="preserve"> metadata row in SQL points at the blob URI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FR-055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No </w:t>
      </w:r>
      <w:r>
        <w:rPr>
          <w:rFonts w:ascii="Consolas" w:cs="Consolas" w:eastAsia="Consolas" w:hAnsi="Consolas"/>
        </w:rPr>
        <w:t xml:space="preserve">INT-</w:t>
      </w:r>
      <w:r>
        <w:t xml:space="preserve"> requirements exist in the BRD (§9, confirmed) — these are Tech-Design-introduced vendor contracts to satisfy FR/NFR items the BRD states without naming a mechanism, exactly as </w:t>
      </w:r>
      <w:r>
        <w:rPr>
          <w:rFonts w:ascii="Consolas" w:cs="Consolas" w:eastAsia="Consolas" w:hAnsi="Consolas"/>
        </w:rPr>
        <w:t xml:space="preserve">company.md</w:t>
      </w:r>
      <w:r>
        <w:t xml:space="preserve"> §2 anticipates for messaging/eventing and non-standardized vendor choices.</w:t>
      </w:r>
    </w:p>
    <w:p>
      <w:pPr>
        <w:pBdr>
          <w:bottom w:val="single" w:color="DDDDDD" w:sz="6" w:space="1"/>
        </w:pBdr>
        <w:spacing w:after="200" w:before="120"/>
      </w:pP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7. Internal API / Action Surface</w:t>
      </w:r>
    </w:p>
    <w:p>
      <w:pPr>
        <w:spacing w:after="140"/>
      </w:pPr>
      <w:r>
        <w:t xml:space="preserve">Thin, conventional REST surface — one controller family per component in §2.2's inventory. Representative endpoints (full contract detail is a Stage 3/AI-Spec concern, not enumerated exhaustively here):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Representative endpoints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Requirement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Institutions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POST/GET/PUT /api/v1/institutions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POST /api/v1/institutions/{id}/withdraw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FR-001–004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Public directory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GET /api/v1/public/institutions?query=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FR-005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POST /api/v1/auth/register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POST /api/v1/auth/login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POST /api/v1/auth/logout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GET /api/v1/auth/me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FR-006–010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POST/GET/PUT /api/v1/students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POST /api/v1/students/{id}/withdraw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GET /api/v1/classes/{id}/roster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FR-011–017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Parent links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POST /api/v1/students/{id}/parent-link-codes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POST /api/v1/parent-links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T-003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Teachers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POST/GET/PUT /api/v1/teachers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POST /api/v1/teachers/{id}/remove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FR-018–023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Classes/Subjects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POST/GET/PUT/DELETE /api/v1/classes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/api/v1/subjects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FR-024–029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Attendance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GET /api/v1/classes/{id}/roster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PUT /api/v1/attendance</w:t>
            </w:r>
            <w:r>
              <w:t xml:space="preserve"> (bulk upsert), </w:t>
            </w:r>
            <w:r>
              <w:rPr>
                <w:rFonts w:ascii="Consolas" w:cs="Consolas" w:eastAsia="Consolas" w:hAnsi="Consolas"/>
              </w:rPr>
              <w:t xml:space="preserve">DELETE /api/v1/attendance/{id}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FR-030–037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Announcements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POST/GET/PUT /api/v1/announcements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POST /api/v1/announcements/{id}/withdraw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FR-038–042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Rooms/Messaging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POST/GET /api/v1/rooms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POST /api/v1/rooms/{id}/join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GET /api/v1/rooms/{id}/messages</w:t>
            </w:r>
            <w:r>
              <w:t xml:space="preserve">, SignalR hub </w:t>
            </w:r>
            <w:r>
              <w:rPr>
                <w:rFonts w:ascii="Consolas" w:cs="Consolas" w:eastAsia="Consolas" w:hAnsi="Consolas"/>
              </w:rPr>
              <w:t xml:space="preserve">/hubs/collaboration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FR-043–051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Meetings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POST /api/v1/rooms/{id}/meetings/token</w:t>
            </w:r>
            <w:r>
              <w:t xml:space="preserve"> (ACS token issuance)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FR-048–050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Dashboards/Reports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GET /api/v1/dashboard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GET /api/v1/platform/summary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POST /api/v1/reports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GET /api/v1/reports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FR-052–058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POST/GET/PUT /api/v1/timetable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FR-059–062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Configuration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GET/PUT /api/v1/institution-config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FR-063–066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Academic year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POST /api/v1/academic-years/{id}/rollover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FR-067–068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Subscription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GET/POST/PUT /api/v1/subscriptions</w:t>
            </w:r>
            <w:r>
              <w:t xml:space="preserve">, trial start (</w:t>
            </w:r>
            <w:r>
              <w:rPr>
                <w:rFonts w:ascii="Consolas" w:cs="Consolas" w:eastAsia="Consolas" w:hAnsi="Consolas"/>
              </w:rPr>
              <w:t xml:space="preserve">POST /api/v1/trials</w:t>
            </w:r>
            <w:r>
              <w:t xml:space="preserve">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FR-069–073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All endpoints deny-by-default per </w:t>
      </w:r>
      <w:r>
        <w:rPr>
          <w:rFonts w:ascii="Consolas" w:cs="Consolas" w:eastAsia="Consolas" w:hAnsi="Consolas"/>
        </w:rPr>
        <w:t xml:space="preserve">company.md</w:t>
      </w:r>
      <w:r>
        <w:t xml:space="preserve"> §3; only </w:t>
      </w:r>
      <w:r>
        <w:rPr>
          <w:rFonts w:ascii="Consolas" w:cs="Consolas" w:eastAsia="Consolas" w:hAnsi="Consolas"/>
        </w:rPr>
        <w:t xml:space="preserve">GET /api/v1/public/*</w:t>
      </w:r>
      <w:r>
        <w:t xml:space="preserve"> and marketing content are anonymous, matching NFR-014.</w:t>
      </w:r>
    </w:p>
    <w:p>
      <w:pPr>
        <w:pBdr>
          <w:bottom w:val="single" w:color="DDDDDD" w:sz="6" w:space="1"/>
        </w:pBdr>
        <w:spacing w:after="200" w:before="120"/>
      </w:pP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8. Security (code level)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8.1 Authentication &amp; session (D1, D2)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Password policy (D1):</w:t>
      </w:r>
      <w:r>
        <w:t xml:space="preserve"> min 10 characters, ≥3 of 4 character classes, blocklist-checked, no forced rotation — ASP.NET Core Identity password validator pipeline. Resolves BR-014's </w:t>
      </w:r>
      <w:r>
        <w:rPr>
          <w:rFonts w:ascii="Consolas" w:cs="Consolas" w:eastAsia="Consolas" w:hAnsi="Consolas"/>
        </w:rPr>
        <w:t xml:space="preserve">L1</w:t>
      </w:r>
      <w:r>
        <w:t xml:space="preserve"> hand-off.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Session/token (D2):</w:t>
      </w:r>
      <w:r>
        <w:t xml:space="preserve"> JWT access token 30-minute expiry; refresh token 14-day sliding expiry, rotated on use, server-side revocable (denylist on sign-out/password change). Resolves BR-015's </w:t>
      </w:r>
      <w:r>
        <w:rPr>
          <w:rFonts w:ascii="Consolas" w:cs="Consolas" w:eastAsia="Consolas" w:hAnsi="Consolas"/>
        </w:rPr>
        <w:t xml:space="preserve">L2</w:t>
      </w:r>
      <w:r>
        <w:t xml:space="preserve"> hand-off. Sign-out immediately invalidates via the denylist (BR-016).</w:t>
      </w:r>
    </w:p>
    <w:p>
      <w:pPr>
        <w:spacing w:after="60"/>
        <w:ind w:left="360"/>
      </w:pPr>
      <w:r>
        <w:t xml:space="preserve">• Credentials never displayed/transmitted in readable form (BR-014); TLS 1.2+ everywhere (</w:t>
      </w:r>
      <w:r>
        <w:rPr>
          <w:rFonts w:ascii="Consolas" w:cs="Consolas" w:eastAsia="Consolas" w:hAnsi="Consolas"/>
        </w:rPr>
        <w:t xml:space="preserve">company.md</w:t>
      </w:r>
      <w:r>
        <w:t xml:space="preserve"> §3, NFR-017).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8.2 Authorization</w:t>
      </w:r>
    </w:p>
    <w:p>
      <w:pPr>
        <w:spacing w:after="140"/>
      </w:pPr>
      <w:r>
        <w:t xml:space="preserve">Policy-based RBAC with </w:t>
      </w:r>
      <w:r>
        <w:rPr>
          <w:rFonts w:ascii="Consolas" w:cs="Consolas" w:eastAsia="Consolas" w:hAnsi="Consolas"/>
        </w:rPr>
        <w:t xml:space="preserve">institution_id</w:t>
      </w:r>
      <w:r>
        <w:t xml:space="preserve"> claim, per §3.3. Every business function and navigation destination authorized server-side regardless of what the client renders (FR-009); a clear, non-technical denial message is returned (FR-010, NFR-003).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8.3 Tenant isolation</w:t>
      </w:r>
    </w:p>
    <w:p>
      <w:pPr>
        <w:spacing w:after="140"/>
      </w:pPr>
      <w:r>
        <w:t xml:space="preserve">EF Core global query filters as the structural mechanism (T-002, §3.3/§5.1) — the single highest-value security control in this design given NFR-016's "absolute isolation" requirement.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8.4 Collaboration room access (BR-040/041, NFR-019)</w:t>
      </w:r>
    </w:p>
    <w:p>
      <w:pPr>
        <w:spacing w:after="140"/>
      </w:pPr>
      <w:r>
        <w:t xml:space="preserve">Passcode required to join a room; passcode never displayed in the browsing room list (FR-043, Q-M4). No additional child-safeguarding-specific control is introduced (BR-047, a conscious BRD decision, not a Tech Design gap).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8.5 Parent-Student linking security (T-003)</w:t>
      </w:r>
    </w:p>
    <w:p>
      <w:pPr>
        <w:spacing w:after="140"/>
      </w:pPr>
      <w:r>
        <w:t xml:space="preserve">Single-use, time-limited codes; staff-controlled issuance and revocation (§3.8) — access to a student's data by a parent is gated by an explicit link, never by guessable identifiers.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8.6 Sensitive data handling</w:t>
      </w:r>
    </w:p>
    <w:p>
      <w:pPr>
        <w:spacing w:after="140"/>
      </w:pPr>
      <w:r>
        <w:t xml:space="preserve">Guardian contact details follow the same access rules as the student record (BR-021). Personal data encrypted in transit (TLS) and at rest (Azure TDE / Storage Service Encryption — </w:t>
      </w:r>
      <w:r>
        <w:rPr>
          <w:rFonts w:ascii="Consolas" w:cs="Consolas" w:eastAsia="Consolas" w:hAnsi="Consolas"/>
        </w:rPr>
        <w:t xml:space="preserve">company.md</w:t>
      </w:r>
      <w:r>
        <w:t xml:space="preserve"> §3, NFR-018). Per </w:t>
      </w:r>
      <w:r>
        <w:rPr>
          <w:rFonts w:ascii="Consolas" w:cs="Consolas" w:eastAsia="Consolas" w:hAnsi="Consolas"/>
        </w:rPr>
        <w:t xml:space="preserve">project.md</w:t>
      </w:r>
      <w:r>
        <w:t xml:space="preserve"> §4: no named external compliance regime; treated as confidential by default under </w:t>
      </w:r>
      <w:r>
        <w:rPr>
          <w:rFonts w:ascii="Consolas" w:cs="Consolas" w:eastAsia="Consolas" w:hAnsi="Consolas"/>
        </w:rPr>
        <w:t xml:space="preserve">company.md</w:t>
      </w:r>
      <w:r>
        <w:t xml:space="preserve"> §8, with the specific CMP-001/002/003 retention/export/deletion rules implemented as the Hangfire retention sweep job (§3.5).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8.7 Audit (D9, §3.6)</w:t>
      </w:r>
    </w:p>
    <w:p>
      <w:pPr>
        <w:spacing w:after="140"/>
      </w:pPr>
      <w:r>
        <w:t xml:space="preserve">Structural </w:t>
      </w:r>
      <w:r>
        <w:rPr>
          <w:rFonts w:ascii="Consolas" w:cs="Consolas" w:eastAsia="Consolas" w:hAnsi="Consolas"/>
        </w:rPr>
        <w:t xml:space="preserve">SaveChanges</w:t>
      </w:r>
      <w:r>
        <w:t xml:space="preserve">-interceptor-based audit trail; sign-in/out/permission-denial logged from auth middleware (NFR-031); audit history not editable by end users and retained per CMP-001/002 (NFR-033).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8.8 Secrets</w:t>
      </w:r>
    </w:p>
    <w:p>
      <w:pPr>
        <w:spacing w:after="140"/>
      </w:pPr>
      <w:r>
        <w:t xml:space="preserve">Environment-variable-sourced secrets per </w:t>
      </w:r>
      <w:r>
        <w:rPr>
          <w:rFonts w:ascii="Consolas" w:cs="Consolas" w:eastAsia="Consolas" w:hAnsi="Consolas"/>
        </w:rPr>
        <w:t xml:space="preserve">company.md</w:t>
      </w:r>
      <w:r>
        <w:t xml:space="preserve"> §4 (ACS connection strings, SignalR connection string, SQL connection string, JWT signing key) — never hardcoded, never logged (</w:t>
      </w:r>
      <w:r>
        <w:rPr>
          <w:rFonts w:ascii="Consolas" w:cs="Consolas" w:eastAsia="Consolas" w:hAnsi="Consolas"/>
        </w:rPr>
        <w:t xml:space="preserve">company.md</w:t>
      </w:r>
      <w:r>
        <w:t xml:space="preserve"> §3/§6).</w:t>
      </w:r>
    </w:p>
    <w:p>
      <w:pPr>
        <w:pBdr>
          <w:bottom w:val="single" w:color="DDDDDD" w:sz="6" w:space="1"/>
        </w:pBdr>
        <w:spacing w:after="200" w:before="120"/>
      </w:pP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9. Performance (code-shaping only)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List/detail views (NFR-006, &lt;2s):</w:t>
      </w:r>
      <w:r>
        <w:t xml:space="preserve"> standard EF Core query patterns with appropriate indexes on </w:t>
      </w:r>
      <w:r>
        <w:rPr>
          <w:rFonts w:ascii="Consolas" w:cs="Consolas" w:eastAsia="Consolas" w:hAnsi="Consolas"/>
        </w:rPr>
        <w:t xml:space="preserve">institution_id</w:t>
      </w:r>
      <w:r>
        <w:t xml:space="preserve"> + natural lookup keys (e.g. </w:t>
      </w:r>
      <w:r>
        <w:rPr>
          <w:rFonts w:ascii="Consolas" w:cs="Consolas" w:eastAsia="Consolas" w:hAnsi="Consolas"/>
        </w:rPr>
        <w:t xml:space="preserve">(institution_id, class_id)</w:t>
      </w:r>
      <w:r>
        <w:t xml:space="preserve"> on </w:t>
      </w:r>
      <w:r>
        <w:rPr>
          <w:rFonts w:ascii="Consolas" w:cs="Consolas" w:eastAsia="Consolas" w:hAnsi="Consolas"/>
        </w:rPr>
        <w:t xml:space="preserve">Student</w:t>
      </w:r>
      <w:r>
        <w:t xml:space="preserve">, </w:t>
      </w:r>
      <w:r>
        <w:rPr>
          <w:rFonts w:ascii="Consolas" w:cs="Consolas" w:eastAsia="Consolas" w:hAnsi="Consolas"/>
        </w:rPr>
        <w:t xml:space="preserve">(person_id, attendance_date)</w:t>
      </w:r>
      <w:r>
        <w:t xml:space="preserve"> unique index doubling as the primary lookup path for attendance retrieval).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Dashboard summaries (NFR-007, &lt;3s):</w:t>
      </w:r>
      <w:r>
        <w:t xml:space="preserve"> aggregate queries scoped by the global query filter; consider a materialized/cached daily-presence figure refreshed on attendance write rather than recomputed per dashboard load, given NFR-050 "presence figures always reflect the current calendar date" — a simple per-institution cache invalidated on same-day attendance writes is sufficient at this data volume (NFR-021), no dedicated caching tier introduced.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Chat delivery (NFR-008, &lt;1s):</w:t>
      </w:r>
      <w:r>
        <w:t xml:space="preserve"> SignalR's low-latency in-memory fan-out via Azure SignalR Service backplane satisfies this directly; no polling fallback needed for the primary path.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Attendance-day peak absorption (NFR-022):</w:t>
      </w:r>
      <w:r>
        <w:t xml:space="preserve"> App Service scale-out (horizontal) is safe because SignalR state lives in Azure SignalR Service, not in-process — the stateless-API pattern is what this design deliberately buys (§2.4). Bulk attendance submission (FR-030) is a single upsert batch per class, not N individual requests, to keep peak-hour request volume bounded.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Background jobs (T-005):</w:t>
      </w:r>
      <w:r>
        <w:t xml:space="preserve"> report generation, notification dispatch and rollover run off the request path entirely via Hangfire, so they never contend with interactive-request latency budgets above.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Reconnection (NFR-012):</w:t>
      </w:r>
      <w:r>
        <w:t xml:space="preserve"> handled at the transport layer (§3.4) — client re-fetches message history via REST on reconnect rather than relying on SignalR to replay a gap.</w:t>
      </w:r>
    </w:p>
    <w:p>
      <w:pPr>
        <w:pBdr>
          <w:bottom w:val="single" w:color="DDDDDD" w:sz="6" w:space="1"/>
        </w:pBdr>
        <w:spacing w:after="200" w:before="120"/>
      </w:pP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10. Implementation Guidelines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Linting/formatting (company.md §5):</w:t>
      </w:r>
      <w:r>
        <w:t xml:space="preserve"> </w:t>
      </w:r>
      <w:r>
        <w:rPr>
          <w:rFonts w:ascii="Consolas" w:cs="Consolas" w:eastAsia="Consolas" w:hAnsi="Consolas"/>
        </w:rPr>
        <w:t xml:space="preserve">dotnet format</w:t>
      </w:r>
      <w:r>
        <w:t xml:space="preserve"> + Roslyn analyzers for C#; ESLint + Prettier for TypeScript/React. CI must show both clean; reviewers do not hand-flag style.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Commits:</w:t>
      </w:r>
      <w:r>
        <w:t xml:space="preserve"> Conventional Commits (</w:t>
      </w:r>
      <w:r>
        <w:rPr>
          <w:rFonts w:ascii="Consolas" w:cs="Consolas" w:eastAsia="Consolas" w:hAnsi="Consolas"/>
        </w:rPr>
        <w:t xml:space="preserve">feat:</w:t>
      </w:r>
      <w:r>
        <w:t xml:space="preserve">, </w:t>
      </w:r>
      <w:r>
        <w:rPr>
          <w:rFonts w:ascii="Consolas" w:cs="Consolas" w:eastAsia="Consolas" w:hAnsi="Consolas"/>
        </w:rPr>
        <w:t xml:space="preserve">fix:</w:t>
      </w:r>
      <w:r>
        <w:t xml:space="preserve">, </w:t>
      </w:r>
      <w:r>
        <w:rPr>
          <w:rFonts w:ascii="Consolas" w:cs="Consolas" w:eastAsia="Consolas" w:hAnsi="Consolas"/>
        </w:rPr>
        <w:t xml:space="preserve">chore:</w:t>
      </w:r>
      <w:r>
        <w:t xml:space="preserve">, </w:t>
      </w:r>
      <w:r>
        <w:rPr>
          <w:rFonts w:ascii="Consolas" w:cs="Consolas" w:eastAsia="Consolas" w:hAnsi="Consolas"/>
        </w:rPr>
        <w:t xml:space="preserve">refactor:</w:t>
      </w:r>
      <w:r>
        <w:t xml:space="preserve">, </w:t>
      </w:r>
      <w:r>
        <w:rPr>
          <w:rFonts w:ascii="Consolas" w:cs="Consolas" w:eastAsia="Consolas" w:hAnsi="Consolas"/>
        </w:rPr>
        <w:t xml:space="preserve">test:</w:t>
      </w:r>
      <w:r>
        <w:t xml:space="preserve">, </w:t>
      </w:r>
      <w:r>
        <w:rPr>
          <w:rFonts w:ascii="Consolas" w:cs="Consolas" w:eastAsia="Consolas" w:hAnsi="Consolas"/>
        </w:rPr>
        <w:t xml:space="preserve">docs:</w:t>
      </w:r>
      <w:r>
        <w:t xml:space="preserve">).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PRs:</w:t>
      </w:r>
      <w:r>
        <w:t xml:space="preserve"> at least one reviewer approval; CI green before merge; protected main/release branches. Per </w:t>
      </w:r>
      <w:r>
        <w:rPr>
          <w:rFonts w:ascii="Consolas" w:cs="Consolas" w:eastAsia="Consolas" w:hAnsi="Consolas"/>
        </w:rPr>
        <w:t xml:space="preserve">project.md</w:t>
      </w:r>
      <w:r>
        <w:t xml:space="preserve"> §1a/§5, </w:t>
      </w:r>
      <w:r>
        <w:rPr>
          <w:rFonts w:ascii="Consolas" w:cs="Consolas" w:eastAsia="Consolas" w:hAnsi="Consolas"/>
        </w:rPr>
        <w:t xml:space="preserve">team_mode: team</w:t>
      </w:r>
      <w:r>
        <w:t xml:space="preserve"> but the same named individual (Jayesh Idnani) holds every pipeline role — flagged there for visibility, not re-litigated here.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ADRs:</w:t>
      </w:r>
      <w:r>
        <w:t xml:space="preserve"> architecturally significant decisions recorded in </w:t>
      </w:r>
      <w:r>
        <w:rPr>
          <w:rFonts w:ascii="Consolas" w:cs="Consolas" w:eastAsia="Consolas" w:hAnsi="Consolas"/>
        </w:rPr>
        <w:t xml:space="preserve">.pipeline/_build/</w:t>
      </w:r>
      <w:r>
        <w:t xml:space="preserve"> during the build, per </w:t>
      </w:r>
      <w:r>
        <w:rPr>
          <w:rFonts w:ascii="Consolas" w:cs="Consolas" w:eastAsia="Consolas" w:hAnsi="Consolas"/>
        </w:rPr>
        <w:t xml:space="preserve">company.md</w:t>
      </w:r>
      <w:r>
        <w:t xml:space="preserve"> §5.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Testing (company.md §7):</w:t>
      </w:r>
      <w:r>
        <w:t xml:space="preserve"> xUnit for C# unit + integration; Jest/React Testing Library for frontend unit; Playwright for E2E user-facing flows. Every requirement traces to ≥1 test (</w:t>
      </w:r>
      <w:r>
        <w:rPr>
          <w:rFonts w:ascii="Consolas" w:cs="Consolas" w:eastAsia="Consolas" w:hAnsi="Consolas"/>
        </w:rPr>
        <w:t xml:space="preserve">FR-</w:t>
      </w:r>
      <w:r>
        <w:t xml:space="preserve"> → </w:t>
      </w:r>
      <w:r>
        <w:rPr>
          <w:rFonts w:ascii="Consolas" w:cs="Consolas" w:eastAsia="Consolas" w:hAnsi="Consolas"/>
        </w:rPr>
        <w:t xml:space="preserve">SPEC-FR-</w:t>
      </w:r>
      <w:r>
        <w:t xml:space="preserve"> → </w:t>
      </w:r>
      <w:r>
        <w:rPr>
          <w:rFonts w:ascii="Consolas" w:cs="Consolas" w:eastAsia="Consolas" w:hAnsi="Consolas"/>
        </w:rPr>
        <w:t xml:space="preserve">TC-</w:t>
      </w:r>
      <w:r>
        <w:t xml:space="preserve">); coverage judged by lens completeness (happy path, error paths, edge cases, security, idempotency), not a numeric threshold.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Adversarial-fixture rule (company.md §7, verbatim, binding on every test suite this design produces):</w:t>
      </w:r>
      <w:r>
        <w:t xml:space="preserve"> </w:t>
      </w:r>
      <w:r>
        <w:rPr>
          <w:i/>
          <w:iCs/>
        </w:rPr>
        <w:t xml:space="preserve">"For every branch a test claims to cover, at least one case must fail against the pre-fix code. A suite that only agrees with the implementation proves nothing."</w:t>
      </w:r>
      <w:r>
        <w:t xml:space="preserve"> This applies with particular force to: the </w:t>
      </w:r>
      <w:r>
        <w:rPr>
          <w:rFonts w:ascii="Consolas" w:cs="Consolas" w:eastAsia="Consolas" w:hAnsi="Consolas"/>
        </w:rPr>
        <w:t xml:space="preserve">institution_id</w:t>
      </w:r>
      <w:r>
        <w:t xml:space="preserve"> global-query-filter tests (a test must prove cross-tenant data is actually blocked, not merely that same-tenant data is returned); the attendance-lock/correction-approval state machine (FR-033–035); the Parent Link Code single-use/expiry logic (T-003); and the attendance upsert-not-duplicate rule (BR-031, D10). No suite in this codebase may be accepted on the basis that it merely exercises a mock.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No TODO/HACK left at a phase gate</w:t>
      </w:r>
      <w:r>
        <w:t xml:space="preserve"> without a tracked work item (</w:t>
      </w:r>
      <w:r>
        <w:rPr>
          <w:rFonts w:ascii="Consolas" w:cs="Consolas" w:eastAsia="Consolas" w:hAnsi="Consolas"/>
        </w:rPr>
        <w:t xml:space="preserve">company.md</w:t>
      </w:r>
      <w:r>
        <w:t xml:space="preserve"> §5).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Determinism &amp; isolation:</w:t>
      </w:r>
      <w:r>
        <w:t xml:space="preserve"> parallel test runs use per-worker DBs/fixtures (</w:t>
      </w:r>
      <w:r>
        <w:rPr>
          <w:rFonts w:ascii="Consolas" w:cs="Consolas" w:eastAsia="Consolas" w:hAnsi="Consolas"/>
        </w:rPr>
        <w:t xml:space="preserve">company.md</w:t>
      </w:r>
      <w:r>
        <w:t xml:space="preserve"> §7).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Synthetic data only</w:t>
      </w:r>
      <w:r>
        <w:t xml:space="preserve"> in tests/fixtures/logs/tickets — never real regulated learner/guardian/ staff data (</w:t>
      </w:r>
      <w:r>
        <w:rPr>
          <w:rFonts w:ascii="Consolas" w:cs="Consolas" w:eastAsia="Consolas" w:hAnsi="Consolas"/>
        </w:rPr>
        <w:t xml:space="preserve">company.md</w:t>
      </w:r>
      <w:r>
        <w:t xml:space="preserve"> §8).</w:t>
      </w:r>
    </w:p>
    <w:p>
      <w:pPr>
        <w:pBdr>
          <w:bottom w:val="single" w:color="DDDDDD" w:sz="6" w:space="1"/>
        </w:pBdr>
        <w:spacing w:after="200" w:before="120"/>
      </w:pP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11. Assumptions Register</w:t>
      </w:r>
    </w:p>
    <w:p>
      <w:pPr>
        <w:spacing w:after="140"/>
      </w:pPr>
      <w:r>
        <w:t xml:space="preserve">Conventional, cheap-to-change, wrong-is-visible-early assumptions made in this design (per the router's Step B) — distinct from the Stated Decisions in §12, which carry a fuller rationale: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Assumption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Why safe to assume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Trace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Report generation is synchronous-enqueue/async-complete (client polls or is notified via SignalR when a report is ready), not a blocking HTTP call.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Conventional pattern for a job that can take longer than NFR-006/007's view-load budgets; cheap to change to a different notification mechanism.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FR-054/055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dashboard's "presence figures" cache (§9) invalidates on same-day attendance writes only — no scheduled cache refresh needed given NFR-050's "current calendar date" framing.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Wrong-is-visible-early: a stale dashboard is immediately noticeable to leadership.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FR-052, BR-050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ParentLinkCode</w:t>
            </w:r>
            <w:r>
              <w:t xml:space="preserve"> length/expiry (8 chars / 7 days) mirrors the room-passcode pattern's implied scale, not a BRD-stated figure.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technical figure, cheap to retune, consistent with T-003's accepted design.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T-003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Trial-to-entry-tier reversion (FR-071) is executed by the same Hangfire scheduler class as academic-year rollover (§3.5), not a bespoke mechanism.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Conventional reuse of the one background-job framework already justified (T-005).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FR-070/071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</w:t>
            </w:r>
            <w:r>
              <w:rPr>
                <w:rFonts w:ascii="Consolas" w:cs="Consolas" w:eastAsia="Consolas" w:hAnsi="Consolas"/>
              </w:rPr>
              <w:t xml:space="preserve">PublicInstitutionDirectoryProjection</w:t>
            </w:r>
            <w:r>
              <w:t xml:space="preserve"> is refreshed synchronously on institution create/update/withdraw (not via a separate sync job).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Small, low-write-volume table; synchronous refresh is simpler and visible-if-wrong (stale directory entries would surface immediately in QA).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FR-005, D12</w:t>
            </w:r>
          </w:p>
        </w:tc>
      </w:tr>
    </w:tbl>
    <w:p>
      <w:pPr>
        <w:spacing w:after="160"/>
      </w:pPr>
    </w:p>
    <w:p>
      <w:pPr>
        <w:pBdr>
          <w:bottom w:val="single" w:color="DDDDDD" w:sz="6" w:space="1"/>
        </w:pBdr>
        <w:spacing w:after="200" w:before="120"/>
      </w:pP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12. Stated Decisions Register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12.1 Decisions the router resolved directly (D1–D14, </w:t>
      </w:r>
      <w:r>
        <w:rPr>
          <w:rFonts w:ascii="Consolas" w:cs="Consolas" w:eastAsia="Consolas" w:hAnsi="Consolas"/>
          <w:b/>
          <w:bCs/>
          <w:sz w:val="28"/>
          <w:szCs w:val="28"/>
        </w:rPr>
        <w:t xml:space="preserve">_decisions.md</w:t>
      </w:r>
      <w:r>
        <w:rPr>
          <w:b/>
          <w:bCs/>
          <w:sz w:val="28"/>
          <w:szCs w:val="28"/>
        </w:rPr>
        <w:t xml:space="preserve">, unchanged — no overrides received)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Decision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Resolves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Password policy: min 10 chars, ≥3/4 classes, blocklist, no forced rotation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BR-014 (</w:t>
            </w:r>
            <w:r>
              <w:rPr>
                <w:rFonts w:ascii="Consolas" w:cs="Consolas" w:eastAsia="Consolas" w:hAnsi="Consolas"/>
              </w:rPr>
              <w:t xml:space="preserve">L1</w:t>
            </w:r>
            <w:r>
              <w:t xml:space="preserve">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 30-min access / 14-day sliding refresh, rotated, revocable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BR-015 (</w:t>
            </w:r>
            <w:r>
              <w:rPr>
                <w:rFonts w:ascii="Consolas" w:cs="Consolas" w:eastAsia="Consolas" w:hAnsi="Consolas"/>
              </w:rPr>
              <w:t xml:space="preserve">L2</w:t>
            </w:r>
            <w:r>
              <w:t xml:space="preserve">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Message length bound: 4,000 characters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BR-045 (</w:t>
            </w:r>
            <w:r>
              <w:rPr>
                <w:rFonts w:ascii="Consolas" w:cs="Consolas" w:eastAsia="Consolas" w:hAnsi="Consolas"/>
              </w:rPr>
              <w:t xml:space="preserve">L3</w:t>
            </w:r>
            <w:r>
              <w:t xml:space="preserve">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Policy-based RBAC + </w:t>
            </w:r>
            <w:r>
              <w:rPr>
                <w:rFonts w:ascii="Consolas" w:cs="Consolas" w:eastAsia="Consolas" w:hAnsi="Consolas"/>
              </w:rPr>
              <w:t xml:space="preserve">institution_id</w:t>
            </w:r>
            <w:r>
              <w:t xml:space="preserve"> JWT claim + EF Core global query filters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BR-007–013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RESTful JSON, ASP.NET Core Web API, URL-versioned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TanStack Query + Zustand + React Router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Report export: PDF (server-side) + CSV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NFR-027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Uniform </w:t>
            </w:r>
            <w:r>
              <w:rPr>
                <w:rFonts w:ascii="Consolas" w:cs="Consolas" w:eastAsia="Consolas" w:hAnsi="Consolas"/>
              </w:rPr>
              <w:t xml:space="preserve">IsActive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DeactivatedAtUtc</w:t>
            </w:r>
            <w:r>
              <w:t xml:space="preserve"> soft-delete pattern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BR-005, FR-014/019/004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AuditLog</w:t>
            </w:r>
            <w:r>
              <w:t xml:space="preserve"> table via EF Core </w:t>
            </w:r>
            <w:r>
              <w:rPr>
                <w:rFonts w:ascii="Consolas" w:cs="Consolas" w:eastAsia="Consolas" w:hAnsi="Consolas"/>
              </w:rPr>
              <w:t xml:space="preserve">SaveChanges</w:t>
            </w:r>
            <w:r>
              <w:t xml:space="preserve"> interceptor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NFR-028–033, BR-059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Unique </w:t>
            </w:r>
            <w:r>
              <w:rPr>
                <w:rFonts w:ascii="Consolas" w:cs="Consolas" w:eastAsia="Consolas" w:hAnsi="Consolas"/>
              </w:rPr>
              <w:t xml:space="preserve">(person_id, attendance_date)</w:t>
            </w:r>
            <w:r>
              <w:t xml:space="preserve"> constraint, upsert on repeat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BR-031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Report snapshots in Azure Blob Storage + SQL metadata row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FR-055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 </w:t>
            </w:r>
            <w:r>
              <w:rPr>
                <w:rFonts w:ascii="Consolas" w:cs="Consolas" w:eastAsia="Consolas" w:hAnsi="Consolas"/>
              </w:rPr>
              <w:t xml:space="preserve">LIKE</w:t>
            </w:r>
            <w:r>
              <w:t xml:space="preserve">/full-text directory search, no dedicated search engine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FR-005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Clean/Onion layering: Domain/Application/Infrastructure/Api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AcademicYear</w:t>
            </w:r>
            <w:r>
              <w:t xml:space="preserve">/</w:t>
            </w:r>
            <w:r>
              <w:rPr>
                <w:rFonts w:ascii="Consolas" w:cs="Consolas" w:eastAsia="Consolas" w:hAnsi="Consolas"/>
              </w:rPr>
              <w:t xml:space="preserve">Term</w:t>
            </w:r>
            <w:r>
              <w:t xml:space="preserve"> entities + append-only roster snapshot on rollover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ENT-017, FR-067/068, BR-060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Full rationale for each retained verbatim in </w:t>
      </w:r>
      <w:r>
        <w:rPr>
          <w:rFonts w:ascii="Consolas" w:cs="Consolas" w:eastAsia="Consolas" w:hAnsi="Consolas"/>
        </w:rPr>
        <w:t xml:space="preserve">.pipeline/02-tech-design/_decisions.md</w:t>
      </w:r>
      <w:r>
        <w:t xml:space="preserve">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12.2 Worksheet items — all answered (</w:t>
      </w:r>
      <w:r>
        <w:rPr>
          <w:rFonts w:ascii="Consolas" w:cs="Consolas" w:eastAsia="Consolas" w:hAnsi="Consolas"/>
          <w:b/>
          <w:bCs/>
          <w:sz w:val="28"/>
          <w:szCs w:val="28"/>
        </w:rPr>
        <w:t xml:space="preserve">_questions.md</w:t>
      </w:r>
      <w:r>
        <w:rPr>
          <w:b/>
          <w:bCs/>
          <w:sz w:val="28"/>
          <w:szCs w:val="28"/>
        </w:rPr>
        <w:t xml:space="preserve">, verbatim final answers)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Final answer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Answered by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T-001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Accepted — SignalR + Azure SignalR Service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Jayesh Idnani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T-002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Accepted — shared DB, </w:t>
            </w:r>
            <w:r>
              <w:rPr>
                <w:rFonts w:ascii="Consolas" w:cs="Consolas" w:eastAsia="Consolas" w:hAnsi="Consolas"/>
              </w:rPr>
              <w:t xml:space="preserve">institution_id</w:t>
            </w:r>
            <w:r>
              <w:t xml:space="preserve"> discriminator, EF Core global query filters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Jayesh Idnani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T-003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Accepted — staff-generated, single-use, time-limited Parent Link Code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Jayesh Idnani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T-004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Accepted — Azure Communication Services (email + SMS)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Jayesh Idnani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T-005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Accepted — Hangfire in-process, SQL Server storage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Jayesh Idnani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T-006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Accepted as leaning candidate — Azure Communication Services Calling SDK, spike waived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Jayesh Idnani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SP-001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Waived by explicit operator decision; five validation points carried forward as named risks (§13)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Jayesh Idnani</w:t>
            </w:r>
          </w:p>
        </w:tc>
      </w:tr>
    </w:tbl>
    <w:p>
      <w:pPr>
        <w:spacing w:after="160"/>
      </w:pPr>
    </w:p>
    <w:p>
      <w:pPr>
        <w:pBdr>
          <w:bottom w:val="single" w:color="DDDDDD" w:sz="6" w:space="1"/>
        </w:pBdr>
        <w:spacing w:after="200" w:before="120"/>
      </w:pP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13. Open Items</w:t>
      </w:r>
    </w:p>
    <w:p>
      <w:pPr>
        <w:spacing w:after="140"/>
      </w:pPr>
      <w:r>
        <w:t xml:space="preserve">Nothing here is a re-opened business question; everything below is either a named, owned technical risk to validate during build, or a dependency notice already surfaced upstream.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13.1 Carried-forward risks from the waived SP-001 spike — owner: Architect (Jayesh Idnani), to validate during Stage 3/4 build, before finalizing the meeting UI and its ACS integration contract (§6)</w:t>
      </w:r>
    </w:p>
    <w:p>
      <w:pPr>
        <w:spacing w:after="60"/>
        <w:ind w:left="360"/>
      </w:pPr>
      <w:r>
        <w:t xml:space="preserve">1. </w:t>
      </w:r>
      <w:r>
        <w:rPr>
          <w:b/>
          <w:bCs/>
        </w:rPr>
        <w:t xml:space="preserve">[RISK] Participant-count cap vs NFR-009.</w:t>
      </w:r>
      <w:r>
        <w:t xml:space="preserve"> ACS Calling's supported concurrent-participant count for "conversational quality" is not yet confirmed against a defined per-room cap. Default posture until validated: assume a conservative per-room cap (e.g. single-digit-to-low-teens participants) and surface it as a configurable limit, not a hardcoded assumption baked into the UI.</w:t>
      </w:r>
    </w:p>
    <w:p>
      <w:pPr>
        <w:spacing w:after="60"/>
        <w:ind w:left="360"/>
      </w:pPr>
      <w:r>
        <w:t xml:space="preserve">2. </w:t>
      </w:r>
      <w:r>
        <w:rPr>
          <w:b/>
          <w:bCs/>
        </w:rPr>
        <w:t xml:space="preserve">[RISK] Pricing-vs-tier fit vs BR-061/062.</w:t>
      </w:r>
      <w:r>
        <w:t xml:space="preserve"> Per-participant-minute ACS pricing has not been checked against the three subscription tiers' allowances. Until validated, do not silently meter meeting minutes as "unlimited" on the entry tier in any tier-configuration seed data.</w:t>
      </w:r>
    </w:p>
    <w:p>
      <w:pPr>
        <w:spacing w:after="60"/>
        <w:ind w:left="360"/>
      </w:pPr>
      <w:r>
        <w:t xml:space="preserve">3. </w:t>
      </w:r>
      <w:r>
        <w:rPr>
          <w:b/>
          <w:bCs/>
        </w:rPr>
        <w:t xml:space="preserve">[RISK] No-recording posture vs BRD §6.8 silence.</w:t>
      </w:r>
      <w:r>
        <w:t xml:space="preserve"> Default to </w:t>
      </w:r>
      <w:r>
        <w:rPr>
          <w:b/>
          <w:bCs/>
        </w:rPr>
        <w:t xml:space="preserve">no recording capability</w:t>
      </w:r>
      <w:r>
        <w:t xml:space="preserve"> shipped in this release; if the spike (when eventually run) finds recording is unavoidably bundled in the SDK, it must be explicitly disabled in configuration, not silently left available.</w:t>
      </w:r>
    </w:p>
    <w:p>
      <w:pPr>
        <w:spacing w:after="60"/>
        <w:ind w:left="360"/>
      </w:pPr>
      <w:r>
        <w:t xml:space="preserve">4. </w:t>
      </w:r>
      <w:r>
        <w:rPr>
          <w:b/>
          <w:bCs/>
        </w:rPr>
        <w:t xml:space="preserve">[RISK] Browser compatibility vs NFR-024/026.</w:t>
      </w:r>
      <w:r>
        <w:t xml:space="preserve"> Assumed compatible with current major desktop browsers' standard camera/mic APIs pending confirmation; build the meeting UI defensively (feature-detect camera/mic permission failures with a clear, non-technical message per NFR-003).</w:t>
      </w:r>
    </w:p>
    <w:p>
      <w:pPr>
        <w:spacing w:after="60"/>
        <w:ind w:left="360"/>
      </w:pPr>
      <w:r>
        <w:t xml:space="preserve">5. </w:t>
      </w:r>
      <w:r>
        <w:rPr>
          <w:b/>
          <w:bCs/>
        </w:rPr>
        <w:t xml:space="preserve">[RISK] Reconnection behavior vs NFR-012.</w:t>
      </w:r>
      <w:r>
        <w:t xml:space="preserve"> Confirmed for SignalR-based chat (§3.4); </w:t>
      </w:r>
      <w:r>
        <w:rPr>
          <w:b/>
          <w:bCs/>
        </w:rPr>
        <w:t xml:space="preserve">not yet confirmed for the ACS media session itself.</w:t>
      </w:r>
      <w:r>
        <w:t xml:space="preserve"> Build the meeting UI with a visible "reconnecting..." state and do not assume the media session silently self-heals; state the gap to end users rather than hide it, per NFR-003.</w:t>
      </w:r>
    </w:p>
    <w:p>
      <w:pPr>
        <w:spacing w:after="140"/>
      </w:pPr>
      <w:r>
        <w:t xml:space="preserve">These five are </w:t>
      </w:r>
      <w:r>
        <w:rPr>
          <w:b/>
          <w:bCs/>
        </w:rPr>
        <w:t xml:space="preserve">not</w:t>
      </w:r>
      <w:r>
        <w:t xml:space="preserve"> blocking Gate 2 — the operator explicitly elected to proceed without running the live spike — but they must be closed out (or their assumptions formally re-recorded) before the meeting feature is considered done at Stage 4.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13.2 Dependency notice (not a Tech Design item)</w:t>
      </w:r>
    </w:p>
    <w:p>
      <w:pPr>
        <w:spacing w:after="60"/>
        <w:ind w:left="360"/>
      </w:pPr>
      <w:r>
        <w:t xml:space="preserve">• </w:t>
      </w:r>
      <w:r>
        <w:rPr>
          <w:b/>
          <w:bCs/>
        </w:rPr>
        <w:t xml:space="preserve">BRD §15's MoSCoW priority-table confirmation</w:t>
      </w:r>
      <w:r>
        <w:t xml:space="preserve"> remains open at the BRD/Gate 1 level per </w:t>
      </w:r>
      <w:r>
        <w:rPr>
          <w:rFonts w:ascii="Consolas" w:cs="Consolas" w:eastAsia="Consolas" w:hAnsi="Consolas"/>
        </w:rPr>
        <w:t xml:space="preserve">BRD_Final.md</w:t>
      </w:r>
      <w:r>
        <w:t xml:space="preserve"> §15 and </w:t>
      </w:r>
      <w:r>
        <w:rPr>
          <w:rFonts w:ascii="Consolas" w:cs="Consolas" w:eastAsia="Consolas" w:hAnsi="Consolas"/>
        </w:rPr>
        <w:t xml:space="preserve">requirements.yaml</w:t>
      </w:r>
      <w:r>
        <w:t xml:space="preserve">'s header note. This is the orchestrator/BA's item to close, not re-opened or re-decided here; noted only so it is not lost between stages.</w:t>
      </w:r>
    </w:p>
    <w:p>
      <w:pPr>
        <w:keepNext/>
        <w:spacing w:after="120" w:before="220"/>
      </w:pPr>
      <w:r>
        <w:rPr>
          <w:b/>
          <w:bCs/>
          <w:sz w:val="28"/>
          <w:szCs w:val="28"/>
        </w:rPr>
        <w:t xml:space="preserve">13.3 Design-tokens completeness</w:t>
      </w:r>
    </w:p>
    <w:p>
      <w:pPr>
        <w:spacing w:after="140"/>
      </w:pPr>
      <w:r>
        <w:rPr>
          <w:rFonts w:ascii="Consolas" w:cs="Consolas" w:eastAsia="Consolas" w:hAnsi="Consolas"/>
        </w:rPr>
        <w:t xml:space="preserve">design-tokens.md</w:t>
      </w:r>
      <w:r>
        <w:t xml:space="preserve"> is present, confirmed, and was read in full for this design (§4) — no gap to flag here; </w:t>
      </w:r>
      <w:r>
        <w:rPr>
          <w:rFonts w:ascii="Consolas" w:cs="Consolas" w:eastAsia="Consolas" w:hAnsi="Consolas"/>
        </w:rPr>
        <w:t xml:space="preserve">ui-enrichment</w:t>
      </w:r>
      <w:r>
        <w:t xml:space="preserve"> has already run for this project.</w:t>
      </w:r>
    </w:p>
    <w:p>
      <w:pPr>
        <w:pBdr>
          <w:bottom w:val="single" w:color="DDDDDD" w:sz="6" w:space="1"/>
        </w:pBdr>
        <w:spacing w:after="200" w:before="120"/>
      </w:pP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14. Requirements Traceability</w:t>
      </w:r>
    </w:p>
    <w:p>
      <w:pPr>
        <w:spacing w:after="140"/>
      </w:pPr>
      <w:r>
        <w:t xml:space="preserve">Every design decision above traces to a real requirement ID. This table is a compact index; the inline </w:t>
      </w:r>
      <w:r>
        <w:rPr>
          <w:rFonts w:ascii="Consolas" w:cs="Consolas" w:eastAsia="Consolas" w:hAnsi="Consolas"/>
        </w:rPr>
        <w:t xml:space="preserve">[src: ...]</w:t>
      </w:r>
      <w:r>
        <w:t xml:space="preserve">-style citations throughout §2–§10 are the primary trace, not a duplicate of </w:t>
      </w:r>
      <w:r>
        <w:rPr>
          <w:rFonts w:ascii="Consolas" w:cs="Consolas" w:eastAsia="Consolas" w:hAnsi="Consolas"/>
        </w:rPr>
        <w:t xml:space="preserve">requirements.yaml</w:t>
      </w:r>
      <w:r>
        <w:t xml:space="preserve">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Requirement / Rule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Design section(s)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FR-001–005, BR-001–006 (Institution mgmt)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§3.3 (platform-global tables), §5.1, §7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FR-006–010, BR-007–016 (Identity/Access)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§3.3, §4.5, §8.1–8.3, §7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FR-011–017, BR-017–021 (Students)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§3.8 (FR-017), §5.7, §7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FR-018–023, BR-022–025 (Teachers)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§5.2, §7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FR-024–029, BR-026–029 (Class/Subject)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§5, §7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FR-030–037, BR-030–035 (Attendance)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§3.6, §5.3, §5.9, §9, §10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FR-038–042, BR-036–039 (Announcements)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§3.6, §7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FR-043–051, BR-040–047 (Collaboration/Messaging)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§3.4, §3.9, §6, §8.4, §9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FR-048–050, BR-046 (Meetings)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§3.4, §4.6, §6, §13.1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FR-052–058, BR-048–052 (Dashboards/Reporting)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§5.4, §9 (A2), §7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FR-059–062, BR-053–056 (Scheduling)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FR-063–068, BR-057–060 (Configuration/Academic year)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§3.5, §3.7, §5.6, §7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FR-069–073, BR-061–064 (Subscription)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§9 (A4), §7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FR-074/075, BR-065/066 (Student/Parent access)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§3.8, §5.7, §8.5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NFR-001–005 (Usability)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§4.1, §4.5, §10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NFR-006–009 (Performance)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NFR-010–013 (Reliability)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§2.4 note, §3.4, §9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NFR-014–019 (Security)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§8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NFR-020–023 (Scalability)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§2.4, §9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NFR-024–027 (Compatibility)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§4.6, §4.7, D7 (§12)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NFR-028–033 (Auditability)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§3.6, §8.7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CMP-001–003 (Compliance)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§3.5, §8.6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Full per-requirement detail (priority, quote, status) remains authoritative in </w:t>
      </w:r>
      <w:r>
        <w:rPr>
          <w:rFonts w:ascii="Consolas" w:cs="Consolas" w:eastAsia="Consolas" w:hAnsi="Consolas"/>
        </w:rPr>
        <w:t xml:space="preserve">.pipeline/01-brd/requirements.yaml</w:t>
      </w:r>
      <w:r>
        <w:t xml:space="preserve"> — this table only indexes into this document.</w:t>
      </w:r>
    </w:p>
    <w:p>
      <w:pPr>
        <w:pBdr>
          <w:bottom w:val="single" w:color="DDDDDD" w:sz="6" w:space="1"/>
        </w:pBdr>
        <w:spacing w:after="200" w:before="120"/>
      </w:pP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15. Out of Scope — Deployment &amp; Operations</w:t>
      </w:r>
    </w:p>
    <w:p>
      <w:pPr>
        <w:spacing w:after="140"/>
      </w:pPr>
      <w:r>
        <w:t xml:space="preserve">Per the charter, pure operations that do not change the code an engineer writes are noted with a named owner and not designed here: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shd w:fill="EFEFEF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CI/CD platform &amp; branching strategy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Delivery/DevOps lead (Jayesh Idnani, per </w:t>
            </w:r>
            <w:r>
              <w:rPr>
                <w:rFonts w:ascii="Consolas" w:cs="Consolas" w:eastAsia="Consolas" w:hAnsi="Consolas"/>
              </w:rPr>
              <w:t xml:space="preserve">project.md</w:t>
            </w:r>
            <w:r>
              <w:t xml:space="preserve"> §5 role map — no separate DevOps role recorded)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project.md</w:t>
            </w:r>
            <w:r>
              <w:t xml:space="preserve"> §6 already binds Azure DevOps as the tracker; pipeline definitions themselves are a build-stage concern.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Environment topology (App Service plan sizing, slots)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code-shaping.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Scaling triggers / autoscale rules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 Service's horizontal-scale-safety is a code-level property already designed in (§2.4, §9); the actual autoscale rule configuration is ops.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DR / RTO / RPO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NFR-013 ("daily backup, documented recovery objective") states the requirement; the specific backup/restore mechanism and tested RTO/RPO number is an operations deliverable.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Monitoring/alerting/tracing platform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company.md</w:t>
            </w:r>
            <w:r>
              <w:t xml:space="preserve"> §6 leaves APM/tracing unmandated at org level; Application Insights is the natural Azure-native candidate if adopted, to be recorded in </w:t>
            </w:r>
            <w:r>
              <w:rPr>
                <w:rFonts w:ascii="Consolas" w:cs="Consolas" w:eastAsia="Consolas" w:hAnsi="Consolas"/>
              </w:rPr>
              <w:t xml:space="preserve">project.md</w:t>
            </w:r>
            <w:r>
              <w:t xml:space="preserve"> if so — not decided here.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IaC tooling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code-shaping.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Cloud account/networking (VNets, private endpoints)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code-shaping; Azure SQL/App Service/Storage/SignalR/ACS network configuration is an ops concern layered on top of this design's component boundaries.</w:t>
            </w:r>
          </w:p>
        </w:tc>
      </w:tr>
    </w:tbl>
    <w:p>
      <w:pPr>
        <w:spacing w:after="160"/>
      </w:pPr>
    </w:p>
    <w:p>
      <w:pPr>
        <w:pBdr>
          <w:bottom w:val="single" w:color="DDDDDD" w:sz="6" w:space="1"/>
        </w:pBdr>
        <w:spacing w:after="200" w:before="120"/>
      </w:pPr>
    </w:p>
    <w:p>
      <w:pPr>
        <w:keepNext/>
        <w:spacing w:after="120" w:before="320"/>
      </w:pPr>
      <w:r>
        <w:rPr>
          <w:b/>
          <w:bCs/>
          <w:sz w:val="32"/>
          <w:szCs w:val="32"/>
        </w:rPr>
        <w:t xml:space="preserve">Readiness statement</w:t>
      </w:r>
    </w:p>
    <w:p>
      <w:pPr>
        <w:spacing w:after="140"/>
      </w:pPr>
      <w:r>
        <w:t xml:space="preserve">This document is implementation-ready: every in-scope Decide and Spike from the Phase 1 worksheet carries a Final Answer, all 14 stated decisions stand unmodified, every design decision traces to a requirement ID or is labeled a technical necessity, diagrams are included in §2/§5 (self-reviewed, not machine-validated), and the one carried-forward risk set (§13.1) is named, owned, and does not block Gate 2 by the operator's own explicit instruction.</w:t>
      </w:r>
    </w:p>
    <w:p>
      <w:pPr>
        <w:spacing w:after="140"/>
      </w:pPr>
      <w:r>
        <w:rPr>
          <w:b/>
          <w:bCs/>
        </w:rPr>
        <w:t xml:space="preserve">Reporting readiness for Gate 2 — readiness only, not approval.</w:t>
      </w:r>
      <w:r>
        <w:t xml:space="preserve"> Gate 2 approval itself sits with the Architect (Jayesh Idnani, per </w:t>
      </w:r>
      <w:r>
        <w:rPr>
          <w:rFonts w:ascii="Consolas" w:cs="Consolas" w:eastAsia="Consolas" w:hAnsi="Consolas"/>
        </w:rPr>
        <w:t xml:space="preserve">project.md</w:t>
      </w:r>
      <w:r>
        <w:t xml:space="preserve"> §5) and the orchestrator's own gate process.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Technical Design — School Management System ("SchoolSync") — generated from final-tech-design.md ·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— School Management System ("SchoolSync")</dc:title>
  <dc:creator>sdlc-greenfield-v3</dc:creator>
  <cp:lastModifiedBy>Un-named</cp:lastModifiedBy>
  <cp:revision>1</cp:revision>
  <dcterms:created xsi:type="dcterms:W3CDTF">2026-09-11T10:32:56.566Z</dcterms:created>
  <dcterms:modified xsi:type="dcterms:W3CDTF">2026-09-11T10:32:56.566Z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