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0"/>
        <w:ind w:left="0" w:right="0"/>
      </w:pPr>
    </w:p>
    <w:p>
      <w:pPr>
        <w:autoSpaceDN w:val="0"/>
        <w:autoSpaceDE w:val="0"/>
        <w:widowControl/>
        <w:spacing w:line="245" w:lineRule="auto" w:before="0" w:after="0"/>
        <w:ind w:left="1152" w:right="1152" w:firstLine="0"/>
        <w:jc w:val="center"/>
      </w:pPr>
      <w:r>
        <w:rPr>
          <w:rFonts w:ascii="EB Garamond" w:hAnsi="EB Garamond" w:eastAsia="EB Garamond"/>
          <w:b/>
          <w:i w:val="0"/>
          <w:color w:val="000000"/>
          <w:sz w:val="32"/>
        </w:rPr>
        <w:t xml:space="preserve">Rohit Kadam </w:t>
      </w:r>
      <w:r>
        <w:br/>
      </w:r>
      <w:r>
        <w:rPr>
          <w:rFonts w:ascii="EB Garamond" w:hAnsi="EB Garamond" w:eastAsia="EB Garamond"/>
          <w:b w:val="0"/>
          <w:i w:val="0"/>
          <w:color w:val="000000"/>
          <w:sz w:val="22"/>
        </w:rPr>
        <w:t xml:space="preserve">Pune, India • </w:t>
      </w:r>
      <w:r>
        <w:rPr>
          <w:rFonts w:ascii="EB Garamond" w:hAnsi="EB Garamond" w:eastAsia="EB Garamond"/>
          <w:b w:val="0"/>
          <w:i w:val="0"/>
          <w:color w:val="0000FF"/>
          <w:sz w:val="22"/>
          <w:u w:val="single"/>
        </w:rPr>
        <w:hyperlink r:id="rId9" w:history="1">
          <w:r>
            <w:rPr>
              <w:rStyle w:val="Hyperlink"/>
            </w:rPr>
            <w:t>rohitkadam1410@gmail.com</w:t>
          </w:r>
        </w:hyperlink>
      </w:r>
      <w:r>
        <w:rPr>
          <w:rFonts w:ascii="EB Garamond" w:hAnsi="EB Garamond" w:eastAsia="EB Garamond"/>
          <w:b w:val="0"/>
          <w:i w:val="0"/>
          <w:color w:val="000000"/>
          <w:sz w:val="22"/>
        </w:rPr>
        <w:t xml:space="preserve"> • +91 7767880235 • </w:t>
      </w:r>
      <w:r>
        <w:rPr>
          <w:rFonts w:ascii="EB Garamond" w:hAnsi="EB Garamond" w:eastAsia="EB Garamond"/>
          <w:b w:val="0"/>
          <w:i w:val="0"/>
          <w:color w:val="0000FF"/>
          <w:sz w:val="22"/>
          <w:u w:val="single"/>
        </w:rPr>
        <w:hyperlink r:id="rId10" w:history="1">
          <w:r>
            <w:rPr>
              <w:rStyle w:val="Hyperlink"/>
            </w:rPr>
            <w:t>linkedin.com/in/rohitkadam315</w:t>
          </w:r>
        </w:hyperlink>
      </w:r>
    </w:p>
    <w:p>
      <w:pPr>
        <w:autoSpaceDN w:val="0"/>
        <w:autoSpaceDE w:val="0"/>
        <w:widowControl/>
        <w:spacing w:line="245" w:lineRule="auto" w:before="286" w:after="0"/>
        <w:ind w:left="28" w:right="0" w:firstLine="0"/>
        <w:jc w:val="left"/>
      </w:pPr>
      <w:r>
        <w:rPr>
          <w:rFonts w:ascii="EB Garamond" w:hAnsi="EB Garamond"/>
          <w:sz w:val="22"/>
        </w:rPr>
        <w:t xml:space="preserve">Passionate GenAI Engineer with 4+ years of experience in developing AI/ML and GenAI-powered solutions, specializing in health tech and regulatory intelligence. Proven expertise in managing full lifecycle of AI projects from planning to deployment. Granted patent holder, published author, and PharmaSUG presenter. Excellent communication and collaboration skills demonstrated through presentations and publications. Actively exploring the intersection of AI and life sciences through academic and industry-led innovation, with a strong focus on staying up-to-date with the latest advancements in AI and GenAI technologies. </w:t>
      </w:r>
    </w:p>
    <w:p>
      <w:pPr>
        <w:autoSpaceDN w:val="0"/>
        <w:autoSpaceDE w:val="0"/>
        <w:widowControl/>
        <w:spacing w:line="218" w:lineRule="auto" w:before="208" w:after="20"/>
        <w:ind w:left="28" w:right="0" w:firstLine="0"/>
        <w:jc w:val="left"/>
      </w:pPr>
      <w:r>
        <w:rPr>
          <w:rFonts w:ascii="EB Garamond" w:hAnsi="EB Garamond" w:eastAsia="EB Garamond"/>
          <w:b/>
          <w:i w:val="0"/>
          <w:color w:val="000000"/>
          <w:sz w:val="24"/>
        </w:rPr>
        <w:t>PROFESSIONAL</w:t>
      </w:r>
      <w:r>
        <w:rPr>
          <w:rFonts w:ascii="EB Garamond" w:hAnsi="EB Garamond" w:eastAsia="EB Garamond"/>
          <w:b/>
          <w:i w:val="0"/>
          <w:color w:val="000000"/>
          <w:sz w:val="24"/>
        </w:rPr>
        <w:t>EXPERIENCE</w:t>
      </w:r>
    </w:p>
    <w:tbl>
      <w:tblPr>
        <w:tblW w:type="auto" w:w="0"/>
        <w:tblLayout w:type="fixed"/>
        <w:tblLook w:firstColumn="1" w:firstRow="1" w:lastColumn="0" w:lastRow="0" w:noHBand="0" w:noVBand="1" w:val="04A0"/>
        <w:tblInd w:w="0.0" w:type="dxa"/>
      </w:tblPr>
      <w:tblGrid>
        <w:gridCol w:w="2651"/>
        <w:gridCol w:w="2651"/>
        <w:gridCol w:w="2651"/>
        <w:gridCol w:w="2651"/>
      </w:tblGrid>
      <w:tr>
        <w:trPr>
          <w:trHeight w:hRule="exact" w:val="424"/>
        </w:trPr>
        <w:tc>
          <w:tcPr>
            <w:tcW w:type="dxa" w:w="5764"/>
            <w:gridSpan w:val="3"/>
            <w:tcBorders>
              <w:top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auto" w:before="130" w:after="0"/>
              <w:ind w:left="28" w:right="0" w:firstLine="0"/>
              <w:jc w:val="left"/>
            </w:pPr>
            <w:r>
              <w:rPr>
                <w:rFonts w:ascii="EB Garamond" w:hAnsi="EB Garamond" w:eastAsia="EB Garamond"/>
                <w:b/>
                <w:i w:val="0"/>
                <w:color w:val="000000"/>
                <w:sz w:val="22"/>
              </w:rPr>
              <w:t>T</w:t>
            </w:r>
            <w:r>
              <w:rPr>
                <w:rFonts w:ascii="EB Garamond" w:hAnsi="EB Garamond" w:eastAsia="EB Garamond"/>
                <w:b/>
                <w:i w:val="0"/>
                <w:color w:val="000000"/>
                <w:sz w:val="18"/>
              </w:rPr>
              <w:t xml:space="preserve">ATA </w:t>
            </w:r>
            <w:r>
              <w:rPr>
                <w:rFonts w:ascii="EB Garamond" w:hAnsi="EB Garamond" w:eastAsia="EB Garamond"/>
                <w:b/>
                <w:i w:val="0"/>
                <w:color w:val="000000"/>
                <w:sz w:val="22"/>
              </w:rPr>
              <w:t>C</w:t>
            </w:r>
            <w:r>
              <w:rPr>
                <w:rFonts w:ascii="EB Garamond" w:hAnsi="EB Garamond" w:eastAsia="EB Garamond"/>
                <w:b/>
                <w:i w:val="0"/>
                <w:color w:val="000000"/>
                <w:sz w:val="18"/>
              </w:rPr>
              <w:t xml:space="preserve">ONSULTANCY </w:t>
            </w:r>
            <w:r>
              <w:rPr>
                <w:rFonts w:ascii="EB Garamond" w:hAnsi="EB Garamond" w:eastAsia="EB Garamond"/>
                <w:b/>
                <w:i w:val="0"/>
                <w:color w:val="000000"/>
                <w:sz w:val="22"/>
              </w:rPr>
              <w:t>S</w:t>
            </w:r>
            <w:r>
              <w:rPr>
                <w:rFonts w:ascii="EB Garamond" w:hAnsi="EB Garamond" w:eastAsia="EB Garamond"/>
                <w:b/>
                <w:i w:val="0"/>
                <w:color w:val="000000"/>
                <w:sz w:val="18"/>
              </w:rPr>
              <w:t>ERVICES</w:t>
            </w:r>
          </w:p>
        </w:tc>
        <w:tc>
          <w:tcPr>
            <w:tcW w:type="dxa" w:w="4806"/>
            <w:tcBorders>
              <w:top w:sz="5.599999999999909" w:val="single" w:color="#000000"/>
            </w:tcBorders>
            <w:tcMar>
              <w:start w:w="0" w:type="dxa"/>
              <w:end w:w="0" w:type="dxa"/>
            </w:tcMar>
          </w:tcPr>
          <w:p>
            <w:pPr>
              <w:autoSpaceDN w:val="0"/>
              <w:autoSpaceDE w:val="0"/>
              <w:widowControl/>
              <w:spacing w:line="218" w:lineRule="auto" w:before="130" w:after="0"/>
              <w:ind w:left="0" w:right="0" w:firstLine="0"/>
              <w:jc w:val="right"/>
            </w:pPr>
            <w:r>
              <w:rPr>
                <w:rFonts w:ascii="EB Garamond" w:hAnsi="EB Garamond" w:eastAsia="EB Garamond"/>
                <w:b/>
                <w:i w:val="0"/>
                <w:color w:val="000000"/>
                <w:sz w:val="22"/>
              </w:rPr>
              <w:t xml:space="preserve">Pune, India </w:t>
            </w:r>
          </w:p>
        </w:tc>
      </w:tr>
      <w:tr>
        <w:trPr>
          <w:trHeight w:hRule="exact" w:val="272"/>
        </w:trPr>
        <w:tc>
          <w:tcPr>
            <w:tcW w:type="dxa" w:w="5764"/>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388" w:right="0" w:firstLine="0"/>
              <w:jc w:val="left"/>
            </w:pPr>
            <w:r>
              <w:rPr>
                <w:rFonts w:ascii="EB Garamond" w:hAnsi="EB Garamond" w:eastAsia="EB Garamond"/>
                <w:b/>
                <w:i w:val="0"/>
                <w:color w:val="000000"/>
                <w:sz w:val="22"/>
              </w:rPr>
              <w:t xml:space="preserve">I.T. Analyst </w:t>
            </w:r>
          </w:p>
        </w:tc>
        <w:tc>
          <w:tcPr>
            <w:tcW w:type="dxa" w:w="4806"/>
            <w:tcBorders/>
            <w:tcMar>
              <w:start w:w="0" w:type="dxa"/>
              <w:end w:w="0" w:type="dxa"/>
            </w:tcMar>
          </w:tcPr>
          <w:p>
            <w:pPr>
              <w:autoSpaceDN w:val="0"/>
              <w:autoSpaceDE w:val="0"/>
              <w:widowControl/>
              <w:spacing w:line="218" w:lineRule="auto" w:before="0" w:after="0"/>
              <w:ind w:left="0" w:right="0" w:firstLine="0"/>
              <w:jc w:val="right"/>
            </w:pPr>
            <w:r>
              <w:rPr>
                <w:rFonts w:ascii="EB Garamond" w:hAnsi="EB Garamond" w:eastAsia="EB Garamond"/>
                <w:b/>
                <w:i w:val="0"/>
                <w:color w:val="000000"/>
                <w:sz w:val="22"/>
              </w:rPr>
              <w:t xml:space="preserve">Jan 2024 – Present </w:t>
            </w:r>
          </w:p>
        </w:tc>
      </w:tr>
      <w:tr>
        <w:trPr>
          <w:trHeight w:hRule="exact" w:val="302"/>
        </w:trPr>
        <w:tc>
          <w:tcPr>
            <w:tcW w:type="dxa" w:w="844"/>
            <w:tcBorders/>
            <w:tcMar>
              <w:start w:w="0" w:type="dxa"/>
              <w:end w:w="0" w:type="dxa"/>
            </w:tcMar>
          </w:tcPr>
          <w:p>
            <w:pPr>
              <w:autoSpaceDN w:val="0"/>
              <w:autoSpaceDE w:val="0"/>
              <w:widowControl/>
              <w:spacing w:line="240" w:lineRule="auto" w:before="36"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14" w:after="0"/>
              <w:ind w:left="264" w:right="0" w:firstLine="0"/>
              <w:jc w:val="left"/>
            </w:pPr>
            <w:r>
              <w:rPr>
                <w:rFonts w:ascii="EB Garamond" w:hAnsi="EB Garamond" w:eastAsia="EB Garamond"/>
                <w:b w:val="0"/>
                <w:i w:val="0"/>
                <w:color w:val="000000"/>
                <w:sz w:val="22"/>
              </w:rPr>
              <w:t xml:space="preserve">Led the development of a GenAI-based medical assistant using Azure OpenAI which improved monitoring </w:t>
            </w:r>
          </w:p>
        </w:tc>
      </w:tr>
      <w:tr>
        <w:trPr>
          <w:trHeight w:hRule="exact" w:val="288"/>
        </w:trPr>
        <w:tc>
          <w:tcPr>
            <w:tcW w:type="dxa" w:w="10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1108" w:right="0" w:firstLine="0"/>
              <w:jc w:val="left"/>
            </w:pPr>
            <w:r>
              <w:rPr>
                <w:rFonts w:ascii="EB Garamond" w:hAnsi="EB Garamond" w:eastAsia="EB Garamond"/>
                <w:b w:val="0"/>
                <w:i w:val="0"/>
                <w:color w:val="000000"/>
                <w:sz w:val="22"/>
              </w:rPr>
              <w:t xml:space="preserve">process efficiency. </w:t>
            </w:r>
          </w:p>
        </w:tc>
      </w:tr>
      <w:tr>
        <w:trPr>
          <w:trHeight w:hRule="exact" w:val="270"/>
        </w:trPr>
        <w:tc>
          <w:tcPr>
            <w:tcW w:type="dxa" w:w="844"/>
            <w:tcBorders/>
            <w:tcMar>
              <w:start w:w="0" w:type="dxa"/>
              <w:end w:w="0" w:type="dxa"/>
            </w:tcMar>
          </w:tcPr>
          <w:p>
            <w:pPr>
              <w:autoSpaceDN w:val="0"/>
              <w:autoSpaceDE w:val="0"/>
              <w:widowControl/>
              <w:spacing w:line="240" w:lineRule="auto" w:before="22"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Directed a team of 4 in building modular LLM Applications using RAG- for literature management system. </w:t>
            </w:r>
          </w:p>
        </w:tc>
      </w:tr>
      <w:tr>
        <w:trPr>
          <w:trHeight w:hRule="exact" w:val="304"/>
        </w:trPr>
        <w:tc>
          <w:tcPr>
            <w:tcW w:type="dxa" w:w="844"/>
            <w:tcBorders/>
            <w:tcMar>
              <w:start w:w="0" w:type="dxa"/>
              <w:end w:w="0" w:type="dxa"/>
            </w:tcMar>
          </w:tcPr>
          <w:p>
            <w:pPr>
              <w:autoSpaceDN w:val="0"/>
              <w:autoSpaceDE w:val="0"/>
              <w:widowControl/>
              <w:spacing w:line="240" w:lineRule="auto" w:before="38"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16" w:after="0"/>
              <w:ind w:left="264" w:right="0" w:firstLine="0"/>
              <w:jc w:val="left"/>
            </w:pPr>
            <w:r>
              <w:rPr>
                <w:rFonts w:ascii="EB Garamond" w:hAnsi="EB Garamond" w:eastAsia="EB Garamond"/>
                <w:b w:val="0"/>
                <w:i w:val="0"/>
                <w:color w:val="000000"/>
                <w:sz w:val="22"/>
              </w:rPr>
              <w:t xml:space="preserve">Acted as the primary point of contact for stakeholders during the pilot phase, streamlining solution rollouts. </w:t>
            </w:r>
          </w:p>
        </w:tc>
      </w:tr>
      <w:tr>
        <w:trPr>
          <w:trHeight w:hRule="exact" w:val="288"/>
        </w:trPr>
        <w:tc>
          <w:tcPr>
            <w:tcW w:type="dxa" w:w="844"/>
            <w:tcBorders/>
            <w:tcMar>
              <w:start w:w="0" w:type="dxa"/>
              <w:end w:w="0" w:type="dxa"/>
            </w:tcMar>
          </w:tcPr>
          <w:p>
            <w:pPr>
              <w:autoSpaceDN w:val="0"/>
              <w:autoSpaceDE w:val="0"/>
              <w:widowControl/>
              <w:spacing w:line="240" w:lineRule="auto" w:before="22"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Conducted cross-team brainstorming sessions and stakeholder interviews to define business use cases in </w:t>
            </w:r>
          </w:p>
        </w:tc>
      </w:tr>
      <w:tr>
        <w:trPr>
          <w:trHeight w:hRule="exact" w:val="268"/>
        </w:trPr>
        <w:tc>
          <w:tcPr>
            <w:tcW w:type="dxa" w:w="10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1108" w:right="0" w:firstLine="0"/>
              <w:jc w:val="left"/>
            </w:pPr>
            <w:r>
              <w:rPr>
                <w:rFonts w:ascii="EB Garamond" w:hAnsi="EB Garamond" w:eastAsia="EB Garamond"/>
                <w:b w:val="0"/>
                <w:i w:val="0"/>
                <w:color w:val="000000"/>
                <w:sz w:val="22"/>
              </w:rPr>
              <w:t xml:space="preserve">HealthTech. </w:t>
            </w:r>
          </w:p>
        </w:tc>
      </w:tr>
      <w:tr>
        <w:trPr>
          <w:trHeight w:hRule="exact" w:val="306"/>
        </w:trPr>
        <w:tc>
          <w:tcPr>
            <w:tcW w:type="dxa" w:w="5764"/>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18" w:after="0"/>
              <w:ind w:left="388" w:right="0" w:firstLine="0"/>
              <w:jc w:val="left"/>
            </w:pPr>
            <w:r>
              <w:rPr>
                <w:rFonts w:ascii="EB Garamond" w:hAnsi="EB Garamond" w:eastAsia="EB Garamond"/>
                <w:b/>
                <w:i w:val="0"/>
                <w:color w:val="000000"/>
                <w:sz w:val="22"/>
              </w:rPr>
              <w:t xml:space="preserve">System Engineer </w:t>
            </w:r>
          </w:p>
        </w:tc>
        <w:tc>
          <w:tcPr>
            <w:tcW w:type="dxa" w:w="4806"/>
            <w:tcBorders/>
            <w:tcMar>
              <w:start w:w="0" w:type="dxa"/>
              <w:end w:w="0" w:type="dxa"/>
            </w:tcMar>
          </w:tcPr>
          <w:p>
            <w:pPr>
              <w:autoSpaceDN w:val="0"/>
              <w:autoSpaceDE w:val="0"/>
              <w:widowControl/>
              <w:spacing w:line="218" w:lineRule="auto" w:before="18" w:after="0"/>
              <w:ind w:left="0" w:right="0" w:firstLine="0"/>
              <w:jc w:val="right"/>
            </w:pPr>
            <w:r>
              <w:rPr>
                <w:rFonts w:ascii="EB Garamond" w:hAnsi="EB Garamond" w:eastAsia="EB Garamond"/>
                <w:b/>
                <w:i w:val="0"/>
                <w:color w:val="000000"/>
                <w:sz w:val="22"/>
              </w:rPr>
              <w:t xml:space="preserve">Jul 2021 – Dec 2023 </w:t>
            </w:r>
          </w:p>
        </w:tc>
      </w:tr>
      <w:tr>
        <w:trPr>
          <w:trHeight w:hRule="exact" w:val="274"/>
        </w:trPr>
        <w:tc>
          <w:tcPr>
            <w:tcW w:type="dxa" w:w="844"/>
            <w:tcBorders/>
            <w:tcMar>
              <w:start w:w="0" w:type="dxa"/>
              <w:end w:w="0" w:type="dxa"/>
            </w:tcMar>
          </w:tcPr>
          <w:p>
            <w:pPr>
              <w:autoSpaceDN w:val="0"/>
              <w:autoSpaceDE w:val="0"/>
              <w:widowControl/>
              <w:spacing w:line="240" w:lineRule="auto" w:before="22"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Developed the Regulatory Intelligence Chatbot project using RASA and custom NLP, reducing query response </w:t>
            </w:r>
          </w:p>
        </w:tc>
      </w:tr>
      <w:tr>
        <w:trPr>
          <w:trHeight w:hRule="exact" w:val="300"/>
        </w:trPr>
        <w:tc>
          <w:tcPr>
            <w:tcW w:type="dxa" w:w="10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2" w:after="0"/>
              <w:ind w:left="1108" w:right="0" w:firstLine="0"/>
              <w:jc w:val="left"/>
            </w:pPr>
            <w:r>
              <w:rPr>
                <w:rFonts w:ascii="EB Garamond" w:hAnsi="EB Garamond" w:eastAsia="EB Garamond"/>
                <w:b w:val="0"/>
                <w:i w:val="0"/>
                <w:color w:val="000000"/>
                <w:sz w:val="22"/>
              </w:rPr>
              <w:t xml:space="preserve">time for regulatory professionals </w:t>
            </w:r>
          </w:p>
        </w:tc>
      </w:tr>
      <w:tr>
        <w:trPr>
          <w:trHeight w:hRule="exact" w:val="288"/>
        </w:trPr>
        <w:tc>
          <w:tcPr>
            <w:tcW w:type="dxa" w:w="844"/>
            <w:tcBorders/>
            <w:tcMar>
              <w:start w:w="0" w:type="dxa"/>
              <w:end w:w="0" w:type="dxa"/>
            </w:tcMar>
          </w:tcPr>
          <w:p>
            <w:pPr>
              <w:autoSpaceDN w:val="0"/>
              <w:autoSpaceDE w:val="0"/>
              <w:widowControl/>
              <w:spacing w:line="238" w:lineRule="auto" w:before="22"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Collaborated with SMEs and business leads to design AI-driven healthcare pilots. </w:t>
            </w:r>
          </w:p>
        </w:tc>
      </w:tr>
      <w:tr>
        <w:trPr>
          <w:trHeight w:hRule="exact" w:val="272"/>
        </w:trPr>
        <w:tc>
          <w:tcPr>
            <w:tcW w:type="dxa" w:w="844"/>
            <w:tcBorders/>
            <w:tcMar>
              <w:start w:w="0" w:type="dxa"/>
              <w:end w:w="0" w:type="dxa"/>
            </w:tcMar>
          </w:tcPr>
          <w:p>
            <w:pPr>
              <w:autoSpaceDN w:val="0"/>
              <w:autoSpaceDE w:val="0"/>
              <w:widowControl/>
              <w:spacing w:line="238" w:lineRule="auto" w:before="22"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Served as Innovation Lead during the Incubation Bootcamp, resulting in the award-winning product idea </w:t>
            </w:r>
          </w:p>
        </w:tc>
      </w:tr>
      <w:tr>
        <w:trPr>
          <w:trHeight w:hRule="exact" w:val="302"/>
        </w:trPr>
        <w:tc>
          <w:tcPr>
            <w:tcW w:type="dxa" w:w="844"/>
            <w:tcBorders/>
            <w:tcMar>
              <w:start w:w="0" w:type="dxa"/>
              <w:end w:w="0" w:type="dxa"/>
            </w:tcMar>
          </w:tcPr>
          <w:p>
            <w:pPr>
              <w:autoSpaceDN w:val="0"/>
              <w:autoSpaceDE w:val="0"/>
              <w:widowControl/>
              <w:spacing w:line="238" w:lineRule="auto" w:before="36"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14" w:after="0"/>
              <w:ind w:left="264" w:right="0" w:firstLine="0"/>
              <w:jc w:val="left"/>
            </w:pPr>
            <w:r>
              <w:rPr>
                <w:rFonts w:ascii="EB Garamond" w:hAnsi="EB Garamond" w:eastAsia="EB Garamond"/>
                <w:b w:val="0"/>
                <w:i w:val="0"/>
                <w:color w:val="000000"/>
                <w:sz w:val="22"/>
              </w:rPr>
              <w:t xml:space="preserve">Mentored three junior interns in Python, NLP, and AI ML fundamentals and developing POC solutions. </w:t>
            </w:r>
          </w:p>
        </w:tc>
      </w:tr>
      <w:tr>
        <w:trPr>
          <w:trHeight w:hRule="exact" w:val="288"/>
        </w:trPr>
        <w:tc>
          <w:tcPr>
            <w:tcW w:type="dxa" w:w="844"/>
            <w:tcBorders/>
            <w:tcMar>
              <w:start w:w="0" w:type="dxa"/>
              <w:end w:w="0" w:type="dxa"/>
            </w:tcMar>
          </w:tcPr>
          <w:p>
            <w:pPr>
              <w:autoSpaceDN w:val="0"/>
              <w:autoSpaceDE w:val="0"/>
              <w:widowControl/>
              <w:spacing w:line="238" w:lineRule="auto" w:before="22"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Initiated a knowledge-sharing forum within the R&amp;I team to accelerate GenAI adoption across verticals. </w:t>
            </w:r>
          </w:p>
        </w:tc>
      </w:tr>
      <w:tr>
        <w:trPr>
          <w:trHeight w:hRule="exact" w:val="270"/>
        </w:trPr>
        <w:tc>
          <w:tcPr>
            <w:tcW w:type="dxa" w:w="5764"/>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388" w:right="0" w:firstLine="0"/>
              <w:jc w:val="left"/>
            </w:pPr>
            <w:r>
              <w:rPr>
                <w:rFonts w:ascii="EB Garamond" w:hAnsi="EB Garamond" w:eastAsia="EB Garamond"/>
                <w:b/>
                <w:i w:val="0"/>
                <w:color w:val="000000"/>
                <w:sz w:val="22"/>
              </w:rPr>
              <w:t xml:space="preserve">Assistant System Engineer </w:t>
            </w:r>
          </w:p>
        </w:tc>
        <w:tc>
          <w:tcPr>
            <w:tcW w:type="dxa" w:w="4806"/>
            <w:tcBorders/>
            <w:tcMar>
              <w:start w:w="0" w:type="dxa"/>
              <w:end w:w="0" w:type="dxa"/>
            </w:tcMar>
          </w:tcPr>
          <w:p>
            <w:pPr>
              <w:autoSpaceDN w:val="0"/>
              <w:autoSpaceDE w:val="0"/>
              <w:widowControl/>
              <w:spacing w:line="218" w:lineRule="auto" w:before="0" w:after="0"/>
              <w:ind w:left="0" w:right="0" w:firstLine="0"/>
              <w:jc w:val="right"/>
            </w:pPr>
            <w:r>
              <w:rPr>
                <w:rFonts w:ascii="EB Garamond" w:hAnsi="EB Garamond" w:eastAsia="EB Garamond"/>
                <w:b/>
                <w:i w:val="0"/>
                <w:color w:val="000000"/>
                <w:sz w:val="22"/>
              </w:rPr>
              <w:t xml:space="preserve">Sep 2020 – Jun 2021 </w:t>
            </w:r>
          </w:p>
        </w:tc>
      </w:tr>
      <w:tr>
        <w:trPr>
          <w:trHeight w:hRule="exact" w:val="302"/>
        </w:trPr>
        <w:tc>
          <w:tcPr>
            <w:tcW w:type="dxa" w:w="844"/>
            <w:tcBorders/>
            <w:tcMar>
              <w:start w:w="0" w:type="dxa"/>
              <w:end w:w="0" w:type="dxa"/>
            </w:tcMar>
          </w:tcPr>
          <w:p>
            <w:pPr>
              <w:autoSpaceDN w:val="0"/>
              <w:autoSpaceDE w:val="0"/>
              <w:widowControl/>
              <w:spacing w:line="240" w:lineRule="auto" w:before="36"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14" w:after="0"/>
              <w:ind w:left="264" w:right="0" w:firstLine="0"/>
              <w:jc w:val="left"/>
            </w:pPr>
            <w:r>
              <w:rPr>
                <w:rFonts w:ascii="EB Garamond" w:hAnsi="EB Garamond" w:eastAsia="EB Garamond"/>
                <w:b w:val="0"/>
                <w:i w:val="0"/>
                <w:color w:val="000000"/>
                <w:sz w:val="22"/>
              </w:rPr>
              <w:t xml:space="preserve">Contributed to data analysis and dashboard creation using Python for EHR Analytics. </w:t>
            </w:r>
          </w:p>
        </w:tc>
      </w:tr>
      <w:tr>
        <w:trPr>
          <w:trHeight w:hRule="exact" w:val="278"/>
        </w:trPr>
        <w:tc>
          <w:tcPr>
            <w:tcW w:type="dxa" w:w="844"/>
            <w:tcBorders/>
            <w:tcMar>
              <w:start w:w="0" w:type="dxa"/>
              <w:end w:w="0" w:type="dxa"/>
            </w:tcMar>
          </w:tcPr>
          <w:p>
            <w:pPr>
              <w:autoSpaceDN w:val="0"/>
              <w:autoSpaceDE w:val="0"/>
              <w:widowControl/>
              <w:spacing w:line="240" w:lineRule="auto" w:before="22"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Supported early experiments with NLP for medical writing applications. </w:t>
            </w:r>
          </w:p>
        </w:tc>
      </w:tr>
      <w:tr>
        <w:trPr>
          <w:trHeight w:hRule="exact" w:val="400"/>
        </w:trPr>
        <w:tc>
          <w:tcPr>
            <w:tcW w:type="dxa" w:w="844"/>
            <w:tcBorders/>
            <w:tcMar>
              <w:start w:w="0" w:type="dxa"/>
              <w:end w:w="0" w:type="dxa"/>
            </w:tcMar>
          </w:tcPr>
          <w:p>
            <w:pPr>
              <w:autoSpaceDN w:val="0"/>
              <w:autoSpaceDE w:val="0"/>
              <w:widowControl/>
              <w:spacing w:line="238" w:lineRule="auto" w:before="34" w:after="0"/>
              <w:ind w:left="0" w:right="4" w:firstLine="0"/>
              <w:jc w:val="right"/>
            </w:pPr>
            <w:r>
              <w:rPr>
                <w:rFonts w:ascii="Symbol" w:hAnsi="Symbol" w:eastAsia="Symbol"/>
                <w:b w:val="0"/>
                <w:i w:val="0"/>
                <w:color w:val="000000"/>
                <w:sz w:val="20"/>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12" w:after="0"/>
              <w:ind w:left="264" w:right="0" w:firstLine="0"/>
              <w:jc w:val="left"/>
            </w:pPr>
            <w:r>
              <w:rPr>
                <w:rFonts w:ascii="EB Garamond" w:hAnsi="EB Garamond" w:eastAsia="EB Garamond"/>
                <w:b w:val="0"/>
                <w:i w:val="0"/>
                <w:color w:val="000000"/>
                <w:sz w:val="22"/>
              </w:rPr>
              <w:t xml:space="preserve">Worked as an individual contributor in POC development to streamline EHR data to EDC </w:t>
            </w:r>
          </w:p>
        </w:tc>
      </w:tr>
      <w:tr>
        <w:trPr>
          <w:trHeight w:hRule="exact" w:val="424"/>
        </w:trPr>
        <w:tc>
          <w:tcPr>
            <w:tcW w:type="dxa" w:w="10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36" w:after="0"/>
              <w:ind w:left="28" w:right="0" w:firstLine="0"/>
              <w:jc w:val="left"/>
            </w:pPr>
            <w:r>
              <w:rPr>
                <w:rFonts w:ascii="EB Garamond" w:hAnsi="EB Garamond" w:eastAsia="EB Garamond"/>
                <w:b/>
                <w:i w:val="0"/>
                <w:color w:val="000000"/>
                <w:sz w:val="22"/>
              </w:rPr>
              <w:t xml:space="preserve">Projects </w:t>
            </w:r>
          </w:p>
        </w:tc>
      </w:tr>
      <w:tr>
        <w:trPr>
          <w:trHeight w:hRule="exact" w:val="276"/>
        </w:trPr>
        <w:tc>
          <w:tcPr>
            <w:tcW w:type="dxa" w:w="844"/>
            <w:tcBorders/>
            <w:tcMar>
              <w:start w:w="0" w:type="dxa"/>
              <w:end w:w="0" w:type="dxa"/>
            </w:tcMar>
          </w:tcPr>
          <w:p>
            <w:pPr>
              <w:autoSpaceDN w:val="0"/>
              <w:autoSpaceDE w:val="0"/>
              <w:widowControl/>
              <w:spacing w:line="238" w:lineRule="auto" w:before="2" w:after="0"/>
              <w:ind w:left="0" w:right="0" w:firstLine="0"/>
              <w:jc w:val="right"/>
            </w:pPr>
            <w:r>
              <w:rPr>
                <w:rFonts w:ascii="Symbol" w:hAnsi="Symbol" w:eastAsia="Symbol"/>
                <w:b w:val="0"/>
                <w:i w:val="0"/>
                <w:color w:val="000000"/>
                <w:sz w:val="22"/>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264" w:right="0" w:firstLine="0"/>
              <w:jc w:val="left"/>
            </w:pPr>
            <w:r>
              <w:rPr>
                <w:rFonts w:ascii="EB Garamond" w:hAnsi="EB Garamond" w:eastAsia="EB Garamond"/>
                <w:b w:val="0"/>
                <w:i w:val="0"/>
                <w:color w:val="000000"/>
                <w:sz w:val="22"/>
              </w:rPr>
              <w:t xml:space="preserve">GenAI Based medical monitoring assistant: </w:t>
            </w:r>
          </w:p>
        </w:tc>
      </w:tr>
      <w:tr>
        <w:trPr>
          <w:trHeight w:hRule="exact" w:val="298"/>
        </w:trPr>
        <w:tc>
          <w:tcPr>
            <w:tcW w:type="dxa" w:w="1324"/>
            <w:gridSpan w:val="2"/>
            <w:tcBorders/>
            <w:tcMar>
              <w:start w:w="0" w:type="dxa"/>
              <w:end w:w="0" w:type="dxa"/>
            </w:tcMar>
            <w:tcMar>
              <w:start w:w="0" w:type="dxa"/>
              <w:end w:w="0" w:type="dxa"/>
            </w:tcMar>
          </w:tcPr>
          <w:p>
            <w:pPr>
              <w:autoSpaceDN w:val="0"/>
              <w:autoSpaceDE w:val="0"/>
              <w:widowControl/>
              <w:spacing w:line="240" w:lineRule="auto" w:before="34" w:after="0"/>
              <w:ind w:left="0" w:right="114" w:firstLine="0"/>
              <w:jc w:val="right"/>
            </w:pPr>
            <w:r>
              <w:rPr>
                <w:rFonts w:ascii="Wingdings" w:hAnsi="Wingdings" w:eastAsia="Wingdings"/>
                <w:b w:val="0"/>
                <w:i w:val="0"/>
                <w:color w:val="000000"/>
                <w:sz w:val="22"/>
              </w:rPr>
              <w:t>▪</w:t>
            </w:r>
          </w:p>
        </w:tc>
        <w:tc>
          <w:tcPr>
            <w:tcW w:type="dxa" w:w="9246"/>
            <w:gridSpan w:val="2"/>
            <w:tcBorders/>
            <w:tcMar>
              <w:start w:w="0" w:type="dxa"/>
              <w:end w:w="0" w:type="dxa"/>
            </w:tcMar>
            <w:tcMar>
              <w:start w:w="0" w:type="dxa"/>
              <w:end w:w="0" w:type="dxa"/>
            </w:tcMar>
          </w:tcPr>
          <w:p>
            <w:pPr>
              <w:autoSpaceDN w:val="0"/>
              <w:autoSpaceDE w:val="0"/>
              <w:widowControl/>
              <w:spacing w:line="218" w:lineRule="auto" w:before="10" w:after="0"/>
              <w:ind w:left="144" w:right="0" w:firstLine="0"/>
              <w:jc w:val="left"/>
            </w:pPr>
            <w:r>
              <w:rPr>
                <w:rFonts w:ascii="EB Garamond" w:hAnsi="EB Garamond" w:eastAsia="EB Garamond"/>
                <w:b w:val="0"/>
                <w:i w:val="0"/>
                <w:color w:val="000000"/>
                <w:sz w:val="22"/>
              </w:rPr>
              <w:t xml:space="preserve">Developed an intelligent assistant using Azure OpenAI to support real time medical monitoring and </w:t>
            </w:r>
          </w:p>
        </w:tc>
      </w:tr>
      <w:tr>
        <w:trPr>
          <w:trHeight w:hRule="exact" w:val="288"/>
        </w:trPr>
        <w:tc>
          <w:tcPr>
            <w:tcW w:type="dxa" w:w="10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1468" w:right="0" w:firstLine="0"/>
              <w:jc w:val="left"/>
            </w:pPr>
            <w:r>
              <w:rPr>
                <w:rFonts w:ascii="EB Garamond" w:hAnsi="EB Garamond" w:eastAsia="EB Garamond"/>
                <w:b w:val="0"/>
                <w:i w:val="0"/>
                <w:color w:val="000000"/>
                <w:sz w:val="22"/>
              </w:rPr>
              <w:t xml:space="preserve">decision making in clinical trials. </w:t>
            </w:r>
          </w:p>
        </w:tc>
      </w:tr>
      <w:tr>
        <w:trPr>
          <w:trHeight w:hRule="exact" w:val="274"/>
        </w:trPr>
        <w:tc>
          <w:tcPr>
            <w:tcW w:type="dxa" w:w="1324"/>
            <w:gridSpan w:val="2"/>
            <w:tcBorders/>
            <w:tcMar>
              <w:start w:w="0" w:type="dxa"/>
              <w:end w:w="0" w:type="dxa"/>
            </w:tcMar>
            <w:tcMar>
              <w:start w:w="0" w:type="dxa"/>
              <w:end w:w="0" w:type="dxa"/>
            </w:tcMar>
          </w:tcPr>
          <w:p>
            <w:pPr>
              <w:autoSpaceDN w:val="0"/>
              <w:autoSpaceDE w:val="0"/>
              <w:widowControl/>
              <w:spacing w:line="240" w:lineRule="auto" w:before="24" w:after="0"/>
              <w:ind w:left="0" w:right="114" w:firstLine="0"/>
              <w:jc w:val="right"/>
            </w:pPr>
            <w:r>
              <w:rPr>
                <w:rFonts w:ascii="Wingdings" w:hAnsi="Wingdings" w:eastAsia="Wingdings"/>
                <w:b w:val="0"/>
                <w:i w:val="0"/>
                <w:color w:val="000000"/>
                <w:sz w:val="22"/>
              </w:rPr>
              <w:t>▪</w:t>
            </w:r>
          </w:p>
        </w:tc>
        <w:tc>
          <w:tcPr>
            <w:tcW w:type="dxa" w:w="9246"/>
            <w:gridSpan w:val="2"/>
            <w:tcBorders/>
            <w:tcMar>
              <w:start w:w="0" w:type="dxa"/>
              <w:end w:w="0" w:type="dxa"/>
            </w:tcMar>
            <w:tcMar>
              <w:start w:w="0" w:type="dxa"/>
              <w:end w:w="0" w:type="dxa"/>
            </w:tcMar>
          </w:tcPr>
          <w:p>
            <w:pPr>
              <w:autoSpaceDN w:val="0"/>
              <w:autoSpaceDE w:val="0"/>
              <w:widowControl/>
              <w:spacing w:line="218" w:lineRule="auto" w:before="0" w:after="0"/>
              <w:ind w:left="144" w:right="0" w:firstLine="0"/>
              <w:jc w:val="left"/>
            </w:pPr>
            <w:r>
              <w:rPr>
                <w:rFonts w:ascii="EB Garamond" w:hAnsi="EB Garamond" w:eastAsia="EB Garamond"/>
                <w:b w:val="0"/>
                <w:i w:val="0"/>
                <w:color w:val="000000"/>
                <w:sz w:val="22"/>
              </w:rPr>
              <w:t xml:space="preserve">API driven architecture to support medical monitoring queries and provide actionable insights </w:t>
            </w:r>
          </w:p>
        </w:tc>
      </w:tr>
      <w:tr>
        <w:trPr>
          <w:trHeight w:hRule="exact" w:val="300"/>
        </w:trPr>
        <w:tc>
          <w:tcPr>
            <w:tcW w:type="dxa" w:w="844"/>
            <w:tcBorders/>
            <w:tcMar>
              <w:start w:w="0" w:type="dxa"/>
              <w:end w:w="0" w:type="dxa"/>
            </w:tcMar>
          </w:tcPr>
          <w:p>
            <w:pPr>
              <w:autoSpaceDN w:val="0"/>
              <w:autoSpaceDE w:val="0"/>
              <w:widowControl/>
              <w:spacing w:line="240" w:lineRule="auto" w:before="12" w:after="0"/>
              <w:ind w:left="0" w:right="0" w:firstLine="0"/>
              <w:jc w:val="right"/>
            </w:pPr>
            <w:r>
              <w:rPr>
                <w:rFonts w:ascii="Symbol" w:hAnsi="Symbol" w:eastAsia="Symbol"/>
                <w:b w:val="0"/>
                <w:i w:val="0"/>
                <w:color w:val="000000"/>
                <w:sz w:val="22"/>
              </w:rPr>
              <w:t>•</w:t>
            </w:r>
          </w:p>
        </w:tc>
        <w:tc>
          <w:tcPr>
            <w:tcW w:type="dxa" w:w="9726"/>
            <w:gridSpan w:val="3"/>
            <w:tcBorders/>
            <w:tcMar>
              <w:start w:w="0" w:type="dxa"/>
              <w:end w:w="0" w:type="dxa"/>
            </w:tcMar>
            <w:tcMar>
              <w:start w:w="0" w:type="dxa"/>
              <w:end w:w="0" w:type="dxa"/>
            </w:tcMar>
            <w:tcMar>
              <w:start w:w="0" w:type="dxa"/>
              <w:end w:w="0" w:type="dxa"/>
            </w:tcMar>
          </w:tcPr>
          <w:p>
            <w:pPr>
              <w:autoSpaceDN w:val="0"/>
              <w:autoSpaceDE w:val="0"/>
              <w:widowControl/>
              <w:spacing w:line="218" w:lineRule="auto" w:before="12" w:after="0"/>
              <w:ind w:left="264" w:right="0" w:firstLine="0"/>
              <w:jc w:val="left"/>
            </w:pPr>
            <w:r>
              <w:rPr>
                <w:rFonts w:ascii="EB Garamond" w:hAnsi="EB Garamond" w:eastAsia="EB Garamond"/>
                <w:b w:val="0"/>
                <w:i w:val="0"/>
                <w:color w:val="000000"/>
                <w:sz w:val="22"/>
              </w:rPr>
              <w:t xml:space="preserve">Literature insights Platform: </w:t>
            </w:r>
          </w:p>
        </w:tc>
      </w:tr>
      <w:tr>
        <w:trPr>
          <w:trHeight w:hRule="exact" w:val="280"/>
        </w:trPr>
        <w:tc>
          <w:tcPr>
            <w:tcW w:type="dxa" w:w="1324"/>
            <w:gridSpan w:val="2"/>
            <w:tcBorders/>
            <w:tcMar>
              <w:start w:w="0" w:type="dxa"/>
              <w:end w:w="0" w:type="dxa"/>
            </w:tcMar>
            <w:tcMar>
              <w:start w:w="0" w:type="dxa"/>
              <w:end w:w="0" w:type="dxa"/>
            </w:tcMar>
          </w:tcPr>
          <w:p>
            <w:pPr>
              <w:autoSpaceDN w:val="0"/>
              <w:autoSpaceDE w:val="0"/>
              <w:widowControl/>
              <w:spacing w:line="240" w:lineRule="auto" w:before="24" w:after="0"/>
              <w:ind w:left="0" w:right="114" w:firstLine="0"/>
              <w:jc w:val="right"/>
            </w:pPr>
            <w:r>
              <w:rPr>
                <w:rFonts w:ascii="Wingdings" w:hAnsi="Wingdings" w:eastAsia="Wingdings"/>
                <w:b w:val="0"/>
                <w:i w:val="0"/>
                <w:color w:val="000000"/>
                <w:sz w:val="22"/>
              </w:rPr>
              <w:t>▪</w:t>
            </w:r>
          </w:p>
        </w:tc>
        <w:tc>
          <w:tcPr>
            <w:tcW w:type="dxa" w:w="9246"/>
            <w:gridSpan w:val="2"/>
            <w:tcBorders/>
            <w:tcMar>
              <w:start w:w="0" w:type="dxa"/>
              <w:end w:w="0" w:type="dxa"/>
            </w:tcMar>
            <w:tcMar>
              <w:start w:w="0" w:type="dxa"/>
              <w:end w:w="0" w:type="dxa"/>
            </w:tcMar>
          </w:tcPr>
          <w:p>
            <w:pPr>
              <w:autoSpaceDN w:val="0"/>
              <w:autoSpaceDE w:val="0"/>
              <w:widowControl/>
              <w:spacing w:line="218" w:lineRule="auto" w:before="0" w:after="0"/>
              <w:ind w:left="0" w:right="0" w:firstLine="0"/>
              <w:jc w:val="center"/>
            </w:pPr>
            <w:r>
              <w:rPr>
                <w:rFonts w:ascii="EB Garamond" w:hAnsi="EB Garamond" w:eastAsia="EB Garamond"/>
                <w:b w:val="0"/>
                <w:i w:val="0"/>
                <w:color w:val="000000"/>
                <w:sz w:val="22"/>
              </w:rPr>
              <w:t xml:space="preserve">Designed literature search and analysis platform to extract key insights from medical literature and support </w:t>
            </w:r>
          </w:p>
        </w:tc>
      </w:tr>
      <w:tr>
        <w:trPr>
          <w:trHeight w:hRule="exact" w:val="294"/>
        </w:trPr>
        <w:tc>
          <w:tcPr>
            <w:tcW w:type="dxa" w:w="10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6" w:after="0"/>
              <w:ind w:left="1468" w:right="0" w:firstLine="0"/>
              <w:jc w:val="left"/>
            </w:pPr>
            <w:r>
              <w:rPr>
                <w:rFonts w:ascii="EB Garamond" w:hAnsi="EB Garamond" w:eastAsia="EB Garamond"/>
                <w:b w:val="0"/>
                <w:i w:val="0"/>
                <w:color w:val="000000"/>
                <w:sz w:val="22"/>
              </w:rPr>
              <w:t xml:space="preserve">ICSR detection </w:t>
            </w:r>
          </w:p>
        </w:tc>
      </w:tr>
      <w:tr>
        <w:trPr>
          <w:trHeight w:hRule="exact" w:val="288"/>
        </w:trPr>
        <w:tc>
          <w:tcPr>
            <w:tcW w:type="dxa" w:w="1324"/>
            <w:gridSpan w:val="2"/>
            <w:tcBorders/>
            <w:tcMar>
              <w:start w:w="0" w:type="dxa"/>
              <w:end w:w="0" w:type="dxa"/>
            </w:tcMar>
            <w:tcMar>
              <w:start w:w="0" w:type="dxa"/>
              <w:end w:w="0" w:type="dxa"/>
            </w:tcMar>
          </w:tcPr>
          <w:p>
            <w:pPr>
              <w:autoSpaceDN w:val="0"/>
              <w:autoSpaceDE w:val="0"/>
              <w:widowControl/>
              <w:spacing w:line="240" w:lineRule="auto" w:before="24" w:after="0"/>
              <w:ind w:left="0" w:right="114" w:firstLine="0"/>
              <w:jc w:val="right"/>
            </w:pPr>
            <w:r>
              <w:rPr>
                <w:rFonts w:ascii="Wingdings" w:hAnsi="Wingdings" w:eastAsia="Wingdings"/>
                <w:b w:val="0"/>
                <w:i w:val="0"/>
                <w:color w:val="000000"/>
                <w:sz w:val="22"/>
              </w:rPr>
              <w:t>▪</w:t>
            </w:r>
          </w:p>
        </w:tc>
        <w:tc>
          <w:tcPr>
            <w:tcW w:type="dxa" w:w="9246"/>
            <w:gridSpan w:val="2"/>
            <w:tcBorders/>
            <w:tcMar>
              <w:start w:w="0" w:type="dxa"/>
              <w:end w:w="0" w:type="dxa"/>
            </w:tcMar>
            <w:tcMar>
              <w:start w:w="0" w:type="dxa"/>
              <w:end w:w="0" w:type="dxa"/>
            </w:tcMar>
          </w:tcPr>
          <w:p>
            <w:pPr>
              <w:autoSpaceDN w:val="0"/>
              <w:autoSpaceDE w:val="0"/>
              <w:widowControl/>
              <w:spacing w:line="218" w:lineRule="auto" w:before="0" w:after="0"/>
              <w:ind w:left="144" w:right="0" w:firstLine="0"/>
              <w:jc w:val="left"/>
            </w:pPr>
            <w:r>
              <w:rPr>
                <w:rFonts w:ascii="EB Garamond" w:hAnsi="EB Garamond" w:eastAsia="EB Garamond"/>
                <w:b w:val="0"/>
                <w:i w:val="0"/>
                <w:color w:val="000000"/>
                <w:sz w:val="22"/>
              </w:rPr>
              <w:t xml:space="preserve">Using customized search, information retrieval and LLM based ICSR detection strategy automatic </w:t>
            </w:r>
          </w:p>
        </w:tc>
      </w:tr>
      <w:tr>
        <w:trPr>
          <w:trHeight w:hRule="exact" w:val="348"/>
        </w:trPr>
        <w:tc>
          <w:tcPr>
            <w:tcW w:type="dxa" w:w="105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0" w:after="0"/>
              <w:ind w:left="1468" w:right="0" w:firstLine="0"/>
              <w:jc w:val="left"/>
            </w:pPr>
            <w:r>
              <w:rPr>
                <w:rFonts w:ascii="EB Garamond" w:hAnsi="EB Garamond" w:eastAsia="EB Garamond"/>
                <w:b w:val="0"/>
                <w:i w:val="0"/>
                <w:color w:val="000000"/>
                <w:sz w:val="22"/>
              </w:rPr>
              <w:t xml:space="preserve">categorization of article into distinct groups. </w:t>
            </w:r>
          </w:p>
        </w:tc>
      </w:tr>
    </w:tbl>
    <w:p>
      <w:pPr>
        <w:autoSpaceDN w:val="0"/>
        <w:autoSpaceDE w:val="0"/>
        <w:widowControl/>
        <w:spacing w:line="218" w:lineRule="auto" w:before="140" w:after="0"/>
        <w:ind w:left="28" w:right="0" w:firstLine="0"/>
        <w:jc w:val="left"/>
      </w:pPr>
      <w:r>
        <w:rPr>
          <w:rFonts w:ascii="EB Garamond" w:hAnsi="EB Garamond" w:eastAsia="EB Garamond"/>
          <w:b/>
          <w:i w:val="0"/>
          <w:color w:val="000000"/>
          <w:sz w:val="24"/>
        </w:rPr>
        <w:t>T</w:t>
      </w:r>
      <w:r>
        <w:rPr>
          <w:rFonts w:ascii="EB Garamond" w:hAnsi="EB Garamond" w:eastAsia="EB Garamond"/>
          <w:b/>
          <w:i w:val="0"/>
          <w:color w:val="000000"/>
          <w:sz w:val="19"/>
        </w:rPr>
        <w:t xml:space="preserve">ECHNICAL </w:t>
      </w:r>
      <w:r>
        <w:rPr>
          <w:rFonts w:ascii="EB Garamond" w:hAnsi="EB Garamond" w:eastAsia="EB Garamond"/>
          <w:b/>
          <w:i w:val="0"/>
          <w:color w:val="000000"/>
          <w:sz w:val="24"/>
        </w:rPr>
        <w:t>S</w:t>
      </w:r>
      <w:r>
        <w:rPr>
          <w:rFonts w:ascii="EB Garamond" w:hAnsi="EB Garamond" w:eastAsia="EB Garamond"/>
          <w:b/>
          <w:i w:val="0"/>
          <w:color w:val="000000"/>
          <w:sz w:val="19"/>
        </w:rPr>
        <w:t>KILLS</w:t>
      </w:r>
    </w:p>
    <w:p>
      <w:pPr>
        <w:autoSpaceDN w:val="0"/>
        <w:autoSpaceDE w:val="0"/>
        <w:widowControl/>
        <w:spacing w:line="218" w:lineRule="auto" w:before="164" w:after="0"/>
        <w:ind w:left="0" w:right="0" w:firstLine="0"/>
        <w:jc w:val="center"/>
      </w:pPr>
      <w:r>
        <w:rPr>
          <w:rFonts w:ascii="EB Garamond" w:hAnsi="EB Garamond"/>
          <w:sz w:val="22"/>
        </w:rPr>
        <w:t xml:space="preserve">Python, Data Science, Machine Learning, NLP, Generative AI, RAG, Azure, OpenAI, REST APIs, AWS (Bedrock), RASA, Docker, Kubernetes, TensorFlow, PyTorch, Keras, Airflow </w:t>
      </w:r>
    </w:p>
    <w:p>
      <w:pPr>
        <w:autoSpaceDN w:val="0"/>
        <w:autoSpaceDE w:val="0"/>
        <w:widowControl/>
        <w:spacing w:line="216" w:lineRule="auto" w:before="210" w:after="20"/>
        <w:ind w:left="28" w:right="0" w:firstLine="0"/>
        <w:jc w:val="left"/>
      </w:pPr>
      <w:r>
        <w:rPr>
          <w:rFonts w:ascii="EB Garamond" w:hAnsi="EB Garamond" w:eastAsia="EB Garamond"/>
          <w:b/>
          <w:i w:val="0"/>
          <w:color w:val="000000"/>
          <w:sz w:val="24"/>
        </w:rPr>
        <w:t>EDUCATION</w:t>
      </w:r>
    </w:p>
    <w:tbl>
      <w:tblPr>
        <w:tblW w:type="auto" w:w="0"/>
        <w:tblLayout w:type="fixed"/>
        <w:tblLook w:firstColumn="1" w:firstRow="1" w:lastColumn="0" w:lastRow="0" w:noHBand="0" w:noVBand="1" w:val="04A0"/>
        <w:tblInd w:w="0.0" w:type="dxa"/>
      </w:tblPr>
      <w:tblGrid>
        <w:gridCol w:w="5302"/>
        <w:gridCol w:w="5302"/>
      </w:tblGrid>
      <w:tr>
        <w:trPr>
          <w:trHeight w:hRule="exact" w:val="406"/>
        </w:trPr>
        <w:tc>
          <w:tcPr>
            <w:tcW w:type="dxa" w:w="7324"/>
            <w:tcBorders>
              <w:top w:sz="5.600000000000364" w:val="single" w:color="#000000"/>
            </w:tcBorders>
            <w:tcMar>
              <w:start w:w="0" w:type="dxa"/>
              <w:end w:w="0" w:type="dxa"/>
            </w:tcMar>
          </w:tcPr>
          <w:p>
            <w:pPr>
              <w:autoSpaceDN w:val="0"/>
              <w:autoSpaceDE w:val="0"/>
              <w:widowControl/>
              <w:spacing w:line="218" w:lineRule="auto" w:before="130" w:after="0"/>
              <w:ind w:left="28" w:right="0" w:firstLine="0"/>
              <w:jc w:val="left"/>
            </w:pPr>
            <w:r>
              <w:rPr>
                <w:rFonts w:ascii="EB Garamond" w:hAnsi="EB Garamond" w:eastAsia="EB Garamond"/>
                <w:b/>
                <w:i w:val="0"/>
                <w:color w:val="000000"/>
                <w:sz w:val="22"/>
              </w:rPr>
              <w:t xml:space="preserve">Rajarambapu Institute of Technology, Shivaji University </w:t>
            </w:r>
          </w:p>
        </w:tc>
        <w:tc>
          <w:tcPr>
            <w:tcW w:type="dxa" w:w="3246"/>
            <w:tcBorders>
              <w:top w:sz="5.600000000000364" w:val="single" w:color="#000000"/>
            </w:tcBorders>
            <w:tcMar>
              <w:start w:w="0" w:type="dxa"/>
              <w:end w:w="0" w:type="dxa"/>
            </w:tcMar>
          </w:tcPr>
          <w:p>
            <w:pPr>
              <w:autoSpaceDN w:val="0"/>
              <w:autoSpaceDE w:val="0"/>
              <w:widowControl/>
              <w:spacing w:line="218" w:lineRule="auto" w:before="130" w:after="0"/>
              <w:ind w:left="0" w:right="0" w:firstLine="0"/>
              <w:jc w:val="right"/>
            </w:pPr>
            <w:r>
              <w:rPr>
                <w:rFonts w:ascii="EB Garamond" w:hAnsi="EB Garamond" w:eastAsia="EB Garamond"/>
                <w:b/>
                <w:i w:val="0"/>
                <w:color w:val="000000"/>
                <w:sz w:val="22"/>
              </w:rPr>
              <w:t xml:space="preserve">Sangli, India </w:t>
            </w:r>
          </w:p>
        </w:tc>
      </w:tr>
    </w:tbl>
    <w:p>
      <w:pPr>
        <w:autoSpaceDN w:val="0"/>
        <w:autoSpaceDE w:val="0"/>
        <w:widowControl/>
        <w:spacing w:line="14" w:lineRule="exact" w:before="0" w:after="44"/>
        <w:ind w:left="0" w:right="0"/>
      </w:pPr>
    </w:p>
    <w:p>
      <w:pPr>
        <w:sectPr>
          <w:pgSz w:w="12240" w:h="15840"/>
          <w:pgMar w:top="270" w:right="800" w:bottom="296" w:left="836" w:header="720" w:footer="720" w:gutter="0"/>
          <w:cols/>
          <w:docGrid w:linePitch="360"/>
        </w:sectPr>
      </w:pPr>
    </w:p>
    <w:p>
      <w:pPr>
        <w:autoSpaceDN w:val="0"/>
        <w:autoSpaceDE w:val="0"/>
        <w:widowControl/>
        <w:spacing w:line="245" w:lineRule="auto" w:before="0" w:after="0"/>
        <w:ind w:left="28" w:right="1728" w:firstLine="0"/>
        <w:jc w:val="left"/>
      </w:pPr>
      <w:r>
        <w:rPr>
          <w:rFonts w:ascii="EB Garamond" w:hAnsi="EB Garamond" w:eastAsia="EB Garamond"/>
          <w:b w:val="0"/>
          <w:i w:val="0"/>
          <w:color w:val="000000"/>
          <w:sz w:val="22"/>
        </w:rPr>
        <w:t xml:space="preserve">Bachelor of Technology (Mechanical Engineering): 7.62 CGPI </w:t>
      </w:r>
      <w:r>
        <w:rPr>
          <w:rFonts w:ascii="EB Garamond" w:hAnsi="EB Garamond" w:eastAsia="EB Garamond"/>
          <w:b/>
          <w:i w:val="0"/>
          <w:color w:val="000000"/>
          <w:sz w:val="22"/>
        </w:rPr>
        <w:t xml:space="preserve">Yashawantrao Chavan Institute of Science, Satara </w:t>
      </w:r>
      <w:r>
        <w:br/>
      </w:r>
      <w:r>
        <w:rPr>
          <w:rFonts w:ascii="EB Garamond" w:hAnsi="EB Garamond" w:eastAsia="EB Garamond"/>
          <w:b w:val="0"/>
          <w:i w:val="0"/>
          <w:color w:val="000000"/>
          <w:sz w:val="22"/>
        </w:rPr>
        <w:t xml:space="preserve">Higher Secondary (H.S.C): 81.38 % </w:t>
      </w:r>
    </w:p>
    <w:p>
      <w:pPr>
        <w:sectPr>
          <w:type w:val="continuous"/>
          <w:pgSz w:w="12240" w:h="15840"/>
          <w:pgMar w:top="270" w:right="800" w:bottom="296" w:left="836" w:header="720" w:footer="720" w:gutter="0"/>
          <w:cols w:num="2" w:equalWidth="0">
            <w:col w:w="7028" w:space="0"/>
            <w:col w:w="3576" w:space="0"/>
          </w:cols>
          <w:docGrid w:linePitch="360"/>
        </w:sectPr>
      </w:pPr>
    </w:p>
    <w:p>
      <w:pPr>
        <w:autoSpaceDN w:val="0"/>
        <w:autoSpaceDE w:val="0"/>
        <w:widowControl/>
        <w:spacing w:line="245" w:lineRule="auto" w:before="0" w:after="44"/>
        <w:ind w:left="1728" w:right="20" w:firstLine="0"/>
        <w:jc w:val="right"/>
      </w:pPr>
      <w:r>
        <w:rPr>
          <w:rFonts w:ascii="EB Garamond" w:hAnsi="EB Garamond" w:eastAsia="EB Garamond"/>
          <w:b w:val="0"/>
          <w:i w:val="0"/>
          <w:color w:val="000000"/>
          <w:sz w:val="22"/>
        </w:rPr>
        <w:t xml:space="preserve">Jul 2014 – May 2018 </w:t>
      </w:r>
      <w:r>
        <w:rPr>
          <w:rFonts w:ascii="EB Garamond" w:hAnsi="EB Garamond" w:eastAsia="EB Garamond"/>
          <w:b/>
          <w:i w:val="0"/>
          <w:color w:val="000000"/>
          <w:sz w:val="22"/>
        </w:rPr>
        <w:t xml:space="preserve">Satara, India </w:t>
      </w:r>
      <w:r>
        <w:br/>
      </w:r>
      <w:r>
        <w:rPr>
          <w:rFonts w:ascii="EB Garamond" w:hAnsi="EB Garamond" w:eastAsia="EB Garamond"/>
          <w:b w:val="0"/>
          <w:i w:val="0"/>
          <w:color w:val="000000"/>
          <w:sz w:val="22"/>
        </w:rPr>
        <w:t xml:space="preserve">Jun 2012- May 2014 </w:t>
      </w:r>
    </w:p>
    <w:p>
      <w:pPr>
        <w:sectPr>
          <w:type w:val="nextColumn"/>
          <w:pgSz w:w="12240" w:h="15840"/>
          <w:pgMar w:top="270" w:right="800" w:bottom="296" w:left="836" w:header="720" w:footer="720" w:gutter="0"/>
          <w:cols w:num="2" w:equalWidth="0">
            <w:col w:w="7028" w:space="0"/>
            <w:col w:w="3576" w:space="0"/>
          </w:cols>
          <w:docGrid w:linePitch="360"/>
        </w:sectPr>
      </w:pPr>
    </w:p>
    <w:p>
      <w:pPr>
        <w:autoSpaceDN w:val="0"/>
        <w:tabs>
          <w:tab w:pos="9366" w:val="left"/>
        </w:tabs>
        <w:autoSpaceDE w:val="0"/>
        <w:widowControl/>
        <w:spacing w:line="218" w:lineRule="auto" w:before="0" w:after="40"/>
        <w:ind w:left="28" w:right="0" w:firstLine="0"/>
        <w:jc w:val="left"/>
      </w:pPr>
      <w:r>
        <w:rPr>
          <w:rFonts w:ascii="EB Garamond" w:hAnsi="EB Garamond" w:eastAsia="EB Garamond"/>
          <w:b/>
          <w:i w:val="0"/>
          <w:color w:val="000000"/>
          <w:sz w:val="22"/>
        </w:rPr>
        <w:t xml:space="preserve">Maharaja Sayajirao Vidyalaya, Satara </w:t>
      </w:r>
      <w:r>
        <w:tab/>
      </w:r>
      <w:r>
        <w:rPr>
          <w:rFonts w:ascii="EB Garamond" w:hAnsi="EB Garamond" w:eastAsia="EB Garamond"/>
          <w:b/>
          <w:i w:val="0"/>
          <w:color w:val="000000"/>
          <w:sz w:val="22"/>
        </w:rPr>
        <w:t xml:space="preserve">Satara, India </w:t>
      </w:r>
    </w:p>
    <w:p>
      <w:pPr>
        <w:sectPr>
          <w:type w:val="continuous"/>
          <w:pgSz w:w="12240" w:h="15840"/>
          <w:pgMar w:top="270" w:right="800" w:bottom="296" w:left="836" w:header="720" w:footer="720" w:gutter="0"/>
          <w:cols/>
          <w:docGrid w:linePitch="360"/>
        </w:sectPr>
      </w:pPr>
    </w:p>
    <w:p>
      <w:pPr>
        <w:autoSpaceDN w:val="0"/>
        <w:autoSpaceDE w:val="0"/>
        <w:widowControl/>
        <w:spacing w:line="218" w:lineRule="auto" w:before="0" w:after="0"/>
        <w:ind w:left="28" w:right="0" w:firstLine="0"/>
        <w:jc w:val="left"/>
      </w:pPr>
      <w:r>
        <w:rPr>
          <w:rFonts w:ascii="EB Garamond" w:hAnsi="EB Garamond" w:eastAsia="EB Garamond"/>
          <w:b w:val="0"/>
          <w:i w:val="0"/>
          <w:color w:val="000000"/>
          <w:sz w:val="22"/>
        </w:rPr>
        <w:t xml:space="preserve">Secondary School (S.S.C):  93.64 % </w:t>
      </w:r>
    </w:p>
    <w:p>
      <w:pPr>
        <w:sectPr>
          <w:type w:val="continuous"/>
          <w:pgSz w:w="12240" w:h="15840"/>
          <w:pgMar w:top="270" w:right="800" w:bottom="296" w:left="836" w:header="720" w:footer="720" w:gutter="0"/>
          <w:cols w:num="2" w:equalWidth="0">
            <w:col w:w="5884" w:space="0"/>
            <w:col w:w="4720" w:space="0"/>
          </w:cols>
          <w:docGrid w:linePitch="360"/>
        </w:sectPr>
      </w:pPr>
    </w:p>
    <w:p>
      <w:pPr>
        <w:autoSpaceDN w:val="0"/>
        <w:autoSpaceDE w:val="0"/>
        <w:widowControl/>
        <w:spacing w:line="218" w:lineRule="auto" w:before="0" w:after="0"/>
        <w:ind w:left="0" w:right="32" w:firstLine="0"/>
        <w:jc w:val="right"/>
      </w:pPr>
      <w:r>
        <w:rPr>
          <w:rFonts w:ascii="EB Garamond" w:hAnsi="EB Garamond" w:eastAsia="EB Garamond"/>
          <w:b w:val="0"/>
          <w:i w:val="0"/>
          <w:color w:val="000000"/>
          <w:sz w:val="22"/>
        </w:rPr>
        <w:t xml:space="preserve"> Jun 2011- May 2012 </w:t>
      </w:r>
    </w:p>
    <w:p>
      <w:pPr>
        <w:sectPr>
          <w:type w:val="nextColumn"/>
          <w:pgSz w:w="12240" w:h="15840"/>
          <w:pgMar w:top="270" w:right="800" w:bottom="296" w:left="836" w:header="720" w:footer="720" w:gutter="0"/>
          <w:cols w:num="2" w:equalWidth="0">
            <w:col w:w="5884" w:space="0"/>
            <w:col w:w="4720" w:space="0"/>
          </w:cols>
          <w:docGrid w:linePitch="360"/>
        </w:sectPr>
      </w:pPr>
    </w:p>
    <w:p>
      <w:pPr>
        <w:autoSpaceDN w:val="0"/>
        <w:autoSpaceDE w:val="0"/>
        <w:widowControl/>
        <w:spacing w:line="220" w:lineRule="exact" w:before="0" w:after="216"/>
        <w:ind w:left="0" w:right="0"/>
      </w:pPr>
    </w:p>
    <w:p>
      <w:pPr>
        <w:autoSpaceDN w:val="0"/>
        <w:autoSpaceDE w:val="0"/>
        <w:widowControl/>
        <w:spacing w:line="218" w:lineRule="auto" w:before="0" w:after="18"/>
        <w:ind w:left="28" w:right="0" w:firstLine="0"/>
        <w:jc w:val="left"/>
      </w:pPr>
      <w:r>
        <w:rPr>
          <w:rFonts w:ascii="EB Garamond" w:hAnsi="EB Garamond" w:eastAsia="EB Garamond"/>
          <w:b/>
          <w:i w:val="0"/>
          <w:color w:val="000000"/>
          <w:sz w:val="24"/>
        </w:rPr>
        <w:t>C</w:t>
      </w:r>
      <w:r>
        <w:rPr>
          <w:rFonts w:ascii="EB Garamond" w:hAnsi="EB Garamond" w:eastAsia="EB Garamond"/>
          <w:b/>
          <w:i w:val="0"/>
          <w:color w:val="000000"/>
          <w:sz w:val="19"/>
        </w:rPr>
        <w:t>ONFERENCES AND PRESENTATIONS</w:t>
      </w:r>
    </w:p>
    <w:tbl>
      <w:tblPr>
        <w:tblW w:type="auto" w:w="0"/>
        <w:tblLayout w:type="fixed"/>
        <w:tblLook w:firstColumn="1" w:firstRow="1" w:lastColumn="0" w:lastRow="0" w:noHBand="0" w:noVBand="1" w:val="04A0"/>
        <w:tblInd w:w="0.0" w:type="dxa"/>
      </w:tblPr>
      <w:tblGrid>
        <w:gridCol w:w="5302"/>
        <w:gridCol w:w="5302"/>
      </w:tblGrid>
      <w:tr>
        <w:trPr>
          <w:trHeight w:hRule="exact" w:val="294"/>
        </w:trPr>
        <w:tc>
          <w:tcPr>
            <w:tcW w:type="dxa" w:w="5364"/>
            <w:tcBorders>
              <w:top w:sz="6.399999999999977" w:val="single" w:color="#000000"/>
            </w:tcBorders>
            <w:tcMar>
              <w:start w:w="0" w:type="dxa"/>
              <w:end w:w="0" w:type="dxa"/>
            </w:tcMar>
          </w:tcPr>
          <w:p>
            <w:pPr>
              <w:autoSpaceDN w:val="0"/>
              <w:autoSpaceDE w:val="0"/>
              <w:widowControl/>
              <w:spacing w:line="218" w:lineRule="auto" w:before="0" w:after="0"/>
              <w:ind w:left="28" w:right="0" w:firstLine="0"/>
              <w:jc w:val="left"/>
            </w:pPr>
            <w:r>
              <w:rPr>
                <w:rFonts w:ascii="EB Garamond" w:hAnsi="EB Garamond" w:eastAsia="EB Garamond"/>
                <w:b/>
                <w:i w:val="0"/>
                <w:color w:val="000000"/>
                <w:sz w:val="22"/>
              </w:rPr>
              <w:t xml:space="preserve">PharmaSUG 2025 </w:t>
            </w:r>
          </w:p>
        </w:tc>
        <w:tc>
          <w:tcPr>
            <w:tcW w:type="dxa" w:w="5206"/>
            <w:tcBorders>
              <w:top w:sz="6.399999999999977" w:val="single" w:color="#000000"/>
            </w:tcBorders>
            <w:tcMar>
              <w:start w:w="0" w:type="dxa"/>
              <w:end w:w="0" w:type="dxa"/>
            </w:tcMar>
          </w:tcPr>
          <w:p>
            <w:pPr>
              <w:autoSpaceDN w:val="0"/>
              <w:autoSpaceDE w:val="0"/>
              <w:widowControl/>
              <w:spacing w:line="218" w:lineRule="auto" w:before="0" w:after="0"/>
              <w:ind w:left="0" w:right="68" w:firstLine="0"/>
              <w:jc w:val="right"/>
            </w:pPr>
            <w:r>
              <w:rPr>
                <w:rFonts w:ascii="EB Garamond" w:hAnsi="EB Garamond" w:eastAsia="EB Garamond"/>
                <w:b/>
                <w:i w:val="0"/>
                <w:color w:val="000000"/>
                <w:sz w:val="22"/>
              </w:rPr>
              <w:t xml:space="preserve"> San Diego, USA</w:t>
            </w:r>
          </w:p>
        </w:tc>
      </w:tr>
      <w:tr>
        <w:trPr>
          <w:trHeight w:hRule="exact" w:val="574"/>
        </w:trPr>
        <w:tc>
          <w:tcPr>
            <w:tcW w:type="dxa" w:w="10570"/>
            <w:gridSpan w:val="2"/>
            <w:tcBorders/>
            <w:tcMar>
              <w:start w:w="0" w:type="dxa"/>
              <w:end w:w="0" w:type="dxa"/>
            </w:tcMar>
            <w:tcMar>
              <w:start w:w="0" w:type="dxa"/>
              <w:end w:w="0" w:type="dxa"/>
            </w:tcMar>
          </w:tcPr>
          <w:p>
            <w:pPr>
              <w:autoSpaceDN w:val="0"/>
              <w:autoSpaceDE w:val="0"/>
              <w:widowControl/>
              <w:spacing w:line="245" w:lineRule="auto" w:before="0" w:after="0"/>
              <w:ind w:left="28" w:right="0" w:firstLine="0"/>
              <w:jc w:val="left"/>
            </w:pPr>
            <w:r>
              <w:rPr>
                <w:rFonts w:ascii="EB Garamond" w:hAnsi="EB Garamond" w:eastAsia="EB Garamond"/>
                <w:b w:val="0"/>
                <w:i w:val="0"/>
                <w:color w:val="000000"/>
                <w:sz w:val="22"/>
              </w:rPr>
              <w:t>The paper discussed how Generative AI can strategically streamline signal detection, safety reviews, and e</w:t>
            </w:r>
            <w:r>
              <w:rPr>
                <w:rFonts w:ascii="EB Garamond" w:hAnsi="EB Garamond" w:eastAsia="EB Garamond"/>
                <w:b w:val="0"/>
                <w:i w:val="0"/>
                <w:color w:val="000000"/>
                <w:sz w:val="22"/>
              </w:rPr>
              <w:hyperlink r:id="rId11" w:history="1">
                <w:r>
                  <w:rPr>
                    <w:rStyle w:val="Hyperlink"/>
                  </w:rPr>
                  <w:t>vidence gath</w:t>
                </w:r>
              </w:hyperlink>
            </w:r>
            <w:r>
              <w:rPr>
                <w:rFonts w:ascii="EB Garamond" w:hAnsi="EB Garamond" w:eastAsia="EB Garamond"/>
                <w:b w:val="0"/>
                <w:i w:val="0"/>
                <w:color w:val="000000"/>
                <w:sz w:val="22"/>
              </w:rPr>
              <w:t xml:space="preserve">ering by </w:t>
            </w:r>
            <w:r>
              <w:rPr>
                <w:rFonts w:ascii="EB Garamond" w:hAnsi="EB Garamond" w:eastAsia="EB Garamond"/>
                <w:b w:val="0"/>
                <w:i w:val="0"/>
                <w:color w:val="000000"/>
                <w:sz w:val="22"/>
              </w:rPr>
              <w:t xml:space="preserve">mining unstructured scientific and medical literature — driving faster, more informed clinical decisions. </w:t>
            </w:r>
            <w:r>
              <w:rPr>
                <w:rFonts w:ascii="EB Garamond" w:hAnsi="EB Garamond" w:eastAsia="EB Garamond"/>
                <w:b w:val="0"/>
                <w:i w:val="0"/>
                <w:color w:val="000000"/>
                <w:sz w:val="22"/>
              </w:rPr>
              <w:hyperlink r:id="rId11" w:history="1">
                <w:r>
                  <w:rPr>
                    <w:rStyle w:val="Hyperlink"/>
                  </w:rPr>
                  <w:t>(</w:t>
                </w:r>
              </w:hyperlink>
            </w:r>
            <w:r>
              <w:rPr>
                <w:rFonts w:ascii="EB Garamond" w:hAnsi="EB Garamond" w:eastAsia="EB Garamond"/>
                <w:b w:val="0"/>
                <w:i w:val="0"/>
                <w:color w:val="0000FF"/>
                <w:sz w:val="22"/>
                <w:u w:val="single"/>
              </w:rPr>
              <w:hyperlink r:id="rId11" w:history="1">
                <w:r>
                  <w:rPr>
                    <w:rStyle w:val="Hyperlink"/>
                  </w:rPr>
                  <w:t>Paper Link</w:t>
                </w:r>
              </w:hyperlink>
            </w:r>
            <w:r>
              <w:rPr>
                <w:rFonts w:ascii="EB Garamond" w:hAnsi="EB Garamond" w:eastAsia="EB Garamond"/>
                <w:b w:val="0"/>
                <w:i w:val="0"/>
                <w:color w:val="000000"/>
                <w:sz w:val="22"/>
              </w:rPr>
              <w:hyperlink r:id="rId11" w:history="1">
                <w:r>
                  <w:rPr>
                    <w:rStyle w:val="Hyperlink"/>
                  </w:rPr>
                  <w:t>)</w:t>
                </w:r>
              </w:hyperlink>
            </w:r>
            <w:r>
              <w:rPr>
                <w:rFonts w:ascii="EB Garamond" w:hAnsi="EB Garamond" w:eastAsia="EB Garamond"/>
                <w:b w:val="0"/>
                <w:i w:val="0"/>
                <w:color w:val="000000"/>
                <w:sz w:val="22"/>
              </w:rPr>
              <w:t xml:space="preserve"> </w:t>
            </w:r>
          </w:p>
        </w:tc>
      </w:tr>
      <w:tr>
        <w:trPr>
          <w:trHeight w:hRule="exact" w:val="288"/>
        </w:trPr>
        <w:tc>
          <w:tcPr>
            <w:tcW w:type="dxa" w:w="5364"/>
            <w:tcBorders/>
            <w:tcMar>
              <w:start w:w="0" w:type="dxa"/>
              <w:end w:w="0" w:type="dxa"/>
            </w:tcMar>
          </w:tcPr>
          <w:p>
            <w:pPr>
              <w:autoSpaceDN w:val="0"/>
              <w:autoSpaceDE w:val="0"/>
              <w:widowControl/>
              <w:spacing w:line="218" w:lineRule="auto" w:before="0" w:after="0"/>
              <w:ind w:left="28" w:right="0" w:firstLine="0"/>
              <w:jc w:val="left"/>
            </w:pPr>
            <w:r>
              <w:rPr>
                <w:rFonts w:ascii="EB Garamond" w:hAnsi="EB Garamond" w:eastAsia="EB Garamond"/>
                <w:b/>
                <w:i w:val="0"/>
                <w:color w:val="000000"/>
                <w:sz w:val="22"/>
              </w:rPr>
              <w:t xml:space="preserve">PharmaSUG 2024 </w:t>
            </w:r>
          </w:p>
        </w:tc>
        <w:tc>
          <w:tcPr>
            <w:tcW w:type="dxa" w:w="5206"/>
            <w:tcBorders/>
            <w:tcMar>
              <w:start w:w="0" w:type="dxa"/>
              <w:end w:w="0" w:type="dxa"/>
            </w:tcMar>
          </w:tcPr>
          <w:p>
            <w:pPr>
              <w:autoSpaceDN w:val="0"/>
              <w:autoSpaceDE w:val="0"/>
              <w:widowControl/>
              <w:spacing w:line="218" w:lineRule="auto" w:before="0" w:after="0"/>
              <w:ind w:left="0" w:right="30" w:firstLine="0"/>
              <w:jc w:val="right"/>
            </w:pPr>
            <w:r>
              <w:rPr>
                <w:rFonts w:ascii="EB Garamond" w:hAnsi="EB Garamond" w:eastAsia="EB Garamond"/>
                <w:b/>
                <w:i w:val="0"/>
                <w:color w:val="000000"/>
                <w:sz w:val="22"/>
              </w:rPr>
              <w:t xml:space="preserve"> Baltimore, USA </w:t>
            </w:r>
          </w:p>
        </w:tc>
      </w:tr>
      <w:tr>
        <w:trPr>
          <w:trHeight w:hRule="exact" w:val="634"/>
        </w:trPr>
        <w:tc>
          <w:tcPr>
            <w:tcW w:type="dxa" w:w="10570"/>
            <w:gridSpan w:val="2"/>
            <w:tcBorders/>
            <w:tcMar>
              <w:start w:w="0" w:type="dxa"/>
              <w:end w:w="0" w:type="dxa"/>
            </w:tcMar>
            <w:tcMar>
              <w:start w:w="0" w:type="dxa"/>
              <w:end w:w="0" w:type="dxa"/>
            </w:tcMar>
          </w:tcPr>
          <w:p>
            <w:pPr>
              <w:autoSpaceDN w:val="0"/>
              <w:autoSpaceDE w:val="0"/>
              <w:widowControl/>
              <w:spacing w:line="245" w:lineRule="auto" w:before="0" w:after="0"/>
              <w:ind w:left="28" w:right="144" w:firstLine="0"/>
              <w:jc w:val="left"/>
            </w:pPr>
            <w:r>
              <w:rPr>
                <w:rFonts w:ascii="EB Garamond" w:hAnsi="EB Garamond" w:eastAsia="EB Garamond"/>
                <w:b w:val="0"/>
                <w:i w:val="0"/>
                <w:color w:val="000000"/>
                <w:sz w:val="22"/>
              </w:rPr>
              <w:t>Presented a paper on how large language models (LLMs) coupled with next-generati</w:t>
            </w:r>
            <w:r>
              <w:rPr>
                <w:rFonts w:ascii="EB Garamond" w:hAnsi="EB Garamond" w:eastAsia="EB Garamond"/>
                <w:b w:val="0"/>
                <w:i w:val="0"/>
                <w:color w:val="000000"/>
                <w:sz w:val="22"/>
              </w:rPr>
              <w:hyperlink r:id="rId12" w:history="1">
                <w:r>
                  <w:rPr>
                    <w:rStyle w:val="Hyperlink"/>
                  </w:rPr>
                  <w:t>on Graph d</w:t>
                </w:r>
              </w:hyperlink>
            </w:r>
            <w:r>
              <w:rPr>
                <w:rFonts w:ascii="EB Garamond" w:hAnsi="EB Garamond" w:eastAsia="EB Garamond"/>
                <w:b w:val="0"/>
                <w:i w:val="0"/>
                <w:color w:val="000000"/>
                <w:sz w:val="22"/>
              </w:rPr>
              <w:t xml:space="preserve">atabase, search and analytic </w:t>
            </w:r>
            <w:r>
              <w:rPr>
                <w:rFonts w:ascii="EB Garamond" w:hAnsi="EB Garamond" w:eastAsia="EB Garamond"/>
                <w:b w:val="0"/>
                <w:i w:val="0"/>
                <w:color w:val="000000"/>
                <w:sz w:val="22"/>
              </w:rPr>
              <w:t xml:space="preserve">engines etc. can create a comprehensive AI-based technology automation platform. </w:t>
            </w:r>
            <w:r>
              <w:rPr>
                <w:rFonts w:ascii="EB Garamond" w:hAnsi="EB Garamond" w:eastAsia="EB Garamond"/>
                <w:b w:val="0"/>
                <w:i w:val="0"/>
                <w:color w:val="000000"/>
                <w:sz w:val="22"/>
              </w:rPr>
              <w:hyperlink r:id="rId12" w:history="1">
                <w:r>
                  <w:rPr>
                    <w:rStyle w:val="Hyperlink"/>
                  </w:rPr>
                  <w:t>(</w:t>
                </w:r>
              </w:hyperlink>
            </w:r>
            <w:r>
              <w:rPr>
                <w:rFonts w:ascii="EB Garamond" w:hAnsi="EB Garamond" w:eastAsia="EB Garamond"/>
                <w:b w:val="0"/>
                <w:i w:val="0"/>
                <w:color w:val="0000FF"/>
                <w:sz w:val="22"/>
                <w:u w:val="single"/>
              </w:rPr>
              <w:hyperlink r:id="rId12" w:history="1">
                <w:r>
                  <w:rPr>
                    <w:rStyle w:val="Hyperlink"/>
                  </w:rPr>
                  <w:t>Paper Link</w:t>
                </w:r>
              </w:hyperlink>
            </w:r>
            <w:r>
              <w:rPr>
                <w:rFonts w:ascii="EB Garamond" w:hAnsi="EB Garamond" w:eastAsia="EB Garamond"/>
                <w:b w:val="0"/>
                <w:i w:val="0"/>
                <w:color w:val="000000"/>
                <w:sz w:val="22"/>
              </w:rPr>
              <w:hyperlink r:id="rId12" w:history="1">
                <w:r>
                  <w:rPr>
                    <w:rStyle w:val="Hyperlink"/>
                  </w:rPr>
                  <w:t>)</w:t>
                </w:r>
              </w:hyperlink>
            </w:r>
            <w:r>
              <w:rPr>
                <w:rFonts w:ascii="EB Garamond" w:hAnsi="EB Garamond" w:eastAsia="EB Garamond"/>
                <w:b w:val="0"/>
                <w:i w:val="0"/>
                <w:color w:val="000000"/>
                <w:sz w:val="22"/>
              </w:rPr>
              <w:t xml:space="preserve"> </w:t>
            </w:r>
          </w:p>
        </w:tc>
      </w:tr>
    </w:tbl>
    <w:p>
      <w:pPr>
        <w:autoSpaceDN w:val="0"/>
        <w:autoSpaceDE w:val="0"/>
        <w:widowControl/>
        <w:spacing w:line="216" w:lineRule="auto" w:before="220" w:after="20"/>
        <w:ind w:left="28" w:right="0" w:firstLine="0"/>
        <w:jc w:val="left"/>
      </w:pPr>
      <w:r>
        <w:rPr>
          <w:rFonts w:ascii="EB Garamond" w:hAnsi="EB Garamond" w:eastAsia="EB Garamond"/>
          <w:b/>
          <w:i w:val="0"/>
          <w:color w:val="000000"/>
          <w:sz w:val="24"/>
        </w:rPr>
        <w:t>P</w:t>
      </w:r>
      <w:r>
        <w:rPr>
          <w:rFonts w:ascii="EB Garamond" w:hAnsi="EB Garamond" w:eastAsia="EB Garamond"/>
          <w:b/>
          <w:i w:val="0"/>
          <w:color w:val="000000"/>
          <w:sz w:val="19"/>
        </w:rPr>
        <w:t xml:space="preserve">ATENTS </w:t>
      </w:r>
    </w:p>
    <w:tbl>
      <w:tblPr>
        <w:tblW w:type="auto" w:w="0"/>
        <w:tblLayout w:type="fixed"/>
        <w:tblLook w:firstColumn="1" w:firstRow="1" w:lastColumn="0" w:lastRow="0" w:noHBand="0" w:noVBand="1" w:val="04A0"/>
        <w:tblInd w:w="0.0" w:type="dxa"/>
      </w:tblPr>
      <w:tblGrid>
        <w:gridCol w:w="5302"/>
        <w:gridCol w:w="5302"/>
      </w:tblGrid>
      <w:tr>
        <w:trPr>
          <w:trHeight w:hRule="exact" w:val="426"/>
        </w:trPr>
        <w:tc>
          <w:tcPr>
            <w:tcW w:type="dxa" w:w="10570"/>
            <w:gridSpan w:val="2"/>
            <w:tcBorders>
              <w:top w:sz="5.600000000000136" w:val="single" w:color="#000000"/>
            </w:tcBorders>
            <w:tcMar>
              <w:start w:w="0" w:type="dxa"/>
              <w:end w:w="0" w:type="dxa"/>
            </w:tcMar>
            <w:tcMar>
              <w:start w:w="0" w:type="dxa"/>
              <w:end w:w="0" w:type="dxa"/>
            </w:tcMar>
          </w:tcPr>
          <w:p>
            <w:pPr>
              <w:autoSpaceDN w:val="0"/>
              <w:autoSpaceDE w:val="0"/>
              <w:widowControl/>
              <w:spacing w:line="218" w:lineRule="auto" w:before="130" w:after="0"/>
              <w:ind w:left="388" w:right="0" w:firstLine="0"/>
              <w:jc w:val="left"/>
            </w:pPr>
            <w:r>
              <w:rPr>
                <w:rFonts w:ascii="Times New Roman" w:hAnsi="Times New Roman" w:eastAsia="Times New Roman"/>
                <w:b w:val="0"/>
                <w:i w:val="0"/>
                <w:color w:val="000000"/>
                <w:sz w:val="22"/>
              </w:rPr>
              <w:t>●</w:t>
            </w:r>
            <w:r>
              <w:rPr>
                <w:rFonts w:ascii="EB Garamond" w:hAnsi="EB Garamond" w:eastAsia="EB Garamond"/>
                <w:b/>
                <w:i w:val="0"/>
                <w:color w:val="000000"/>
                <w:sz w:val="22"/>
              </w:rPr>
              <w:t>Granted:</w:t>
            </w:r>
            <w:r>
              <w:rPr>
                <w:rFonts w:ascii="EB Garamond" w:hAnsi="EB Garamond" w:eastAsia="EB Garamond"/>
                <w:b w:val="0"/>
                <w:i w:val="0"/>
                <w:color w:val="000000"/>
                <w:sz w:val="22"/>
              </w:rPr>
              <w:t xml:space="preserve"> Automated Continuous Validation for Regulatory Compliance (2023) </w:t>
            </w:r>
          </w:p>
        </w:tc>
      </w:tr>
      <w:tr>
        <w:trPr>
          <w:trHeight w:hRule="exact" w:val="286"/>
        </w:trPr>
        <w:tc>
          <w:tcPr>
            <w:tcW w:type="dxa" w:w="964"/>
            <w:tcBorders/>
            <w:tcMar>
              <w:start w:w="0" w:type="dxa"/>
              <w:end w:w="0" w:type="dxa"/>
            </w:tcMar>
          </w:tcPr>
          <w:p>
            <w:pPr>
              <w:autoSpaceDN w:val="0"/>
              <w:autoSpaceDE w:val="0"/>
              <w:widowControl/>
              <w:spacing w:line="238" w:lineRule="auto" w:before="24" w:after="0"/>
              <w:ind w:left="0" w:right="124" w:firstLine="0"/>
              <w:jc w:val="right"/>
            </w:pPr>
            <w:r>
              <w:rPr>
                <w:rFonts w:ascii="Symbol" w:hAnsi="Symbol" w:eastAsia="Symbol"/>
                <w:b w:val="0"/>
                <w:i w:val="0"/>
                <w:color w:val="000000"/>
                <w:sz w:val="20"/>
              </w:rPr>
              <w:t>•</w:t>
            </w:r>
          </w:p>
        </w:tc>
        <w:tc>
          <w:tcPr>
            <w:tcW w:type="dxa" w:w="9606"/>
            <w:tcBorders/>
            <w:tcMar>
              <w:start w:w="0" w:type="dxa"/>
              <w:end w:w="0" w:type="dxa"/>
            </w:tcMar>
          </w:tcPr>
          <w:p>
            <w:pPr>
              <w:autoSpaceDN w:val="0"/>
              <w:autoSpaceDE w:val="0"/>
              <w:widowControl/>
              <w:spacing w:line="218" w:lineRule="auto" w:before="0" w:after="0"/>
              <w:ind w:left="144" w:right="0" w:firstLine="0"/>
              <w:jc w:val="left"/>
            </w:pPr>
            <w:r>
              <w:rPr>
                <w:rFonts w:ascii="EB Garamond" w:hAnsi="EB Garamond" w:eastAsia="EB Garamond"/>
                <w:b w:val="0"/>
                <w:i w:val="0"/>
                <w:color w:val="000000"/>
                <w:sz w:val="22"/>
              </w:rPr>
              <w:t xml:space="preserve">Proposed an automated approach for validating computer systems with dynamic components using synthetic </w:t>
            </w:r>
          </w:p>
        </w:tc>
      </w:tr>
      <w:tr>
        <w:trPr>
          <w:trHeight w:hRule="exact" w:val="636"/>
        </w:trPr>
        <w:tc>
          <w:tcPr>
            <w:tcW w:type="dxa" w:w="10570"/>
            <w:gridSpan w:val="2"/>
            <w:tcBorders/>
            <w:tcMar>
              <w:start w:w="0" w:type="dxa"/>
              <w:end w:w="0" w:type="dxa"/>
            </w:tcMar>
            <w:tcMar>
              <w:start w:w="0" w:type="dxa"/>
              <w:end w:w="0" w:type="dxa"/>
            </w:tcMar>
          </w:tcPr>
          <w:p>
            <w:pPr>
              <w:autoSpaceDN w:val="0"/>
              <w:tabs>
                <w:tab w:pos="1108" w:val="left"/>
              </w:tabs>
              <w:autoSpaceDE w:val="0"/>
              <w:widowControl/>
              <w:spacing w:line="245" w:lineRule="auto" w:before="0" w:after="0"/>
              <w:ind w:left="388" w:right="3312" w:firstLine="0"/>
              <w:jc w:val="left"/>
            </w:pPr>
            <w:r>
              <w:tab/>
            </w:r>
            <w:r>
              <w:rPr>
                <w:rFonts w:ascii="EB Garamond" w:hAnsi="EB Garamond" w:eastAsia="EB Garamond"/>
                <w:b w:val="0"/>
                <w:i w:val="0"/>
                <w:color w:val="000000"/>
                <w:sz w:val="22"/>
              </w:rPr>
              <w:t>UAT and learning saturation testing:</w:t>
            </w:r>
            <w:r>
              <w:rPr>
                <w:rFonts w:ascii="EB Garamond" w:hAnsi="EB Garamond" w:eastAsia="EB Garamond"/>
                <w:b w:val="0"/>
                <w:i w:val="0"/>
                <w:color w:val="000000"/>
                <w:sz w:val="22"/>
              </w:rPr>
              <w:t xml:space="preserve"> </w:t>
            </w:r>
            <w:r>
              <w:rPr>
                <w:rFonts w:ascii="EB Garamond" w:hAnsi="EB Garamond" w:eastAsia="EB Garamond"/>
                <w:b w:val="0"/>
                <w:i w:val="0"/>
                <w:color w:val="0000FF"/>
                <w:sz w:val="22"/>
                <w:u w:val="single"/>
              </w:rPr>
              <w:hyperlink r:id="rId13" w:history="1">
                <w:r>
                  <w:rPr>
                    <w:rStyle w:val="Hyperlink"/>
                  </w:rPr>
                  <w:t>Patent Link</w:t>
                </w:r>
              </w:hyperlink>
            </w:r>
            <w:r>
              <w:br/>
            </w:r>
            <w:r>
              <w:rPr>
                <w:rFonts w:ascii="Times New Roman" w:hAnsi="Times New Roman" w:eastAsia="Times New Roman"/>
                <w:b w:val="0"/>
                <w:i w:val="0"/>
                <w:color w:val="000000"/>
                <w:sz w:val="22"/>
              </w:rPr>
              <w:t>●</w:t>
            </w:r>
            <w:r>
              <w:rPr>
                <w:rFonts w:ascii="EB Garamond" w:hAnsi="EB Garamond" w:eastAsia="EB Garamond"/>
                <w:b/>
                <w:i w:val="0"/>
                <w:color w:val="000000"/>
                <w:sz w:val="22"/>
              </w:rPr>
              <w:t>Filed:</w:t>
            </w:r>
            <w:r>
              <w:rPr>
                <w:rFonts w:ascii="EB Garamond" w:hAnsi="EB Garamond" w:eastAsia="EB Garamond"/>
                <w:b w:val="0"/>
                <w:i w:val="0"/>
                <w:color w:val="000000"/>
                <w:sz w:val="22"/>
              </w:rPr>
              <w:t xml:space="preserve"> Automated Clinical Event and Endpoint Adjudication System (2024) </w:t>
            </w:r>
          </w:p>
        </w:tc>
      </w:tr>
    </w:tbl>
    <w:p>
      <w:pPr>
        <w:autoSpaceDN w:val="0"/>
        <w:autoSpaceDE w:val="0"/>
        <w:widowControl/>
        <w:spacing w:line="218" w:lineRule="auto" w:before="220" w:after="18"/>
        <w:ind w:left="28" w:right="0" w:firstLine="0"/>
        <w:jc w:val="left"/>
      </w:pPr>
      <w:r>
        <w:rPr>
          <w:rFonts w:ascii="EB Garamond" w:hAnsi="EB Garamond" w:eastAsia="EB Garamond"/>
          <w:b/>
          <w:i w:val="0"/>
          <w:color w:val="000000"/>
          <w:sz w:val="24"/>
        </w:rPr>
        <w:t>P</w:t>
      </w:r>
      <w:r>
        <w:rPr>
          <w:rFonts w:ascii="EB Garamond" w:hAnsi="EB Garamond" w:eastAsia="EB Garamond"/>
          <w:b/>
          <w:i w:val="0"/>
          <w:color w:val="000000"/>
          <w:sz w:val="19"/>
        </w:rPr>
        <w:t>UBLICATIONS</w:t>
      </w:r>
    </w:p>
    <w:tbl>
      <w:tblPr>
        <w:tblW w:type="auto" w:w="0"/>
        <w:tblLayout w:type="fixed"/>
        <w:tblLook w:firstColumn="1" w:firstRow="1" w:lastColumn="0" w:lastRow="0" w:noHBand="0" w:noVBand="1" w:val="04A0"/>
        <w:tblInd w:w="0.0" w:type="dxa"/>
      </w:tblPr>
      <w:tblGrid>
        <w:gridCol w:w="5302"/>
        <w:gridCol w:w="5302"/>
      </w:tblGrid>
      <w:tr>
        <w:trPr>
          <w:trHeight w:hRule="exact" w:val="1998"/>
        </w:trPr>
        <w:tc>
          <w:tcPr>
            <w:tcW w:type="dxa" w:w="604"/>
            <w:tcBorders>
              <w:top w:sz="5.600000000000364" w:val="single" w:color="#000000"/>
            </w:tcBorders>
            <w:tcMar>
              <w:start w:w="0" w:type="dxa"/>
              <w:end w:w="0" w:type="dxa"/>
            </w:tcMar>
          </w:tcPr>
          <w:p>
            <w:pPr>
              <w:autoSpaceDN w:val="0"/>
              <w:autoSpaceDE w:val="0"/>
              <w:widowControl/>
              <w:spacing w:line="456" w:lineRule="auto" w:before="308" w:after="0"/>
              <w:ind w:left="388" w:right="124"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9966"/>
            <w:tcBorders>
              <w:top w:sz="5.600000000000364" w:val="single" w:color="#000000"/>
            </w:tcBorders>
            <w:tcMar>
              <w:start w:w="0" w:type="dxa"/>
              <w:end w:w="0" w:type="dxa"/>
            </w:tcMar>
          </w:tcPr>
          <w:p>
            <w:pPr>
              <w:autoSpaceDN w:val="0"/>
              <w:autoSpaceDE w:val="0"/>
              <w:widowControl/>
              <w:spacing w:line="245" w:lineRule="auto" w:before="286" w:after="0"/>
              <w:ind w:left="144" w:right="0" w:firstLine="0"/>
              <w:jc w:val="left"/>
            </w:pPr>
            <w:r>
              <w:rPr>
                <w:rFonts w:ascii="EB Garamond" w:hAnsi="EB Garamond" w:eastAsia="EB Garamond"/>
                <w:b w:val="0"/>
                <w:i w:val="0"/>
                <w:color w:val="000000"/>
                <w:sz w:val="22"/>
              </w:rPr>
              <w:t xml:space="preserve">The Future of Regulatory Intelligence with Conversational AI (2022) – Discusses chatbot-driven access to regulatory </w:t>
            </w:r>
            <w:r>
              <w:rPr>
                <w:rFonts w:ascii="EB Garamond" w:hAnsi="EB Garamond" w:eastAsia="EB Garamond"/>
                <w:b w:val="0"/>
                <w:i w:val="0"/>
                <w:color w:val="000000"/>
                <w:sz w:val="22"/>
              </w:rPr>
              <w:t xml:space="preserve">knowledge. </w:t>
            </w:r>
          </w:p>
          <w:p>
            <w:pPr>
              <w:autoSpaceDN w:val="0"/>
              <w:autoSpaceDE w:val="0"/>
              <w:widowControl/>
              <w:spacing w:line="245" w:lineRule="auto" w:before="0" w:after="0"/>
              <w:ind w:left="144" w:right="576" w:firstLine="0"/>
              <w:jc w:val="left"/>
            </w:pPr>
            <w:r>
              <w:rPr>
                <w:rFonts w:ascii="EB Garamond" w:hAnsi="EB Garamond" w:eastAsia="EB Garamond"/>
                <w:b w:val="0"/>
                <w:i w:val="0"/>
                <w:color w:val="000000"/>
                <w:sz w:val="22"/>
              </w:rPr>
              <w:t xml:space="preserve">AI/ML Approaches to Assisted Medical Writing – Part 1 &amp; 2 (2021–2022) – Covers abstractive vs. extractive </w:t>
            </w:r>
            <w:r>
              <w:rPr>
                <w:rFonts w:ascii="EB Garamond" w:hAnsi="EB Garamond" w:eastAsia="EB Garamond"/>
                <w:b w:val="0"/>
                <w:i w:val="0"/>
                <w:color w:val="000000"/>
                <w:sz w:val="22"/>
              </w:rPr>
              <w:t xml:space="preserve">summarization methods. </w:t>
            </w:r>
          </w:p>
          <w:p>
            <w:pPr>
              <w:autoSpaceDN w:val="0"/>
              <w:autoSpaceDE w:val="0"/>
              <w:widowControl/>
              <w:spacing w:line="245" w:lineRule="auto" w:before="0" w:after="0"/>
              <w:ind w:left="144" w:right="144" w:firstLine="0"/>
              <w:jc w:val="left"/>
            </w:pPr>
            <w:r>
              <w:rPr>
                <w:rFonts w:ascii="EB Garamond" w:hAnsi="EB Garamond" w:eastAsia="EB Garamond"/>
                <w:b w:val="0"/>
                <w:i w:val="0"/>
                <w:color w:val="000000"/>
                <w:sz w:val="22"/>
              </w:rPr>
              <w:t xml:space="preserve">Future of Clinical Trial Documentation Management using Blockchain (2021) – Examines eTMF digitization and </w:t>
            </w:r>
            <w:r>
              <w:rPr>
                <w:rFonts w:ascii="EB Garamond" w:hAnsi="EB Garamond" w:eastAsia="EB Garamond"/>
                <w:b w:val="0"/>
                <w:i w:val="0"/>
                <w:color w:val="000000"/>
                <w:sz w:val="22"/>
              </w:rPr>
              <w:t xml:space="preserve">audit compliance. </w:t>
            </w:r>
          </w:p>
        </w:tc>
      </w:tr>
    </w:tbl>
    <w:p>
      <w:pPr>
        <w:autoSpaceDN w:val="0"/>
        <w:autoSpaceDE w:val="0"/>
        <w:widowControl/>
        <w:spacing w:line="14" w:lineRule="exact" w:before="0" w:after="0"/>
        <w:ind w:left="0" w:right="0"/>
      </w:pPr>
    </w:p>
    <w:sectPr w:rsidR="00FC693F" w:rsidRPr="0006063C" w:rsidSect="00034616">
      <w:pgSz w:w="12240" w:h="15840"/>
      <w:pgMar w:top="436" w:right="800" w:bottom="1440" w:left="83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ohitkadam1410@gmail.com" TargetMode="External"/><Relationship Id="rId10" Type="http://schemas.openxmlformats.org/officeDocument/2006/relationships/hyperlink" Target="http://www.linkedin.com/in/rohitkadam315" TargetMode="External"/><Relationship Id="rId11" Type="http://schemas.openxmlformats.org/officeDocument/2006/relationships/hyperlink" Target="https://pharmasug.org/proceedings/2025/AI/PharmaSUG-2025-AI-331.pdf" TargetMode="External"/><Relationship Id="rId12" Type="http://schemas.openxmlformats.org/officeDocument/2006/relationships/hyperlink" Target="https://pharmasug.org/proceedings/2024/SD/PharmaSUG-2024-SD-397.pdf" TargetMode="External"/><Relationship Id="rId13" Type="http://schemas.openxmlformats.org/officeDocument/2006/relationships/hyperlink" Target="https://patents.google.com/patent/EP4141753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