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1152" w:right="1152" w:firstLine="0"/>
        <w:jc w:val="center"/>
      </w:pPr>
      <w:r>
        <w:rPr>
          <w:rFonts w:ascii="EB Garamond" w:hAnsi="EB Garamond" w:eastAsia="EB Garamond"/>
          <w:b/>
          <w:i w:val="0"/>
          <w:color w:val="000000"/>
          <w:sz w:val="32"/>
        </w:rPr>
        <w:t xml:space="preserve">Rohit Kadam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>Pune, India •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</w:t>
      </w:r>
      <w:r>
        <w:rPr>
          <w:rFonts w:ascii="EB Garamond" w:hAnsi="EB Garamond" w:eastAsia="EB Garamond"/>
          <w:b w:val="0"/>
          <w:i w:val="0"/>
          <w:color w:val="0000FF"/>
          <w:sz w:val="22"/>
          <w:u w:val="single"/>
        </w:rPr>
        <w:hyperlink r:id="rId9" w:history="1">
          <w:r>
            <w:rPr>
              <w:rStyle w:val="Hyperlink"/>
            </w:rPr>
            <w:t>rohitkadam1410@gmail.com</w:t>
          </w:r>
        </w:hyperlink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>• +91 7767880235 •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</w:t>
      </w:r>
      <w:r>
        <w:rPr>
          <w:rFonts w:ascii="EB Garamond" w:hAnsi="EB Garamond" w:eastAsia="EB Garamond"/>
          <w:b w:val="0"/>
          <w:i w:val="0"/>
          <w:color w:val="0000FF"/>
          <w:sz w:val="22"/>
          <w:u w:val="single"/>
        </w:rPr>
        <w:hyperlink r:id="rId10" w:history="1">
          <w:r>
            <w:rPr>
              <w:rStyle w:val="Hyperlink"/>
            </w:rPr>
            <w:t>linkedin.com/in/rohitkadam315</w:t>
          </w:r>
        </w:hyperlink>
      </w:r>
    </w:p>
    <w:p>
      <w:pPr>
        <w:autoSpaceDN w:val="0"/>
        <w:autoSpaceDE w:val="0"/>
        <w:widowControl/>
        <w:spacing w:line="245" w:lineRule="auto" w:before="286" w:after="0"/>
        <w:ind w:left="28" w:right="0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Passionate Data Science researcher with 4+ years of experience developing AI ML and GenAI-powered solutions in health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tech and regulatory intelligence. Granted patent holder, published author, and PharmaSUG presenter. Actively exploring the 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intersection of AI and life sciences through academic and industry-led innovation. </w:t>
      </w:r>
    </w:p>
    <w:p>
      <w:pPr>
        <w:autoSpaceDN w:val="0"/>
        <w:autoSpaceDE w:val="0"/>
        <w:widowControl/>
        <w:spacing w:line="218" w:lineRule="auto" w:before="208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PROFESSIONAL</w:t>
      </w:r>
      <w:r>
        <w:rPr>
          <w:rFonts w:ascii="EB Garamond" w:hAnsi="EB Garamond" w:eastAsia="EB Garamond"/>
          <w:b/>
          <w:i w:val="0"/>
          <w:color w:val="000000"/>
          <w:sz w:val="24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51"/>
        <w:gridCol w:w="2651"/>
        <w:gridCol w:w="2651"/>
        <w:gridCol w:w="2651"/>
      </w:tblGrid>
      <w:tr>
        <w:trPr>
          <w:trHeight w:hRule="exact" w:val="424"/>
        </w:trPr>
        <w:tc>
          <w:tcPr>
            <w:tcW w:type="dxa" w:w="5764"/>
            <w:gridSpan w:val="3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T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 xml:space="preserve">ATA 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C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 xml:space="preserve">ONSULTANCY 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S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18"/>
              </w:rPr>
              <w:t>ERVICES</w:t>
            </w:r>
          </w:p>
        </w:tc>
        <w:tc>
          <w:tcPr>
            <w:tcW w:type="dxa" w:w="4806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Pune, India </w:t>
            </w:r>
          </w:p>
        </w:tc>
      </w:tr>
      <w:tr>
        <w:trPr>
          <w:trHeight w:hRule="exact" w:val="272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I.T. Analyst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Jan 2024 – Present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Led the development of a GenAI-based medical assistant using Azure OpenAI which improved monitoring </w:t>
            </w:r>
          </w:p>
        </w:tc>
      </w:tr>
      <w:tr>
        <w:trPr>
          <w:trHeight w:hRule="exact" w:val="28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process efficiency. </w:t>
            </w:r>
          </w:p>
        </w:tc>
      </w:tr>
      <w:tr>
        <w:trPr>
          <w:trHeight w:hRule="exact" w:val="27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Directed a team of 4 in building modular LLM Applications using RAG- for literature management system. </w:t>
            </w:r>
          </w:p>
        </w:tc>
      </w:tr>
      <w:tr>
        <w:trPr>
          <w:trHeight w:hRule="exact" w:val="30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8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6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Acted as the primary point of contact for stakeholders during the pilot phase, streamlining solution rollouts.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Conducted cross-team brainstorming sessions and stakeholder interviews to define business use cases in </w:t>
            </w:r>
          </w:p>
        </w:tc>
      </w:tr>
      <w:tr>
        <w:trPr>
          <w:trHeight w:hRule="exact" w:val="26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HealthTech. </w:t>
            </w:r>
          </w:p>
        </w:tc>
      </w:tr>
      <w:tr>
        <w:trPr>
          <w:trHeight w:hRule="exact" w:val="306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System Engineer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8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Jul 2021 – Dec 2023 </w:t>
            </w:r>
          </w:p>
        </w:tc>
      </w:tr>
      <w:tr>
        <w:trPr>
          <w:trHeight w:hRule="exact" w:val="274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Developed the Regulatory Intelligence Chatbot project using RASA and custom NLP, reducing query response </w:t>
            </w:r>
          </w:p>
        </w:tc>
      </w:tr>
      <w:tr>
        <w:trPr>
          <w:trHeight w:hRule="exact" w:val="300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110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time for regulatory professionals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Collaborated with SMEs and business leads to design AI-driven healthcare pilots. </w:t>
            </w:r>
          </w:p>
        </w:tc>
      </w:tr>
      <w:tr>
        <w:trPr>
          <w:trHeight w:hRule="exact" w:val="27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Served as Innovation Lead during the Incubation Bootcamp, resulting in the award-winning product idea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Mentored three junior interns in Python, NLP, and AI ML fundamentals and developing POC solutions. </w:t>
            </w:r>
          </w:p>
        </w:tc>
      </w:tr>
      <w:tr>
        <w:trPr>
          <w:trHeight w:hRule="exact" w:val="28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Initiated a knowledge-sharing forum within the R&amp;I team to accelerate GenAI adoption across verticals. </w:t>
            </w:r>
          </w:p>
        </w:tc>
      </w:tr>
      <w:tr>
        <w:trPr>
          <w:trHeight w:hRule="exact" w:val="270"/>
        </w:trPr>
        <w:tc>
          <w:tcPr>
            <w:tcW w:type="dxa" w:w="57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38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Assistant System Engineer </w:t>
            </w:r>
          </w:p>
        </w:tc>
        <w:tc>
          <w:tcPr>
            <w:tcW w:type="dxa" w:w="48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Sep 2020 – Jun 2021 </w:t>
            </w:r>
          </w:p>
        </w:tc>
      </w:tr>
      <w:tr>
        <w:trPr>
          <w:trHeight w:hRule="exact" w:val="302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4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Contributed to data analysis and dashboard creation using Python for EHR Analytics. </w:t>
            </w:r>
          </w:p>
        </w:tc>
      </w:tr>
      <w:tr>
        <w:trPr>
          <w:trHeight w:hRule="exact" w:val="278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Supported early experiments with NLP for medical writing applications. </w:t>
            </w:r>
          </w:p>
        </w:tc>
      </w:tr>
      <w:tr>
        <w:trPr>
          <w:trHeight w:hRule="exact" w:val="40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Worked as an individual contributor in POC development to streamline EHR data to EDC </w:t>
            </w:r>
          </w:p>
        </w:tc>
      </w:tr>
      <w:tr>
        <w:trPr>
          <w:trHeight w:hRule="exact" w:val="424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6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Projects </w:t>
            </w:r>
          </w:p>
        </w:tc>
      </w:tr>
      <w:tr>
        <w:trPr>
          <w:trHeight w:hRule="exact" w:val="276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GenAI Based medical monitoring assistant: </w:t>
            </w:r>
          </w:p>
        </w:tc>
      </w:tr>
      <w:tr>
        <w:trPr>
          <w:trHeight w:hRule="exact" w:val="298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Developed an intelligent assistant using Azure OpenAI to support real time medical monitoring and </w:t>
            </w:r>
          </w:p>
        </w:tc>
      </w:tr>
      <w:tr>
        <w:trPr>
          <w:trHeight w:hRule="exact" w:val="28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decision making in clinical trials. </w:t>
            </w:r>
          </w:p>
        </w:tc>
      </w:tr>
      <w:tr>
        <w:trPr>
          <w:trHeight w:hRule="exact" w:val="274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API driven architecture to support medical monitoring queries and provide actionable insights </w:t>
            </w:r>
          </w:p>
        </w:tc>
      </w:tr>
      <w:tr>
        <w:trPr>
          <w:trHeight w:hRule="exact" w:val="300"/>
        </w:trPr>
        <w:tc>
          <w:tcPr>
            <w:tcW w:type="dxa" w:w="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" w:after="0"/>
              <w:ind w:left="0" w:right="0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2"/>
              </w:rPr>
              <w:t>•</w:t>
            </w:r>
          </w:p>
        </w:tc>
        <w:tc>
          <w:tcPr>
            <w:tcW w:type="dxa" w:w="972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2" w:after="0"/>
              <w:ind w:left="26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Literature insights Platform: </w:t>
            </w:r>
          </w:p>
        </w:tc>
      </w:tr>
      <w:tr>
        <w:trPr>
          <w:trHeight w:hRule="exact" w:val="280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Designed literature search and analysis platform to extract key insights from medical literature and support </w:t>
            </w:r>
          </w:p>
        </w:tc>
      </w:tr>
      <w:tr>
        <w:trPr>
          <w:trHeight w:hRule="exact" w:val="294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6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ICSR detection </w:t>
            </w:r>
          </w:p>
        </w:tc>
      </w:tr>
      <w:tr>
        <w:trPr>
          <w:trHeight w:hRule="exact" w:val="288"/>
        </w:trPr>
        <w:tc>
          <w:tcPr>
            <w:tcW w:type="dxa" w:w="13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114" w:firstLine="0"/>
              <w:jc w:val="right"/>
            </w:pPr>
            <w:r>
              <w:rPr>
                <w:rFonts w:ascii="Wingdings" w:hAnsi="Wingdings" w:eastAsia="Wingdings"/>
                <w:b w:val="0"/>
                <w:i w:val="0"/>
                <w:color w:val="000000"/>
                <w:sz w:val="22"/>
              </w:rPr>
              <w:t>▪</w:t>
            </w:r>
          </w:p>
        </w:tc>
        <w:tc>
          <w:tcPr>
            <w:tcW w:type="dxa" w:w="924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Using customized search, information retrieval and LLM based ICSR detection strategy automatic </w:t>
            </w:r>
          </w:p>
        </w:tc>
      </w:tr>
      <w:tr>
        <w:trPr>
          <w:trHeight w:hRule="exact" w:val="348"/>
        </w:trPr>
        <w:tc>
          <w:tcPr>
            <w:tcW w:type="dxa" w:w="105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6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categorization of article into distinct groups. </w:t>
            </w:r>
          </w:p>
        </w:tc>
      </w:tr>
    </w:tbl>
    <w:p>
      <w:pPr>
        <w:autoSpaceDN w:val="0"/>
        <w:autoSpaceDE w:val="0"/>
        <w:widowControl/>
        <w:spacing w:line="218" w:lineRule="auto" w:before="140" w:after="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T</w:t>
      </w:r>
      <w:r>
        <w:rPr>
          <w:rFonts w:ascii="EB Garamond" w:hAnsi="EB Garamond" w:eastAsia="EB Garamond"/>
          <w:b/>
          <w:i w:val="0"/>
          <w:color w:val="000000"/>
          <w:sz w:val="19"/>
        </w:rPr>
        <w:t xml:space="preserve">ECHNICAL </w:t>
      </w:r>
      <w:r>
        <w:rPr>
          <w:rFonts w:ascii="EB Garamond" w:hAnsi="EB Garamond" w:eastAsia="EB Garamond"/>
          <w:b/>
          <w:i w:val="0"/>
          <w:color w:val="000000"/>
          <w:sz w:val="24"/>
        </w:rPr>
        <w:t>S</w:t>
      </w:r>
      <w:r>
        <w:rPr>
          <w:rFonts w:ascii="EB Garamond" w:hAnsi="EB Garamond" w:eastAsia="EB Garamond"/>
          <w:b/>
          <w:i w:val="0"/>
          <w:color w:val="000000"/>
          <w:sz w:val="19"/>
        </w:rPr>
        <w:t>KILLS</w:t>
      </w:r>
    </w:p>
    <w:p>
      <w:pPr>
        <w:autoSpaceDN w:val="0"/>
        <w:autoSpaceDE w:val="0"/>
        <w:widowControl/>
        <w:spacing w:line="218" w:lineRule="auto" w:before="164" w:after="0"/>
        <w:ind w:left="0" w:right="0" w:firstLine="0"/>
        <w:jc w:val="center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>Python, Data Science, Machine Learning, NLP, Generative AI, RAG, Azure, OpenAI, REST APIs,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>AWS (Bedrock),</w:t>
      </w: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RASA </w:t>
      </w:r>
    </w:p>
    <w:p>
      <w:pPr>
        <w:autoSpaceDN w:val="0"/>
        <w:autoSpaceDE w:val="0"/>
        <w:widowControl/>
        <w:spacing w:line="216" w:lineRule="auto" w:before="210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406"/>
        </w:trPr>
        <w:tc>
          <w:tcPr>
            <w:tcW w:type="dxa" w:w="732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Rajarambapu Institute of Technology, Shivaji University </w:t>
            </w:r>
          </w:p>
        </w:tc>
        <w:tc>
          <w:tcPr>
            <w:tcW w:type="dxa" w:w="324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0" w:right="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Sangli, India </w:t>
            </w:r>
          </w:p>
        </w:tc>
      </w:tr>
    </w:tbl>
    <w:p>
      <w:pPr>
        <w:autoSpaceDN w:val="0"/>
        <w:autoSpaceDE w:val="0"/>
        <w:widowControl/>
        <w:spacing w:line="14" w:lineRule="exact" w:before="0" w:after="44"/>
        <w:ind w:left="0" w:right="0"/>
      </w:pPr>
    </w:p>
    <w:p>
      <w:pPr/>
    </w:p>
    <w:p>
      <w:pPr>
        <w:autoSpaceDN w:val="0"/>
        <w:autoSpaceDE w:val="0"/>
        <w:widowControl/>
        <w:spacing w:line="245" w:lineRule="auto" w:before="0" w:after="0"/>
        <w:ind w:left="28" w:right="1728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Bachelor of Technology (Mechanical Engineering): 7.62 CGPI </w:t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Yashawantrao Chavan Institute of Science, Satara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Higher Secondary (H.S.C): 81.38 % </w:t>
      </w:r>
    </w:p>
    <w:p>
      <w:pPr/>
    </w:p>
    <w:p>
      <w:pPr>
        <w:autoSpaceDN w:val="0"/>
        <w:autoSpaceDE w:val="0"/>
        <w:widowControl/>
        <w:spacing w:line="245" w:lineRule="auto" w:before="0" w:after="44"/>
        <w:ind w:left="1728" w:right="20" w:firstLine="0"/>
        <w:jc w:val="righ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Jul 2014 – May 2018 </w:t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Satara, India </w:t>
      </w:r>
      <w:r/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Jun 2012- May 2014 </w:t>
      </w:r>
    </w:p>
    <w:p>
      <w:pPr/>
    </w:p>
    <w:p>
      <w:pPr>
        <w:autoSpaceDN w:val="0"/>
        <w:tabs>
          <w:tab w:pos="9366" w:val="left"/>
        </w:tabs>
        <w:autoSpaceDE w:val="0"/>
        <w:widowControl/>
        <w:spacing w:line="218" w:lineRule="auto" w:before="0" w:after="4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Maharaja Sayajirao Vidyalaya, Satara </w:t>
      </w:r>
      <w:r>
        <w:tab/>
      </w:r>
      <w:r>
        <w:rPr>
          <w:rFonts w:ascii="EB Garamond" w:hAnsi="EB Garamond" w:eastAsia="EB Garamond"/>
          <w:b/>
          <w:i w:val="0"/>
          <w:color w:val="000000"/>
          <w:sz w:val="22"/>
        </w:rPr>
        <w:t xml:space="preserve">Satara, India </w:t>
      </w:r>
    </w:p>
    <w:p>
      <w:pPr/>
    </w:p>
    <w:p>
      <w:pPr>
        <w:autoSpaceDN w:val="0"/>
        <w:autoSpaceDE w:val="0"/>
        <w:widowControl/>
        <w:spacing w:line="218" w:lineRule="auto" w:before="0" w:after="0"/>
        <w:ind w:left="28" w:right="0" w:firstLine="0"/>
        <w:jc w:val="lef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Secondary School (S.S.C):  93.64 % </w:t>
      </w:r>
    </w:p>
    <w:p>
      <w:pPr/>
    </w:p>
    <w:p>
      <w:pPr>
        <w:autoSpaceDN w:val="0"/>
        <w:autoSpaceDE w:val="0"/>
        <w:widowControl/>
        <w:spacing w:line="218" w:lineRule="auto" w:before="0" w:after="0"/>
        <w:ind w:left="0" w:right="32" w:firstLine="0"/>
        <w:jc w:val="right"/>
      </w:pPr>
      <w:r>
        <w:rPr>
          <w:rFonts w:ascii="EB Garamond" w:hAnsi="EB Garamond" w:eastAsia="EB Garamond"/>
          <w:b w:val="0"/>
          <w:i w:val="0"/>
          <w:color w:val="000000"/>
          <w:sz w:val="22"/>
        </w:rPr>
        <w:t xml:space="preserve"> Jun 2011- May 2012 </w:t>
      </w:r>
    </w:p>
    <w:p>
      <w:pPr/>
    </w:p>
    <w:p>
      <w:pPr>
        <w:autoSpaceDN w:val="0"/>
        <w:autoSpaceDE w:val="0"/>
        <w:widowControl/>
        <w:spacing w:line="220" w:lineRule="exact" w:before="0" w:after="216"/>
        <w:ind w:left="0" w:right="0"/>
      </w:pPr>
    </w:p>
    <w:p>
      <w:pPr>
        <w:autoSpaceDN w:val="0"/>
        <w:autoSpaceDE w:val="0"/>
        <w:widowControl/>
        <w:spacing w:line="218" w:lineRule="auto" w:before="0" w:after="18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C</w:t>
      </w:r>
      <w:r>
        <w:rPr>
          <w:rFonts w:ascii="EB Garamond" w:hAnsi="EB Garamond" w:eastAsia="EB Garamond"/>
          <w:b/>
          <w:i w:val="0"/>
          <w:color w:val="000000"/>
          <w:sz w:val="19"/>
        </w:rPr>
        <w:t>ONFERENCES AND PRESENTATIONS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294"/>
        </w:trPr>
        <w:tc>
          <w:tcPr>
            <w:tcW w:type="dxa" w:w="5364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PharmaSUG 2025 </w:t>
            </w:r>
          </w:p>
        </w:tc>
        <w:tc>
          <w:tcPr>
            <w:tcW w:type="dxa" w:w="5206"/>
            <w:tcBorders>
              <w:top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68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 San Diego, USA</w:t>
            </w:r>
          </w:p>
        </w:tc>
      </w:tr>
      <w:tr>
        <w:trPr>
          <w:trHeight w:hRule="exact" w:val="574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The paper discussed how Generative AI can strategically streamline signal detection, safety reviews, and e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vidence gath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ering by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mining unstructured scientific and medical literature — driving faster, more informed clinical decisions.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1" w:history="1">
                <w:r>
                  <w:rPr>
                    <w:rStyle w:val="Hyperlink"/>
                  </w:rPr>
                  <w:t>Paper Link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288"/>
        </w:trPr>
        <w:tc>
          <w:tcPr>
            <w:tcW w:type="dxa" w:w="5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28" w:right="0" w:firstLine="0"/>
              <w:jc w:val="lef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PharmaSUG 2024 </w:t>
            </w:r>
          </w:p>
        </w:tc>
        <w:tc>
          <w:tcPr>
            <w:tcW w:type="dxa" w:w="52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30" w:firstLine="0"/>
              <w:jc w:val="right"/>
            </w:pP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 xml:space="preserve"> Baltimore, USA </w:t>
            </w:r>
          </w:p>
        </w:tc>
      </w:tr>
      <w:tr>
        <w:trPr>
          <w:trHeight w:hRule="exact" w:val="634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" w:right="144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Presented a paper on how large language models (LLMs) coupled with next-generati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on Graph d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atabase, search and analytic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engines etc. can create a comprehensive AI-based technology automation platform.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(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2" w:history="1">
                <w:r>
                  <w:rPr>
                    <w:rStyle w:val="Hyperlink"/>
                  </w:rPr>
                  <w:t>Paper Link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)</w:t>
                </w:r>
              </w:hyperlink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16" w:lineRule="auto" w:before="220" w:after="20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</w:t>
      </w:r>
      <w:r>
        <w:rPr>
          <w:rFonts w:ascii="EB Garamond" w:hAnsi="EB Garamond" w:eastAsia="EB Garamond"/>
          <w:b/>
          <w:i w:val="0"/>
          <w:color w:val="000000"/>
          <w:sz w:val="19"/>
        </w:rPr>
        <w:t xml:space="preserve">ATENTS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426"/>
        </w:trPr>
        <w:tc>
          <w:tcPr>
            <w:tcW w:type="dxa" w:w="10570"/>
            <w:gridSpan w:val="2"/>
            <w:tcBorders>
              <w:top w:sz="5.60000000000013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0" w:after="0"/>
              <w:ind w:left="38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●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Granted: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Automated Continuous Validation for Regulatory Compliance (2023) </w:t>
            </w:r>
          </w:p>
        </w:tc>
      </w:tr>
      <w:tr>
        <w:trPr>
          <w:trHeight w:hRule="exact" w:val="286"/>
        </w:trPr>
        <w:tc>
          <w:tcPr>
            <w:tcW w:type="dxa" w:w="9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4" w:after="0"/>
              <w:ind w:left="0" w:right="124" w:firstLine="0"/>
              <w:jc w:val="right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Proposed an automated approach for validating computer systems with dynamic components using synthetic </w:t>
            </w:r>
          </w:p>
        </w:tc>
      </w:tr>
      <w:tr>
        <w:trPr>
          <w:trHeight w:hRule="exact" w:val="636"/>
        </w:trPr>
        <w:tc>
          <w:tcPr>
            <w:tcW w:type="dxa" w:w="105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245" w:lineRule="auto" w:before="0" w:after="0"/>
              <w:ind w:left="388" w:right="3312" w:firstLine="0"/>
              <w:jc w:val="left"/>
            </w:pPr>
            <w:r>
              <w:tab/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>UAT and learning saturation testing: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EB Garamond" w:hAnsi="EB Garamond" w:eastAsia="EB Garamond"/>
                <w:b w:val="0"/>
                <w:i w:val="0"/>
                <w:color w:val="0000FF"/>
                <w:sz w:val="22"/>
                <w:u w:val="single"/>
              </w:rPr>
              <w:hyperlink r:id="rId13" w:history="1">
                <w:r>
                  <w:rPr>
                    <w:rStyle w:val="Hyperlink"/>
                  </w:rPr>
                  <w:t>Patent Link</w:t>
                </w:r>
              </w:hyperlink>
            </w: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●</w:t>
            </w:r>
            <w:r>
              <w:rPr>
                <w:rFonts w:ascii="EB Garamond" w:hAnsi="EB Garamond" w:eastAsia="EB Garamond"/>
                <w:b/>
                <w:i w:val="0"/>
                <w:color w:val="000000"/>
                <w:sz w:val="22"/>
              </w:rPr>
              <w:t>Filed: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 Automated Clinical Event and Endpoint Adjudication System (2024) </w:t>
            </w:r>
          </w:p>
        </w:tc>
      </w:tr>
    </w:tbl>
    <w:p>
      <w:pPr>
        <w:autoSpaceDN w:val="0"/>
        <w:autoSpaceDE w:val="0"/>
        <w:widowControl/>
        <w:spacing w:line="218" w:lineRule="auto" w:before="220" w:after="18"/>
        <w:ind w:left="28" w:right="0" w:firstLine="0"/>
        <w:jc w:val="left"/>
      </w:pPr>
      <w:r>
        <w:rPr>
          <w:rFonts w:ascii="EB Garamond" w:hAnsi="EB Garamond" w:eastAsia="EB Garamond"/>
          <w:b/>
          <w:i w:val="0"/>
          <w:color w:val="000000"/>
          <w:sz w:val="24"/>
        </w:rPr>
        <w:t>P</w:t>
      </w:r>
      <w:r>
        <w:rPr>
          <w:rFonts w:ascii="EB Garamond" w:hAnsi="EB Garamond" w:eastAsia="EB Garamond"/>
          <w:b/>
          <w:i w:val="0"/>
          <w:color w:val="000000"/>
          <w:sz w:val="19"/>
        </w:rPr>
        <w:t>UBLICATIONS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2"/>
        <w:gridCol w:w="5302"/>
      </w:tblGrid>
      <w:tr>
        <w:trPr>
          <w:trHeight w:hRule="exact" w:val="1998"/>
        </w:trPr>
        <w:tc>
          <w:tcPr>
            <w:tcW w:type="dxa" w:w="604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6" w:lineRule="auto" w:before="308" w:after="0"/>
              <w:ind w:left="388" w:right="124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/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/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9966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6" w:after="0"/>
              <w:ind w:left="144" w:right="0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The Future of Regulatory Intelligence with Conversational AI (2022) – Discusses chatbot-driven access to regulatory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knowledge.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576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AI/ML Approaches to Assisted Medical Writing – Part 1 &amp; 2 (2021–2022) – Covers abstractive vs. extractive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summarization methods. 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left"/>
            </w:pP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Future of Clinical Trial Documentation Management using Blockchain (2021) – Examines eTMF digitization and </w:t>
            </w:r>
            <w:r>
              <w:rPr>
                <w:rFonts w:ascii="EB Garamond" w:hAnsi="EB Garamond" w:eastAsia="EB Garamond"/>
                <w:b w:val="0"/>
                <w:i w:val="0"/>
                <w:color w:val="000000"/>
                <w:sz w:val="22"/>
              </w:rPr>
              <w:t xml:space="preserve">audit compliance.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436" w:right="800" w:bottom="1440" w:left="8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ohitkadam1410@gmail.com" TargetMode="External"/><Relationship Id="rId10" Type="http://schemas.openxmlformats.org/officeDocument/2006/relationships/hyperlink" Target="http://www.linkedin.com/in/rohitkadam315" TargetMode="External"/><Relationship Id="rId11" Type="http://schemas.openxmlformats.org/officeDocument/2006/relationships/hyperlink" Target="https://pharmasug.org/proceedings/2025/AI/PharmaSUG-2025-AI-331.pdf" TargetMode="External"/><Relationship Id="rId12" Type="http://schemas.openxmlformats.org/officeDocument/2006/relationships/hyperlink" Target="https://pharmasug.org/proceedings/2024/SD/PharmaSUG-2024-SD-397.pdf" TargetMode="External"/><Relationship Id="rId13" Type="http://schemas.openxmlformats.org/officeDocument/2006/relationships/hyperlink" Target="https://patents.google.com/patent/EP4141753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