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50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1152" w:right="1152" w:firstLine="0"/>
        <w:jc w:val="center"/>
      </w:pPr>
      <w:r>
        <w:rPr>
          <w:rFonts w:ascii="EB Garamond" w:hAnsi="EB Garamond" w:eastAsia="EB Garamond"/>
          <w:b/>
          <w:i w:val="0"/>
          <w:color w:val="000000"/>
          <w:sz w:val="32"/>
        </w:rPr>
        <w:t xml:space="preserve">Rohit Kadam </w:t>
      </w:r>
      <w:r/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Pune, India • </w:t>
      </w:r>
      <w:r>
        <w:rPr>
          <w:rFonts w:ascii="EB Garamond" w:hAnsi="EB Garamond" w:eastAsia="EB Garamond"/>
          <w:b w:val="0"/>
          <w:i w:val="0"/>
          <w:color w:val="0000FF"/>
          <w:sz w:val="22"/>
          <w:u w:val="single"/>
        </w:rPr>
        <w:hyperlink r:id="rId9" w:history="1">
          <w:r>
            <w:rPr>
              <w:rStyle w:val="Hyperlink"/>
            </w:rPr>
            <w:t>rohitkadam1410@gmail.com</w:t>
          </w:r>
        </w:hyperlink>
      </w: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 </w:t>
      </w:r>
      <w:r>
        <w:rPr>
          <w:rFonts w:ascii="EB Garamond" w:hAnsi="EB Garamond" w:eastAsia="EB Garamond"/>
          <w:b w:val="0"/>
          <w:i w:val="0"/>
          <w:color w:val="000000"/>
          <w:sz w:val="22"/>
        </w:rPr>
        <w:t>• +91 7767880235 •</w:t>
      </w: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 </w:t>
      </w:r>
      <w:r>
        <w:rPr>
          <w:rFonts w:ascii="EB Garamond" w:hAnsi="EB Garamond" w:eastAsia="EB Garamond"/>
          <w:b w:val="0"/>
          <w:i w:val="0"/>
          <w:color w:val="0000FF"/>
          <w:sz w:val="22"/>
          <w:u w:val="single"/>
        </w:rPr>
        <w:hyperlink r:id="rId10" w:history="1">
          <w:r>
            <w:rPr>
              <w:rStyle w:val="Hyperlink"/>
            </w:rPr>
            <w:t>linkedin.com/in/rohitkadam315</w:t>
          </w:r>
        </w:hyperlink>
      </w:r>
    </w:p>
    <w:p>
      <w:pPr>
        <w:autoSpaceDN w:val="0"/>
        <w:autoSpaceDE w:val="0"/>
        <w:widowControl/>
        <w:spacing w:line="245" w:lineRule="auto" w:before="286" w:after="0"/>
        <w:ind w:left="28" w:right="0" w:firstLine="0"/>
        <w:jc w:val="left"/>
      </w:pPr>
      <w:r>
        <w:rPr>
          <w:rFonts w:ascii="EB Garamond" w:hAnsi="EB Garamond"/>
          <w:b w:val="0"/>
          <w:i w:val="0"/>
          <w:color w:val="000000"/>
          <w:sz w:val="22"/>
        </w:rPr>
        <w:t xml:space="preserve">AI Engineer with 4+ years of experience in developing AI and GenAI-powered solutions, specializing in Azure and LLMs to drive business impact. Proven track record of leading AI initiatives that optimize resource allocation and enhance decision-making processes. Actively exploring the intersection of AI and life sciences through academic and industry-led innovation. </w:t>
      </w:r>
    </w:p>
    <w:p>
      <w:pPr>
        <w:autoSpaceDN w:val="0"/>
        <w:autoSpaceDE w:val="0"/>
        <w:widowControl/>
        <w:spacing w:line="218" w:lineRule="auto" w:before="208" w:after="20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4"/>
        </w:rPr>
        <w:t>PROFESSIONAL</w:t>
      </w:r>
      <w:r>
        <w:rPr>
          <w:rFonts w:ascii="EB Garamond" w:hAnsi="EB Garamond" w:eastAsia="EB Garamond"/>
          <w:b/>
          <w:i w:val="0"/>
          <w:color w:val="000000"/>
          <w:sz w:val="24"/>
        </w:rPr>
        <w:t>EXPERIENCE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651"/>
        <w:gridCol w:w="2651"/>
        <w:gridCol w:w="2651"/>
        <w:gridCol w:w="2651"/>
      </w:tblGrid>
      <w:tr>
        <w:trPr>
          <w:trHeight w:hRule="exact" w:val="424"/>
        </w:trPr>
        <w:tc>
          <w:tcPr>
            <w:tcW w:type="dxa" w:w="5764"/>
            <w:gridSpan w:val="3"/>
            <w:tcBorders>
              <w:top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30" w:after="0"/>
              <w:ind w:left="2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>T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18"/>
              </w:rPr>
              <w:t xml:space="preserve">ATA 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>C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18"/>
              </w:rPr>
              <w:t xml:space="preserve">ONSULTANCY 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>S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18"/>
              </w:rPr>
              <w:t>ERVICES</w:t>
            </w:r>
          </w:p>
        </w:tc>
        <w:tc>
          <w:tcPr>
            <w:tcW w:type="dxa" w:w="4806"/>
            <w:tcBorders>
              <w:top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30" w:after="0"/>
              <w:ind w:left="0" w:right="0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Pune, India </w:t>
            </w:r>
          </w:p>
        </w:tc>
      </w:tr>
      <w:tr>
        <w:trPr>
          <w:trHeight w:hRule="exact" w:val="272"/>
        </w:trPr>
        <w:tc>
          <w:tcPr>
            <w:tcW w:type="dxa" w:w="576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38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I.T. Analyst </w:t>
            </w:r>
          </w:p>
        </w:tc>
        <w:tc>
          <w:tcPr>
            <w:tcW w:type="dxa" w:w="48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0" w:right="0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Jan 2024 – Present </w:t>
            </w:r>
          </w:p>
        </w:tc>
      </w:tr>
      <w:tr>
        <w:trPr>
          <w:trHeight w:hRule="exact" w:val="302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6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4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Led the development of a GenAI-based medical assistant using Azure OpenAI which improved monitoring </w:t>
            </w:r>
          </w:p>
        </w:tc>
      </w:tr>
      <w:tr>
        <w:trPr>
          <w:trHeight w:hRule="exact" w:val="288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10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process efficiency. </w:t>
            </w:r>
          </w:p>
        </w:tc>
      </w:tr>
      <w:tr>
        <w:trPr>
          <w:trHeight w:hRule="exact" w:val="270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Directed a team of 4 in building modular LLM Applications using RAG- for literature management system. </w:t>
            </w:r>
          </w:p>
        </w:tc>
      </w:tr>
      <w:tr>
        <w:trPr>
          <w:trHeight w:hRule="exact" w:val="304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8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6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Acted as the primary point of contact for stakeholders during the pilot phase, streamlining solution rollouts. </w:t>
            </w:r>
          </w:p>
        </w:tc>
      </w:tr>
      <w:tr>
        <w:trPr>
          <w:trHeight w:hRule="exact" w:val="288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Conducted cross-team brainstorming sessions and stakeholder interviews to define business use cases in </w:t>
            </w:r>
          </w:p>
        </w:tc>
      </w:tr>
      <w:tr>
        <w:trPr>
          <w:trHeight w:hRule="exact" w:val="268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10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HealthTech. </w:t>
            </w:r>
          </w:p>
        </w:tc>
      </w:tr>
      <w:tr>
        <w:trPr>
          <w:trHeight w:hRule="exact" w:val="306"/>
        </w:trPr>
        <w:tc>
          <w:tcPr>
            <w:tcW w:type="dxa" w:w="576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8" w:after="0"/>
              <w:ind w:left="38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System Engineer </w:t>
            </w:r>
          </w:p>
        </w:tc>
        <w:tc>
          <w:tcPr>
            <w:tcW w:type="dxa" w:w="48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8" w:after="0"/>
              <w:ind w:left="0" w:right="0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Jul 2021 – Dec 2023 </w:t>
            </w:r>
          </w:p>
        </w:tc>
      </w:tr>
      <w:tr>
        <w:trPr>
          <w:trHeight w:hRule="exact" w:val="274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Developed the Regulatory Intelligence Chatbot project using RASA and custom NLP, reducing query response </w:t>
            </w:r>
          </w:p>
        </w:tc>
      </w:tr>
      <w:tr>
        <w:trPr>
          <w:trHeight w:hRule="exact" w:val="300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2" w:after="0"/>
              <w:ind w:left="110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time for regulatory professionals </w:t>
            </w:r>
          </w:p>
        </w:tc>
      </w:tr>
      <w:tr>
        <w:trPr>
          <w:trHeight w:hRule="exact" w:val="288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Collaborated with SMEs and business leads to design AI-driven healthcare pilots. </w:t>
            </w:r>
          </w:p>
        </w:tc>
      </w:tr>
      <w:tr>
        <w:trPr>
          <w:trHeight w:hRule="exact" w:val="272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Served as Innovation Lead during the Incubation Bootcamp, resulting in the award-winning product idea </w:t>
            </w:r>
          </w:p>
        </w:tc>
      </w:tr>
      <w:tr>
        <w:trPr>
          <w:trHeight w:hRule="exact" w:val="302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36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4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Mentored three junior interns in Python, NLP, and AI ML fundamentals and developing POC solutions. </w:t>
            </w:r>
          </w:p>
        </w:tc>
      </w:tr>
      <w:tr>
        <w:trPr>
          <w:trHeight w:hRule="exact" w:val="288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Initiated a knowledge-sharing forum within the R&amp;I team to accelerate GenAI adoption across verticals. </w:t>
            </w:r>
          </w:p>
        </w:tc>
      </w:tr>
      <w:tr>
        <w:trPr>
          <w:trHeight w:hRule="exact" w:val="270"/>
        </w:trPr>
        <w:tc>
          <w:tcPr>
            <w:tcW w:type="dxa" w:w="576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38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Assistant System Engineer </w:t>
            </w:r>
          </w:p>
        </w:tc>
        <w:tc>
          <w:tcPr>
            <w:tcW w:type="dxa" w:w="48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0" w:right="0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Sep 2020 – Jun 2021 </w:t>
            </w:r>
          </w:p>
        </w:tc>
      </w:tr>
      <w:tr>
        <w:trPr>
          <w:trHeight w:hRule="exact" w:val="302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6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4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Contributed to data analysis and dashboard creation using Python for EHR Analytics. </w:t>
            </w:r>
          </w:p>
        </w:tc>
      </w:tr>
      <w:tr>
        <w:trPr>
          <w:trHeight w:hRule="exact" w:val="278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Supported early experiments with NLP for medical writing applications. </w:t>
            </w:r>
          </w:p>
        </w:tc>
      </w:tr>
      <w:tr>
        <w:trPr>
          <w:trHeight w:hRule="exact" w:val="400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34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2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Worked as an individual contributor in POC development to streamline EHR data to EDC </w:t>
            </w:r>
          </w:p>
        </w:tc>
      </w:tr>
      <w:tr>
        <w:trPr>
          <w:trHeight w:hRule="exact" w:val="424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36" w:after="0"/>
              <w:ind w:left="2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Projects </w:t>
            </w:r>
          </w:p>
        </w:tc>
      </w:tr>
      <w:tr>
        <w:trPr>
          <w:trHeight w:hRule="exact" w:val="276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" w:after="0"/>
              <w:ind w:left="0" w:right="0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2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GenAI Based medical monitoring assistant: </w:t>
            </w:r>
          </w:p>
        </w:tc>
      </w:tr>
      <w:tr>
        <w:trPr>
          <w:trHeight w:hRule="exact" w:val="298"/>
        </w:trPr>
        <w:tc>
          <w:tcPr>
            <w:tcW w:type="dxa" w:w="13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4" w:after="0"/>
              <w:ind w:left="0" w:right="114" w:firstLine="0"/>
              <w:jc w:val="righ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▪</w:t>
            </w:r>
          </w:p>
        </w:tc>
        <w:tc>
          <w:tcPr>
            <w:tcW w:type="dxa" w:w="924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0" w:after="0"/>
              <w:ind w:left="14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Developed an intelligent assistant using Azure OpenAI to support real time medical monitoring and </w:t>
            </w:r>
          </w:p>
        </w:tc>
      </w:tr>
      <w:tr>
        <w:trPr>
          <w:trHeight w:hRule="exact" w:val="288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46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decision making in clinical trials. </w:t>
            </w:r>
          </w:p>
        </w:tc>
      </w:tr>
      <w:tr>
        <w:trPr>
          <w:trHeight w:hRule="exact" w:val="274"/>
        </w:trPr>
        <w:tc>
          <w:tcPr>
            <w:tcW w:type="dxa" w:w="13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" w:after="0"/>
              <w:ind w:left="0" w:right="114" w:firstLine="0"/>
              <w:jc w:val="righ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▪</w:t>
            </w:r>
          </w:p>
        </w:tc>
        <w:tc>
          <w:tcPr>
            <w:tcW w:type="dxa" w:w="924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4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API driven architecture to support medical monitoring queries and provide actionable insights </w:t>
            </w:r>
          </w:p>
        </w:tc>
      </w:tr>
      <w:tr>
        <w:trPr>
          <w:trHeight w:hRule="exact" w:val="300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" w:after="0"/>
              <w:ind w:left="0" w:right="0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2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2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Literature insights Platform: </w:t>
            </w:r>
          </w:p>
        </w:tc>
      </w:tr>
      <w:tr>
        <w:trPr>
          <w:trHeight w:hRule="exact" w:val="280"/>
        </w:trPr>
        <w:tc>
          <w:tcPr>
            <w:tcW w:type="dxa" w:w="13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" w:after="0"/>
              <w:ind w:left="0" w:right="114" w:firstLine="0"/>
              <w:jc w:val="righ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▪</w:t>
            </w:r>
          </w:p>
        </w:tc>
        <w:tc>
          <w:tcPr>
            <w:tcW w:type="dxa" w:w="924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0" w:right="0" w:firstLine="0"/>
              <w:jc w:val="center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Designed literature search and analysis platform to extract key insights from medical literature and support </w:t>
            </w:r>
          </w:p>
        </w:tc>
      </w:tr>
      <w:tr>
        <w:trPr>
          <w:trHeight w:hRule="exact" w:val="294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6" w:after="0"/>
              <w:ind w:left="146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ICSR detection </w:t>
            </w:r>
          </w:p>
        </w:tc>
      </w:tr>
      <w:tr>
        <w:trPr>
          <w:trHeight w:hRule="exact" w:val="288"/>
        </w:trPr>
        <w:tc>
          <w:tcPr>
            <w:tcW w:type="dxa" w:w="13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" w:after="0"/>
              <w:ind w:left="0" w:right="114" w:firstLine="0"/>
              <w:jc w:val="righ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▪</w:t>
            </w:r>
          </w:p>
        </w:tc>
        <w:tc>
          <w:tcPr>
            <w:tcW w:type="dxa" w:w="924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4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Using customized search, information retrieval and LLM based ICSR detection strategy automatic </w:t>
            </w:r>
          </w:p>
        </w:tc>
      </w:tr>
      <w:tr>
        <w:trPr>
          <w:trHeight w:hRule="exact" w:val="348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46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categorization of article into distinct groups. </w:t>
            </w:r>
          </w:p>
        </w:tc>
      </w:tr>
    </w:tbl>
    <w:p>
      <w:pPr>
        <w:autoSpaceDN w:val="0"/>
        <w:autoSpaceDE w:val="0"/>
        <w:widowControl/>
        <w:spacing w:line="218" w:lineRule="auto" w:before="140" w:after="0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4"/>
        </w:rPr>
        <w:t>T</w:t>
      </w:r>
      <w:r>
        <w:rPr>
          <w:rFonts w:ascii="EB Garamond" w:hAnsi="EB Garamond" w:eastAsia="EB Garamond"/>
          <w:b/>
          <w:i w:val="0"/>
          <w:color w:val="000000"/>
          <w:sz w:val="19"/>
        </w:rPr>
        <w:t xml:space="preserve">ECHNICAL </w:t>
      </w:r>
      <w:r>
        <w:rPr>
          <w:rFonts w:ascii="EB Garamond" w:hAnsi="EB Garamond" w:eastAsia="EB Garamond"/>
          <w:b/>
          <w:i w:val="0"/>
          <w:color w:val="000000"/>
          <w:sz w:val="24"/>
        </w:rPr>
        <w:t>S</w:t>
      </w:r>
      <w:r>
        <w:rPr>
          <w:rFonts w:ascii="EB Garamond" w:hAnsi="EB Garamond" w:eastAsia="EB Garamond"/>
          <w:b/>
          <w:i w:val="0"/>
          <w:color w:val="000000"/>
          <w:sz w:val="19"/>
        </w:rPr>
        <w:t>KILLS</w:t>
      </w:r>
    </w:p>
    <w:p>
      <w:pPr>
        <w:autoSpaceDN w:val="0"/>
        <w:autoSpaceDE w:val="0"/>
        <w:widowControl/>
        <w:spacing w:line="218" w:lineRule="auto" w:before="164" w:after="0"/>
        <w:ind w:left="0" w:right="0" w:firstLine="0"/>
        <w:jc w:val="center"/>
      </w:pPr>
      <w:r>
        <w:rPr>
          <w:rFonts w:ascii="EB Garamond" w:hAnsi="EB Garamond" w:eastAsia="EB Garamond"/>
          <w:b w:val="0"/>
          <w:i w:val="0"/>
          <w:color w:val="000000"/>
          <w:sz w:val="22"/>
        </w:rPr>
        <w:t>Python, Data Science, Machine Learning, NLP, Generative AI, RAG, Azure, OpenAI, REST APIs,</w:t>
      </w:r>
      <w:r>
        <w:rPr>
          <w:rFonts w:ascii="EB Garamond" w:hAnsi="EB Garamond" w:eastAsia="EB Garamond"/>
          <w:b w:val="0"/>
          <w:i w:val="0"/>
          <w:color w:val="000000"/>
          <w:sz w:val="22"/>
        </w:rPr>
        <w:t>AWS (Bedrock),</w:t>
      </w: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RASA </w:t>
      </w:r>
    </w:p>
    <w:p>
      <w:pPr>
        <w:autoSpaceDN w:val="0"/>
        <w:autoSpaceDE w:val="0"/>
        <w:widowControl/>
        <w:spacing w:line="216" w:lineRule="auto" w:before="210" w:after="20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4"/>
        </w:rPr>
        <w:t>EDUCATION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2"/>
        <w:gridCol w:w="5302"/>
      </w:tblGrid>
      <w:tr>
        <w:trPr>
          <w:trHeight w:hRule="exact" w:val="406"/>
        </w:trPr>
        <w:tc>
          <w:tcPr>
            <w:tcW w:type="dxa" w:w="7324"/>
            <w:tcBorders>
              <w:top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30" w:after="0"/>
              <w:ind w:left="2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Rajarambapu Institute of Technology, Shivaji University </w:t>
            </w:r>
          </w:p>
        </w:tc>
        <w:tc>
          <w:tcPr>
            <w:tcW w:type="dxa" w:w="3246"/>
            <w:tcBorders>
              <w:top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30" w:after="0"/>
              <w:ind w:left="0" w:right="0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Sangli, India </w:t>
            </w:r>
          </w:p>
        </w:tc>
      </w:tr>
    </w:tbl>
    <w:p>
      <w:pPr>
        <w:autoSpaceDN w:val="0"/>
        <w:autoSpaceDE w:val="0"/>
        <w:widowControl/>
        <w:spacing w:line="14" w:lineRule="exact" w:before="0" w:after="44"/>
        <w:ind w:left="0" w:right="0"/>
      </w:pPr>
    </w:p>
    <w:p>
      <w:pPr/>
    </w:p>
    <w:p>
      <w:pPr>
        <w:autoSpaceDN w:val="0"/>
        <w:autoSpaceDE w:val="0"/>
        <w:widowControl/>
        <w:spacing w:line="245" w:lineRule="auto" w:before="0" w:after="0"/>
        <w:ind w:left="28" w:right="1728" w:firstLine="0"/>
        <w:jc w:val="left"/>
      </w:pP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Bachelor of Technology (Mechanical Engineering): 7.62 CGPI </w:t>
      </w:r>
      <w:r>
        <w:rPr>
          <w:rFonts w:ascii="EB Garamond" w:hAnsi="EB Garamond" w:eastAsia="EB Garamond"/>
          <w:b/>
          <w:i w:val="0"/>
          <w:color w:val="000000"/>
          <w:sz w:val="22"/>
        </w:rPr>
        <w:t xml:space="preserve">Yashawantrao Chavan Institute of Science, Satara </w:t>
      </w:r>
      <w:r/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Higher Secondary (H.S.C): 81.38 % </w:t>
      </w:r>
    </w:p>
    <w:p>
      <w:pPr/>
    </w:p>
    <w:p>
      <w:pPr>
        <w:autoSpaceDN w:val="0"/>
        <w:autoSpaceDE w:val="0"/>
        <w:widowControl/>
        <w:spacing w:line="245" w:lineRule="auto" w:before="0" w:after="44"/>
        <w:ind w:left="1728" w:right="20" w:firstLine="0"/>
        <w:jc w:val="right"/>
      </w:pP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Jul 2014 – May 2018 </w:t>
      </w:r>
      <w:r>
        <w:rPr>
          <w:rFonts w:ascii="EB Garamond" w:hAnsi="EB Garamond" w:eastAsia="EB Garamond"/>
          <w:b/>
          <w:i w:val="0"/>
          <w:color w:val="000000"/>
          <w:sz w:val="22"/>
        </w:rPr>
        <w:t xml:space="preserve">Satara, India </w:t>
      </w:r>
      <w:r/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Jun 2012- May 2014 </w:t>
      </w:r>
    </w:p>
    <w:p>
      <w:pPr/>
    </w:p>
    <w:p>
      <w:pPr>
        <w:autoSpaceDN w:val="0"/>
        <w:tabs>
          <w:tab w:pos="9366" w:val="left"/>
        </w:tabs>
        <w:autoSpaceDE w:val="0"/>
        <w:widowControl/>
        <w:spacing w:line="218" w:lineRule="auto" w:before="0" w:after="40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2"/>
        </w:rPr>
        <w:t xml:space="preserve">Maharaja Sayajirao Vidyalaya, Satara </w:t>
      </w:r>
      <w:r>
        <w:tab/>
      </w:r>
      <w:r>
        <w:rPr>
          <w:rFonts w:ascii="EB Garamond" w:hAnsi="EB Garamond" w:eastAsia="EB Garamond"/>
          <w:b/>
          <w:i w:val="0"/>
          <w:color w:val="000000"/>
          <w:sz w:val="22"/>
        </w:rPr>
        <w:t xml:space="preserve">Satara, India </w:t>
      </w:r>
    </w:p>
    <w:p>
      <w:pPr/>
    </w:p>
    <w:p>
      <w:pPr>
        <w:autoSpaceDN w:val="0"/>
        <w:autoSpaceDE w:val="0"/>
        <w:widowControl/>
        <w:spacing w:line="218" w:lineRule="auto" w:before="0" w:after="0"/>
        <w:ind w:left="28" w:right="0" w:firstLine="0"/>
        <w:jc w:val="left"/>
      </w:pP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Secondary School (S.S.C):  93.64 % </w:t>
      </w:r>
    </w:p>
    <w:p>
      <w:pPr/>
    </w:p>
    <w:p>
      <w:pPr>
        <w:autoSpaceDN w:val="0"/>
        <w:autoSpaceDE w:val="0"/>
        <w:widowControl/>
        <w:spacing w:line="218" w:lineRule="auto" w:before="0" w:after="0"/>
        <w:ind w:left="0" w:right="32" w:firstLine="0"/>
        <w:jc w:val="right"/>
      </w:pP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 Jun 2011- May 2012 </w:t>
      </w:r>
    </w:p>
    <w:p>
      <w:pPr/>
    </w:p>
    <w:p>
      <w:pPr>
        <w:autoSpaceDN w:val="0"/>
        <w:autoSpaceDE w:val="0"/>
        <w:widowControl/>
        <w:spacing w:line="220" w:lineRule="exact" w:before="0" w:after="216"/>
        <w:ind w:left="0" w:right="0"/>
      </w:pPr>
    </w:p>
    <w:p>
      <w:pPr>
        <w:autoSpaceDN w:val="0"/>
        <w:autoSpaceDE w:val="0"/>
        <w:widowControl/>
        <w:spacing w:line="218" w:lineRule="auto" w:before="0" w:after="18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4"/>
        </w:rPr>
        <w:t>C</w:t>
      </w:r>
      <w:r>
        <w:rPr>
          <w:rFonts w:ascii="EB Garamond" w:hAnsi="EB Garamond" w:eastAsia="EB Garamond"/>
          <w:b/>
          <w:i w:val="0"/>
          <w:color w:val="000000"/>
          <w:sz w:val="19"/>
        </w:rPr>
        <w:t>ONFERENCES AND PRESENTATIONS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2"/>
        <w:gridCol w:w="5302"/>
      </w:tblGrid>
      <w:tr>
        <w:trPr>
          <w:trHeight w:hRule="exact" w:val="294"/>
        </w:trPr>
        <w:tc>
          <w:tcPr>
            <w:tcW w:type="dxa" w:w="5364"/>
            <w:tcBorders>
              <w:top w:sz="6.39999999999997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PharmaSUG 2025 </w:t>
            </w:r>
          </w:p>
        </w:tc>
        <w:tc>
          <w:tcPr>
            <w:tcW w:type="dxa" w:w="5206"/>
            <w:tcBorders>
              <w:top w:sz="6.39999999999997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0" w:right="68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 San Diego, USA</w:t>
            </w:r>
          </w:p>
        </w:tc>
      </w:tr>
      <w:tr>
        <w:trPr>
          <w:trHeight w:hRule="exact" w:val="574"/>
        </w:trPr>
        <w:tc>
          <w:tcPr>
            <w:tcW w:type="dxa" w:w="105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2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>The paper discussed how Generative AI can strategically streamline signal detection, safety reviews, and e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hyperlink r:id="rId11" w:history="1">
                <w:r>
                  <w:rPr>
                    <w:rStyle w:val="Hyperlink"/>
                  </w:rPr>
                  <w:t>vidence gath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ering by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mining unstructured scientific and medical literature — driving faster, more informed clinical decisions.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hyperlink r:id="rId11" w:history="1">
                <w:r>
                  <w:rPr>
                    <w:rStyle w:val="Hyperlink"/>
                  </w:rPr>
                  <w:t>(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FF"/>
                <w:sz w:val="22"/>
                <w:u w:val="single"/>
              </w:rPr>
              <w:hyperlink r:id="rId11" w:history="1">
                <w:r>
                  <w:rPr>
                    <w:rStyle w:val="Hyperlink"/>
                  </w:rPr>
                  <w:t>Paper Link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hyperlink r:id="rId11" w:history="1">
                <w:r>
                  <w:rPr>
                    <w:rStyle w:val="Hyperlink"/>
                  </w:rPr>
                  <w:t>)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 </w:t>
            </w:r>
          </w:p>
        </w:tc>
      </w:tr>
      <w:tr>
        <w:trPr>
          <w:trHeight w:hRule="exact" w:val="288"/>
        </w:trPr>
        <w:tc>
          <w:tcPr>
            <w:tcW w:type="dxa" w:w="53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PharmaSUG 2024 </w:t>
            </w:r>
          </w:p>
        </w:tc>
        <w:tc>
          <w:tcPr>
            <w:tcW w:type="dxa" w:w="52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0" w:right="30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 Baltimore, USA </w:t>
            </w:r>
          </w:p>
        </w:tc>
      </w:tr>
      <w:tr>
        <w:trPr>
          <w:trHeight w:hRule="exact" w:val="634"/>
        </w:trPr>
        <w:tc>
          <w:tcPr>
            <w:tcW w:type="dxa" w:w="105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28" w:right="144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>Presented a paper on how large language models (LLMs) coupled with next-generati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hyperlink r:id="rId12" w:history="1">
                <w:r>
                  <w:rPr>
                    <w:rStyle w:val="Hyperlink"/>
                  </w:rPr>
                  <w:t>on Graph d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atabase, search and analytic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engines etc. can create a comprehensive AI-based technology automation platform.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hyperlink r:id="rId12" w:history="1">
                <w:r>
                  <w:rPr>
                    <w:rStyle w:val="Hyperlink"/>
                  </w:rPr>
                  <w:t>(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FF"/>
                <w:sz w:val="22"/>
                <w:u w:val="single"/>
              </w:rPr>
              <w:hyperlink r:id="rId12" w:history="1">
                <w:r>
                  <w:rPr>
                    <w:rStyle w:val="Hyperlink"/>
                  </w:rPr>
                  <w:t>Paper Link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hyperlink r:id="rId12" w:history="1">
                <w:r>
                  <w:rPr>
                    <w:rStyle w:val="Hyperlink"/>
                  </w:rPr>
                  <w:t>)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 </w:t>
            </w:r>
          </w:p>
        </w:tc>
      </w:tr>
    </w:tbl>
    <w:p>
      <w:pPr>
        <w:autoSpaceDN w:val="0"/>
        <w:autoSpaceDE w:val="0"/>
        <w:widowControl/>
        <w:spacing w:line="216" w:lineRule="auto" w:before="220" w:after="20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4"/>
        </w:rPr>
        <w:t>P</w:t>
      </w:r>
      <w:r>
        <w:rPr>
          <w:rFonts w:ascii="EB Garamond" w:hAnsi="EB Garamond" w:eastAsia="EB Garamond"/>
          <w:b/>
          <w:i w:val="0"/>
          <w:color w:val="000000"/>
          <w:sz w:val="19"/>
        </w:rPr>
        <w:t xml:space="preserve">ATENTS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2"/>
        <w:gridCol w:w="5302"/>
      </w:tblGrid>
      <w:tr>
        <w:trPr>
          <w:trHeight w:hRule="exact" w:val="426"/>
        </w:trPr>
        <w:tc>
          <w:tcPr>
            <w:tcW w:type="dxa" w:w="10570"/>
            <w:gridSpan w:val="2"/>
            <w:tcBorders>
              <w:top w:sz="5.60000000000013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30" w:after="0"/>
              <w:ind w:left="38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●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>Granted: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 Automated Continuous Validation for Regulatory Compliance (2023) </w:t>
            </w:r>
          </w:p>
        </w:tc>
      </w:tr>
      <w:tr>
        <w:trPr>
          <w:trHeight w:hRule="exact" w:val="286"/>
        </w:trPr>
        <w:tc>
          <w:tcPr>
            <w:tcW w:type="dxa" w:w="9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4" w:after="0"/>
              <w:ind w:left="0" w:right="12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6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4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Proposed an automated approach for validating computer systems with dynamic components using synthetic </w:t>
            </w:r>
          </w:p>
        </w:tc>
      </w:tr>
      <w:tr>
        <w:trPr>
          <w:trHeight w:hRule="exact" w:val="636"/>
        </w:trPr>
        <w:tc>
          <w:tcPr>
            <w:tcW w:type="dxa" w:w="105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08" w:val="left"/>
              </w:tabs>
              <w:autoSpaceDE w:val="0"/>
              <w:widowControl/>
              <w:spacing w:line="245" w:lineRule="auto" w:before="0" w:after="0"/>
              <w:ind w:left="388" w:right="3312" w:firstLine="0"/>
              <w:jc w:val="left"/>
            </w:pPr>
            <w:r>
              <w:tab/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>UAT and learning saturation testing: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 </w:t>
            </w:r>
            <w:r>
              <w:rPr>
                <w:rFonts w:ascii="EB Garamond" w:hAnsi="EB Garamond" w:eastAsia="EB Garamond"/>
                <w:b w:val="0"/>
                <w:i w:val="0"/>
                <w:color w:val="0000FF"/>
                <w:sz w:val="22"/>
                <w:u w:val="single"/>
              </w:rPr>
              <w:hyperlink r:id="rId13" w:history="1">
                <w:r>
                  <w:rPr>
                    <w:rStyle w:val="Hyperlink"/>
                  </w:rPr>
                  <w:t>Patent Link</w:t>
                </w:r>
              </w:hyperlink>
            </w: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●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>Filed: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 Automated Clinical Event and Endpoint Adjudication System (2024) </w:t>
            </w:r>
          </w:p>
        </w:tc>
      </w:tr>
    </w:tbl>
    <w:p>
      <w:pPr>
        <w:autoSpaceDN w:val="0"/>
        <w:autoSpaceDE w:val="0"/>
        <w:widowControl/>
        <w:spacing w:line="218" w:lineRule="auto" w:before="220" w:after="18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4"/>
        </w:rPr>
        <w:t>P</w:t>
      </w:r>
      <w:r>
        <w:rPr>
          <w:rFonts w:ascii="EB Garamond" w:hAnsi="EB Garamond" w:eastAsia="EB Garamond"/>
          <w:b/>
          <w:i w:val="0"/>
          <w:color w:val="000000"/>
          <w:sz w:val="19"/>
        </w:rPr>
        <w:t>UBLICATIONS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2"/>
        <w:gridCol w:w="5302"/>
      </w:tblGrid>
      <w:tr>
        <w:trPr>
          <w:trHeight w:hRule="exact" w:val="1998"/>
        </w:trPr>
        <w:tc>
          <w:tcPr>
            <w:tcW w:type="dxa" w:w="604"/>
            <w:tcBorders>
              <w:top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6" w:lineRule="auto" w:before="308" w:after="0"/>
              <w:ind w:left="388" w:right="124" w:firstLine="0"/>
              <w:jc w:val="both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/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/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966"/>
            <w:tcBorders>
              <w:top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86" w:after="0"/>
              <w:ind w:left="14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The Future of Regulatory Intelligence with Conversational AI (2022) – Discusses chatbot-driven access to regulatory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knowledge. </w:t>
            </w:r>
          </w:p>
          <w:p>
            <w:pPr>
              <w:autoSpaceDN w:val="0"/>
              <w:autoSpaceDE w:val="0"/>
              <w:widowControl/>
              <w:spacing w:line="245" w:lineRule="auto" w:before="0" w:after="0"/>
              <w:ind w:left="144" w:right="576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AI/ML Approaches to Assisted Medical Writing – Part 1 &amp; 2 (2021–2022) – Covers abstractive vs. extractive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summarization methods. </w:t>
            </w:r>
          </w:p>
          <w:p>
            <w:pPr>
              <w:autoSpaceDN w:val="0"/>
              <w:autoSpaceDE w:val="0"/>
              <w:widowControl/>
              <w:spacing w:line="245" w:lineRule="auto" w:before="0" w:after="0"/>
              <w:ind w:left="144" w:right="144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Future of Clinical Trial Documentation Management using Blockchain (2021) – Examines eTMF digitization and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audit compliance.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436" w:right="800" w:bottom="1440" w:left="836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rohitkadam1410@gmail.com" TargetMode="External"/><Relationship Id="rId10" Type="http://schemas.openxmlformats.org/officeDocument/2006/relationships/hyperlink" Target="http://www.linkedin.com/in/rohitkadam315" TargetMode="External"/><Relationship Id="rId11" Type="http://schemas.openxmlformats.org/officeDocument/2006/relationships/hyperlink" Target="https://pharmasug.org/proceedings/2025/AI/PharmaSUG-2025-AI-331.pdf" TargetMode="External"/><Relationship Id="rId12" Type="http://schemas.openxmlformats.org/officeDocument/2006/relationships/hyperlink" Target="https://pharmasug.org/proceedings/2024/SD/PharmaSUG-2024-SD-397.pdf" TargetMode="External"/><Relationship Id="rId13" Type="http://schemas.openxmlformats.org/officeDocument/2006/relationships/hyperlink" Target="https://patents.google.com/patent/EP4141753A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