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152" w:right="1152" w:firstLine="0"/>
        <w:jc w:val="center"/>
      </w:pPr>
      <w:r>
        <w:rPr>
          <w:rFonts w:ascii="EB Garamond" w:hAnsi="EB Garamond" w:eastAsia="EB Garamond"/>
          <w:b/>
          <w:i w:val="0"/>
          <w:color w:val="000000"/>
          <w:sz w:val="32"/>
        </w:rPr>
        <w:t xml:space="preserve">Rohit Kadam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>Pune, India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9" w:history="1">
          <w:r>
            <w:rPr>
              <w:rStyle w:val="Hyperlink"/>
            </w:rPr>
            <w:t>rohitkadam1410@gmail.com</w:t>
          </w:r>
        </w:hyperlink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• +91 7767880235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10" w:history="1">
          <w:r>
            <w:rPr>
              <w:rStyle w:val="Hyperlink"/>
            </w:rPr>
            <w:t>linkedin.com/in/rohitkadam315</w:t>
          </w:r>
        </w:hyperlink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EB Garamond" w:hAnsi="EB Garamond"/>
          <w:b w:val="0"/>
          <w:i w:val="0"/>
          <w:color w:val="000000"/>
          <w:sz w:val="22"/>
        </w:rPr>
        <w:t xml:space="preserve">Experienced Data Scientist with over 4 years in developing scalable ML and Generative AI solutions, specializing in LLM Application Frameworks and Prompt Engineering. Granted patent holder, published author, and PharmaSUG presenter with expertise in integrating AI/LLM Models into Applications/APIs. Actively exploring the intersection of AI and life sciences through academic and industry-led innovation. </w:t>
      </w:r>
    </w:p>
    <w:p>
      <w:pPr>
        <w:autoSpaceDN w:val="0"/>
        <w:autoSpaceDE w:val="0"/>
        <w:widowControl/>
        <w:spacing w:line="218" w:lineRule="auto" w:before="208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PROFESSIONAL</w:t>
      </w:r>
      <w:r>
        <w:rPr>
          <w:rFonts w:ascii="EB Garamond" w:hAnsi="EB Garamond" w:eastAsia="EB Garamond"/>
          <w:b/>
          <w:i w:val="0"/>
          <w:color w:val="000000"/>
          <w:sz w:val="24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651"/>
        <w:gridCol w:w="2651"/>
        <w:gridCol w:w="2651"/>
        <w:gridCol w:w="2651"/>
      </w:tblGrid>
      <w:tr>
        <w:trPr>
          <w:trHeight w:hRule="exact" w:val="424"/>
        </w:trPr>
        <w:tc>
          <w:tcPr>
            <w:tcW w:type="dxa" w:w="5764"/>
            <w:gridSpan w:val="3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T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ATA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C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ONSULTANCY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S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>ERVICES</w:t>
            </w:r>
          </w:p>
        </w:tc>
        <w:tc>
          <w:tcPr>
            <w:tcW w:type="dxa" w:w="4806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Pune, India </w:t>
            </w:r>
          </w:p>
        </w:tc>
      </w:tr>
      <w:tr>
        <w:trPr>
          <w:trHeight w:hRule="exact" w:val="272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I.T. Analyst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Jan 2024 – Present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Led the development of a GenAI-based medical assistant using Azure OpenAI which improved monitoring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process efficiency. </w:t>
            </w:r>
          </w:p>
        </w:tc>
      </w:tr>
      <w:tr>
        <w:trPr>
          <w:trHeight w:hRule="exact" w:val="27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Directed a team of 4 in architecting modular LLM Applications using RAG APIs, improving literature management efficiency by 25%. </w:t>
            </w:r>
          </w:p>
        </w:tc>
      </w:tr>
      <w:tr>
        <w:trPr>
          <w:trHeight w:hRule="exact" w:val="30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6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Acted as the primary point of contact for stakeholders during the pilot phase, streamlining solution rollouts.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Conducted cross-team brainstorming sessions and stakeholder interviews to define business use cases in </w:t>
            </w:r>
          </w:p>
        </w:tc>
      </w:tr>
      <w:tr>
        <w:trPr>
          <w:trHeight w:hRule="exact" w:val="26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HealthTech. </w:t>
            </w:r>
          </w:p>
        </w:tc>
      </w:tr>
      <w:tr>
        <w:trPr>
          <w:trHeight w:hRule="exact" w:val="306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Jul 2021 – Dec 2023 </w:t>
            </w:r>
          </w:p>
        </w:tc>
      </w:tr>
      <w:tr>
        <w:trPr>
          <w:trHeight w:hRule="exact" w:val="27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the Regulatory Intelligence Chatbot project using RASA and custom NLP, reducing query response </w:t>
            </w:r>
          </w:p>
        </w:tc>
      </w:tr>
      <w:tr>
        <w:trPr>
          <w:trHeight w:hRule="exact" w:val="300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time for regulatory professionals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Collaborated with SMEs and business leads to design AI-driven healthcare pilots. </w:t>
            </w:r>
          </w:p>
        </w:tc>
      </w:tr>
      <w:tr>
        <w:trPr>
          <w:trHeight w:hRule="exact" w:val="27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Served as Innovation Lead during the Incubation Bootcamp, resulting in the award-winning product idea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Mentored three junior interns in Python, NLP, and AI ML fundamentals and developing POC solutions.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Initiated a knowledge-sharing forum within the R&amp;I team to accelerate GenAI adoption across verticals. </w:t>
            </w:r>
          </w:p>
        </w:tc>
      </w:tr>
      <w:tr>
        <w:trPr>
          <w:trHeight w:hRule="exact" w:val="270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Assistant 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Sep 2020 – Jun 2021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Contributed to data analysis and dashboard creation using Python for EHR Analytics. </w:t>
            </w:r>
          </w:p>
        </w:tc>
      </w:tr>
      <w:tr>
        <w:trPr>
          <w:trHeight w:hRule="exact" w:val="27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Supported early experiments with NLP for medical writing applications. </w:t>
            </w:r>
          </w:p>
        </w:tc>
      </w:tr>
      <w:tr>
        <w:trPr>
          <w:trHeight w:hRule="exact" w:val="4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Worked as an individual contributor in POC development to streamline EHR data to EDC </w:t>
            </w:r>
          </w:p>
        </w:tc>
      </w:tr>
      <w:tr>
        <w:trPr>
          <w:trHeight w:hRule="exact" w:val="42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6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Projects </w:t>
            </w:r>
          </w:p>
        </w:tc>
      </w:tr>
      <w:tr>
        <w:trPr>
          <w:trHeight w:hRule="exact" w:val="276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GenAI Based medical monitoring assistant: </w:t>
            </w:r>
          </w:p>
        </w:tc>
      </w:tr>
      <w:tr>
        <w:trPr>
          <w:trHeight w:hRule="exact" w:val="29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an intelligent assistant using Azure OpenAI to support real time medical monitoring and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decision making in clinical trials. </w:t>
            </w:r>
          </w:p>
        </w:tc>
      </w:tr>
      <w:tr>
        <w:trPr>
          <w:trHeight w:hRule="exact" w:val="274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API driven architecture to support medical monitoring queries and provide actionable insights </w:t>
            </w:r>
          </w:p>
        </w:tc>
      </w:tr>
      <w:tr>
        <w:trPr>
          <w:trHeight w:hRule="exact" w:val="3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Literature insights Platform: </w:t>
            </w:r>
          </w:p>
        </w:tc>
      </w:tr>
      <w:tr>
        <w:trPr>
          <w:trHeight w:hRule="exact" w:val="280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center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Designed literature search and analysis platform to extract key insights from medical literature and support </w:t>
            </w:r>
          </w:p>
        </w:tc>
      </w:tr>
      <w:tr>
        <w:trPr>
          <w:trHeight w:hRule="exact" w:val="29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6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ICSR detection </w:t>
            </w:r>
          </w:p>
        </w:tc>
      </w:tr>
      <w:tr>
        <w:trPr>
          <w:trHeight w:hRule="exact" w:val="28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Using customized search, information retrieval and LLM based ICSR detection strategy automatic </w:t>
            </w:r>
          </w:p>
        </w:tc>
      </w:tr>
      <w:tr>
        <w:trPr>
          <w:trHeight w:hRule="exact" w:val="34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categorization of article into distinct groups. </w:t>
            </w:r>
          </w:p>
        </w:tc>
      </w:tr>
    </w:tbl>
    <w:p>
      <w:pPr>
        <w:autoSpaceDN w:val="0"/>
        <w:autoSpaceDE w:val="0"/>
        <w:widowControl/>
        <w:spacing w:line="218" w:lineRule="auto" w:before="140" w:after="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T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ECHNICAL </w:t>
      </w:r>
      <w:r>
        <w:rPr>
          <w:rFonts w:ascii="EB Garamond" w:hAnsi="EB Garamond" w:eastAsia="EB Garamond"/>
          <w:b/>
          <w:i w:val="0"/>
          <w:color w:val="000000"/>
          <w:sz w:val="24"/>
        </w:rPr>
        <w:t>S</w:t>
      </w:r>
      <w:r>
        <w:rPr>
          <w:rFonts w:ascii="EB Garamond" w:hAnsi="EB Garamond" w:eastAsia="EB Garamond"/>
          <w:b/>
          <w:i w:val="0"/>
          <w:color w:val="000000"/>
          <w:sz w:val="19"/>
        </w:rPr>
        <w:t>KILLS</w:t>
      </w:r>
    </w:p>
    <w:p>
      <w:pPr>
        <w:autoSpaceDN w:val="0"/>
        <w:autoSpaceDE w:val="0"/>
        <w:widowControl/>
        <w:spacing w:line="218" w:lineRule="auto" w:before="164" w:after="0"/>
        <w:ind w:left="0" w:right="0" w:firstLine="0"/>
        <w:jc w:val="center"/>
      </w:pPr>
      <w:r>
        <w:rPr>
          <w:rFonts w:ascii="EB Garamond" w:hAnsi="EB Garamond"/>
          <w:b w:val="0"/>
          <w:i w:val="0"/>
          <w:color w:val="000000"/>
          <w:sz w:val="22"/>
        </w:rPr>
        <w:t>Programming Languages: Python</w:t>
        <w:br/>
        <w:t>AI/ML Tools: Data Science, Machine Learning, NLP, Generative AI, LLM Fine Tuning, Prompt Engineering</w:t>
        <w:br/>
        <w:t>Cloud Platforms: Azure, AWS (Bedrock)</w:t>
        <w:br/>
        <w:t>APIs: REST APIs, RAG</w:t>
        <w:br/>
        <w:t xml:space="preserve">Frameworks: OpenAI, RASA </w:t>
      </w:r>
    </w:p>
    <w:p>
      <w:pPr>
        <w:autoSpaceDN w:val="0"/>
        <w:autoSpaceDE w:val="0"/>
        <w:widowControl/>
        <w:spacing w:line="216" w:lineRule="auto" w:before="21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06"/>
        </w:trPr>
        <w:tc>
          <w:tcPr>
            <w:tcW w:type="dxa" w:w="732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Rajarambapu Institute of Technology, Shivaji University </w:t>
            </w:r>
          </w:p>
        </w:tc>
        <w:tc>
          <w:tcPr>
            <w:tcW w:type="dxa" w:w="324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Sangli, India </w:t>
            </w:r>
          </w:p>
        </w:tc>
      </w:tr>
    </w:tbl>
    <w:p>
      <w:pPr>
        <w:autoSpaceDN w:val="0"/>
        <w:autoSpaceDE w:val="0"/>
        <w:widowControl/>
        <w:spacing w:line="14" w:lineRule="exact" w:before="0" w:after="44"/>
        <w:ind w:left="0" w:right="0"/>
      </w:pPr>
    </w:p>
    <w:p>
      <w:pPr/>
    </w:p>
    <w:p>
      <w:pPr>
        <w:autoSpaceDN w:val="0"/>
        <w:autoSpaceDE w:val="0"/>
        <w:widowControl/>
        <w:spacing w:line="245" w:lineRule="auto" w:before="0" w:after="0"/>
        <w:ind w:left="28" w:right="1728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Bachelor of Technology (Mechanical Engineering): 7.62 CGPI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Yashawantrao Chavan Institute of Science, Satara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Higher Secondary (H.S.C): 81.38 % </w:t>
      </w:r>
    </w:p>
    <w:p>
      <w:pPr/>
    </w:p>
    <w:p>
      <w:pPr>
        <w:autoSpaceDN w:val="0"/>
        <w:autoSpaceDE w:val="0"/>
        <w:widowControl/>
        <w:spacing w:line="245" w:lineRule="auto" w:before="0" w:after="44"/>
        <w:ind w:left="1728" w:right="20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Jul 2014 – May 2018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Jun 2012- May 2014 </w:t>
      </w:r>
    </w:p>
    <w:p>
      <w:pPr/>
    </w:p>
    <w:p>
      <w:pPr>
        <w:autoSpaceDN w:val="0"/>
        <w:tabs>
          <w:tab w:pos="9366" w:val="left"/>
        </w:tabs>
        <w:autoSpaceDE w:val="0"/>
        <w:widowControl/>
        <w:spacing w:line="218" w:lineRule="auto" w:before="0" w:after="4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Maharaja Sayajirao Vidyalaya, Satara </w:t>
      </w:r>
      <w:r>
        <w:tab/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Secondary School (S.S.C):  93.64 %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0" w:right="32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Jun 2011- May 2012 </w:t>
      </w:r>
    </w:p>
    <w:p>
      <w:pPr/>
    </w:p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autoSpaceDE w:val="0"/>
        <w:widowControl/>
        <w:spacing w:line="218" w:lineRule="auto" w:before="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C</w:t>
      </w:r>
      <w:r>
        <w:rPr>
          <w:rFonts w:ascii="EB Garamond" w:hAnsi="EB Garamond" w:eastAsia="EB Garamond"/>
          <w:b/>
          <w:i w:val="0"/>
          <w:color w:val="000000"/>
          <w:sz w:val="19"/>
        </w:rPr>
        <w:t>ONFERENCES AND PRESENTATIONS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294"/>
        </w:trPr>
        <w:tc>
          <w:tcPr>
            <w:tcW w:type="dxa" w:w="5364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2025 </w:t>
            </w:r>
          </w:p>
        </w:tc>
        <w:tc>
          <w:tcPr>
            <w:tcW w:type="dxa" w:w="5206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68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San Diego, USA</w:t>
            </w:r>
          </w:p>
        </w:tc>
      </w:tr>
      <w:tr>
        <w:trPr>
          <w:trHeight w:hRule="exact" w:val="57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The paper discussed how Generative AI can strategically streamline signal detection, safety reviews, and e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vidence gath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ering by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mining unstructured scientific and medical literature — driving faster, more informed clinical decisions.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1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288"/>
        </w:trPr>
        <w:tc>
          <w:tcPr>
            <w:tcW w:type="dxa" w:w="5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2024 </w:t>
            </w:r>
          </w:p>
        </w:tc>
        <w:tc>
          <w:tcPr>
            <w:tcW w:type="dxa" w:w="52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3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Baltimore, USA </w:t>
            </w:r>
          </w:p>
        </w:tc>
      </w:tr>
      <w:tr>
        <w:trPr>
          <w:trHeight w:hRule="exact" w:val="63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Presented a paper on how large language models (LLMs) coupled with next-generati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on Graph d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atabase, search and analytic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engines etc. can create a comprehensive AI-based technology automation platform.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2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16" w:lineRule="auto" w:before="22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ATENTS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26"/>
        </w:trPr>
        <w:tc>
          <w:tcPr>
            <w:tcW w:type="dxa" w:w="10570"/>
            <w:gridSpan w:val="2"/>
            <w:tcBorders>
              <w:top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38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Granted: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Continuous Validation for Regulatory Compliance (2023) </w:t>
            </w:r>
          </w:p>
        </w:tc>
      </w:tr>
      <w:tr>
        <w:trPr>
          <w:trHeight w:hRule="exact" w:val="286"/>
        </w:trPr>
        <w:tc>
          <w:tcPr>
            <w:tcW w:type="dxa" w:w="9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4" w:after="0"/>
              <w:ind w:left="0" w:right="12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Proposed an automated approach for validating computer systems with dynamic components using synthetic </w:t>
            </w:r>
          </w:p>
        </w:tc>
      </w:tr>
      <w:tr>
        <w:trPr>
          <w:trHeight w:hRule="exact" w:val="636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8" w:val="left"/>
              </w:tabs>
              <w:autoSpaceDE w:val="0"/>
              <w:widowControl/>
              <w:spacing w:line="245" w:lineRule="auto" w:before="0" w:after="0"/>
              <w:ind w:left="388" w:right="3312" w:firstLine="0"/>
              <w:jc w:val="left"/>
            </w:pPr>
            <w:r>
              <w:tab/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UAT and learning saturation testing: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3" w:history="1">
                <w:r>
                  <w:rPr>
                    <w:rStyle w:val="Hyperlink"/>
                  </w:rPr>
                  <w:t>Patent Link</w:t>
                </w:r>
              </w:hyperlink>
            </w: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Filed: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Clinical Event and Endpoint Adjudication System (2024) </w:t>
            </w:r>
          </w:p>
        </w:tc>
      </w:tr>
    </w:tbl>
    <w:p>
      <w:pPr>
        <w:autoSpaceDN w:val="0"/>
        <w:autoSpaceDE w:val="0"/>
        <w:widowControl/>
        <w:spacing w:line="218" w:lineRule="auto" w:before="22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>UBLICATIONS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1998"/>
        </w:trPr>
        <w:tc>
          <w:tcPr>
            <w:tcW w:type="dxa" w:w="60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auto" w:before="308" w:after="0"/>
              <w:ind w:left="388" w:right="124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96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6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The Future of Regulatory Intelligence with Conversational AI (2022) – Discusses chatbot-driven access to regulatory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knowledge.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576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AI/ML Approaches to Assisted Medical Writing – Part 1 &amp; 2 (2021–2022) – Covers abstractive vs. extractive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summarization methods.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Future of Clinical Trial Documentation Management using Blockchain (2021) – Examines eTMF digitization and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audit compliance.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36" w:right="800" w:bottom="1440" w:left="8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ohitkadam1410@gmail.com" TargetMode="External"/><Relationship Id="rId10" Type="http://schemas.openxmlformats.org/officeDocument/2006/relationships/hyperlink" Target="http://www.linkedin.com/in/rohitkadam315" TargetMode="External"/><Relationship Id="rId11" Type="http://schemas.openxmlformats.org/officeDocument/2006/relationships/hyperlink" Target="https://pharmasug.org/proceedings/2025/AI/PharmaSUG-2025-AI-331.pdf" TargetMode="External"/><Relationship Id="rId12" Type="http://schemas.openxmlformats.org/officeDocument/2006/relationships/hyperlink" Target="https://pharmasug.org/proceedings/2024/SD/PharmaSUG-2024-SD-397.pdf" TargetMode="External"/><Relationship Id="rId13" Type="http://schemas.openxmlformats.org/officeDocument/2006/relationships/hyperlink" Target="https://patents.google.com/patent/EP4141753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