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546100</wp:posOffset>
            </wp:positionV>
            <wp:extent cx="889000" cy="901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90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Inter Medium" w:hAnsi="Inter Medium" w:eastAsia="Inter Medium"/>
          <w:b w:val="0"/>
          <w:i w:val="0"/>
          <w:color w:val="000000"/>
          <w:sz w:val="43"/>
        </w:rPr>
        <w:t>RK</w:t>
      </w:r>
    </w:p>
    <w:p>
      <w:pPr>
        <w:autoSpaceDN w:val="0"/>
        <w:autoSpaceDE w:val="0"/>
        <w:widowControl/>
        <w:spacing w:line="245" w:lineRule="auto" w:before="624" w:after="12"/>
        <w:ind w:left="3600" w:right="3600" w:firstLine="0"/>
        <w:jc w:val="center"/>
      </w:pPr>
      <w:r>
        <w:rPr>
          <w:rFonts w:ascii="Rubik" w:hAnsi="Rubik" w:eastAsia="Rubik"/>
          <w:b/>
          <w:i w:val="0"/>
          <w:color w:val="000000"/>
          <w:sz w:val="28"/>
        </w:rPr>
        <w:t xml:space="preserve">ROHIT KADAM </w:t>
      </w:r>
      <w:r/>
      <w:r>
        <w:rPr>
          <w:rFonts w:ascii="Inter" w:hAnsi="Inter" w:eastAsia="Inter"/>
          <w:b w:val="0"/>
          <w:i w:val="0"/>
          <w:color w:val="008CFF"/>
          <w:sz w:val="23"/>
        </w:rPr>
        <w:t>Data Science Researcher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2" w:firstLine="0"/>
              <w:jc w:val="righ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+91 7767880235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rohitkadam1410@gmail.com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hyperlink r:id="rId11" w:history="1">
                <w:r>
                  <w:rPr>
                    <w:rStyle w:val="Hyperlink"/>
                  </w:rPr>
                  <w:t>linkedin.com/in/rohitkadam315</w:t>
                </w:r>
              </w:hyperlink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6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Pune, India</w:t>
            </w:r>
          </w:p>
        </w:tc>
      </w:tr>
    </w:tbl>
    <w:p>
      <w:pPr>
        <w:autoSpaceDN w:val="0"/>
        <w:autoSpaceDE w:val="0"/>
        <w:widowControl/>
        <w:spacing w:line="228" w:lineRule="auto" w:before="308" w:after="0"/>
        <w:ind w:left="0" w:right="0" w:firstLine="0"/>
        <w:jc w:val="center"/>
      </w:pPr>
      <w:r>
        <w:rPr>
          <w:rFonts w:ascii="Rubik" w:hAnsi="Rubik" w:eastAsia="Rubik"/>
          <w:b w:val="0"/>
          <w:i w:val="0"/>
          <w:color w:val="000000"/>
          <w:sz w:val="23"/>
        </w:rPr>
        <w:t>Summary</w:t>
      </w:r>
    </w:p>
    <w:p>
      <w:pPr>
        <w:autoSpaceDN w:val="0"/>
        <w:autoSpaceDE w:val="0"/>
        <w:widowControl/>
        <w:spacing w:line="266" w:lineRule="auto" w:before="214" w:after="0"/>
        <w:ind w:left="12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I am a passionate Data Science researcher with over 4 years of experience in developing AI, ML, and GenAI-powered solutions 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in the health tech and regulatory intelligence sectors. I have a strong track record as a granted patent holder and published 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author, along with experience presenting at professional conferences. I am dedicated to exploring the intersection of AI and life 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sciences through innovative academic and industry-led projects</w:t>
      </w:r>
    </w:p>
    <w:p>
      <w:pPr>
        <w:autoSpaceDN w:val="0"/>
        <w:autoSpaceDE w:val="0"/>
        <w:widowControl/>
        <w:spacing w:line="226" w:lineRule="auto" w:before="420" w:after="70"/>
        <w:ind w:left="0" w:right="0" w:firstLine="0"/>
        <w:jc w:val="center"/>
      </w:pPr>
      <w:r>
        <w:rPr>
          <w:rFonts w:ascii="Rubik" w:hAnsi="Rubik" w:eastAsia="Rubik"/>
          <w:b w:val="0"/>
          <w:i w:val="0"/>
          <w:color w:val="000000"/>
          <w:sz w:val="23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5002"/>
        <w:gridCol w:w="5002"/>
      </w:tblGrid>
      <w:tr>
        <w:trPr>
          <w:trHeight w:hRule="exact" w:val="692"/>
        </w:trPr>
        <w:tc>
          <w:tcPr>
            <w:tcW w:type="dxa" w:w="62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8" w:after="0"/>
              <w:ind w:left="0" w:right="2736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008CFF"/>
                <w:sz w:val="23"/>
              </w:rPr>
              <w:t xml:space="preserve">TATA CONSULTANCY SERVICES </w:t>
            </w:r>
            <w:r>
              <w:rPr>
                <w:rFonts w:ascii="Inter" w:hAnsi="Inter" w:eastAsia="Inter"/>
                <w:b w:val="0"/>
                <w:i w:val="0"/>
                <w:color w:val="000000"/>
                <w:sz w:val="19"/>
              </w:rPr>
              <w:t>I.T. Analyst</w:t>
            </w:r>
          </w:p>
        </w:tc>
        <w:tc>
          <w:tcPr>
            <w:tcW w:type="dxa" w:w="37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08" w:after="0"/>
              <w:ind w:left="3024" w:right="0" w:hanging="248"/>
              <w:jc w:val="lef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 xml:space="preserve">Pune, India </w:t>
            </w:r>
            <w:r/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>01/2024</w:t>
            </w:r>
          </w:p>
        </w:tc>
      </w:tr>
    </w:tbl>
    <w:p>
      <w:pPr>
        <w:autoSpaceDN w:val="0"/>
        <w:autoSpaceDE w:val="0"/>
        <w:widowControl/>
        <w:spacing w:line="240" w:lineRule="auto" w:before="36" w:after="0"/>
        <w:ind w:left="12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Leading IT services, consulting, and business solutions organization</w:t>
      </w:r>
    </w:p>
    <w:p>
      <w:pPr>
        <w:autoSpaceDN w:val="0"/>
        <w:autoSpaceDE w:val="0"/>
        <w:widowControl/>
        <w:spacing w:line="266" w:lineRule="auto" w:before="66" w:after="0"/>
        <w:ind w:left="64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Led the development of a GenAI-based medical assistant using Azure OpenAI which improved monitoring process efficiency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Directed a team of 4 in building modular LLM Applications using RAG for literature management system</w:t>
      </w:r>
      <w:r/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Acted as the primary point of contact for stakeholders during the pilot phase, streamlining solution rollouts</w:t>
      </w:r>
      <w:r/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Conducted cross-team brainstorming sessions and stakeholder interviews to define business use cases in HealthTech</w:t>
      </w:r>
    </w:p>
    <w:p>
      <w:pPr>
        <w:autoSpaceDN w:val="0"/>
        <w:tabs>
          <w:tab w:pos="8992" w:val="left"/>
        </w:tabs>
        <w:autoSpaceDE w:val="0"/>
        <w:widowControl/>
        <w:spacing w:line="242" w:lineRule="auto" w:before="232" w:after="0"/>
        <w:ind w:left="12" w:right="0" w:firstLine="0"/>
        <w:jc w:val="left"/>
      </w:pPr>
      <w:r>
        <w:rPr>
          <w:rFonts w:ascii="Inter" w:hAnsi="Inter" w:eastAsia="Inter"/>
          <w:b w:val="0"/>
          <w:i w:val="0"/>
          <w:color w:val="008CFF"/>
          <w:sz w:val="23"/>
        </w:rPr>
        <w:t xml:space="preserve">TATA CONSULTANCY SERVICES </w:t>
      </w:r>
      <w:r>
        <w:tab/>
      </w:r>
      <w:r>
        <w:rPr>
          <w:rFonts w:ascii="Inter" w:hAnsi="Inter" w:eastAsia="Inter"/>
          <w:b w:val="0"/>
          <w:i w:val="0"/>
          <w:color w:val="3E3E3E"/>
          <w:sz w:val="19"/>
        </w:rPr>
        <w:t>Pune, India</w:t>
      </w:r>
    </w:p>
    <w:p>
      <w:pPr>
        <w:autoSpaceDN w:val="0"/>
        <w:tabs>
          <w:tab w:pos="8318" w:val="left"/>
        </w:tabs>
        <w:autoSpaceDE w:val="0"/>
        <w:widowControl/>
        <w:spacing w:line="240" w:lineRule="auto" w:before="26" w:after="0"/>
        <w:ind w:left="12" w:right="0" w:firstLine="0"/>
        <w:jc w:val="left"/>
      </w:pPr>
      <w:r>
        <w:rPr>
          <w:rFonts w:ascii="Inter" w:hAnsi="Inter" w:eastAsia="Inter"/>
          <w:b w:val="0"/>
          <w:i w:val="0"/>
          <w:color w:val="000000"/>
          <w:sz w:val="19"/>
        </w:rPr>
        <w:t xml:space="preserve">System Engineer </w:t>
      </w:r>
      <w:r>
        <w:tab/>
      </w:r>
      <w:r>
        <w:rPr>
          <w:rFonts w:ascii="Inter" w:hAnsi="Inter" w:eastAsia="Inter"/>
          <w:b w:val="0"/>
          <w:i w:val="0"/>
          <w:color w:val="3E3E3E"/>
          <w:sz w:val="19"/>
        </w:rPr>
        <w:t>07/2021 - 12/2023</w:t>
      </w:r>
    </w:p>
    <w:p>
      <w:pPr>
        <w:autoSpaceDN w:val="0"/>
        <w:autoSpaceDE w:val="0"/>
        <w:widowControl/>
        <w:spacing w:line="240" w:lineRule="auto" w:before="86" w:after="0"/>
        <w:ind w:left="12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Leading IT services, consulting, and business solutions organization</w:t>
      </w:r>
    </w:p>
    <w:p>
      <w:pPr>
        <w:autoSpaceDN w:val="0"/>
        <w:tabs>
          <w:tab w:pos="246" w:val="left"/>
        </w:tabs>
        <w:autoSpaceDE w:val="0"/>
        <w:widowControl/>
        <w:spacing w:line="269" w:lineRule="auto" w:before="68" w:after="0"/>
        <w:ind w:left="64" w:right="432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Developed the Regulatory Intelligence Chatbot project using RASA and custom NLP, reducing query response time for </w:t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regulatory professionals</w:t>
      </w:r>
      <w:r/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Collaborated with SMEs and business leads to design AI-driven healthcare pilots</w:t>
      </w:r>
      <w:r/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Served as Innovation Lead during the Incubation Bootcamp, resulting in the award-winning product idea</w:t>
      </w:r>
      <w:r/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/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Mentored three junior interns in Python, NLP, and AI ML fundamentals and developing POC solutions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Initiated a knowledge-sharing forum within the R&amp;I team to accelerate GenAI adoption across verticals</w:t>
      </w:r>
    </w:p>
    <w:p>
      <w:pPr>
        <w:autoSpaceDN w:val="0"/>
        <w:tabs>
          <w:tab w:pos="8992" w:val="left"/>
        </w:tabs>
        <w:autoSpaceDE w:val="0"/>
        <w:widowControl/>
        <w:spacing w:line="240" w:lineRule="auto" w:before="234" w:after="0"/>
        <w:ind w:left="12" w:right="0" w:firstLine="0"/>
        <w:jc w:val="left"/>
      </w:pPr>
      <w:r>
        <w:rPr>
          <w:rFonts w:ascii="Inter" w:hAnsi="Inter" w:eastAsia="Inter"/>
          <w:b w:val="0"/>
          <w:i w:val="0"/>
          <w:color w:val="008CFF"/>
          <w:sz w:val="23"/>
        </w:rPr>
        <w:t xml:space="preserve">TATA CONSULTANCY SERVICES </w:t>
      </w:r>
      <w:r>
        <w:tab/>
      </w:r>
      <w:r>
        <w:rPr>
          <w:rFonts w:ascii="Inter" w:hAnsi="Inter" w:eastAsia="Inter"/>
          <w:b w:val="0"/>
          <w:i w:val="0"/>
          <w:color w:val="3E3E3E"/>
          <w:sz w:val="19"/>
        </w:rPr>
        <w:t>Pune, India</w:t>
      </w:r>
    </w:p>
    <w:p>
      <w:pPr>
        <w:autoSpaceDN w:val="0"/>
        <w:tabs>
          <w:tab w:pos="8272" w:val="left"/>
        </w:tabs>
        <w:autoSpaceDE w:val="0"/>
        <w:widowControl/>
        <w:spacing w:line="240" w:lineRule="auto" w:before="28" w:after="0"/>
        <w:ind w:left="12" w:right="0" w:firstLine="0"/>
        <w:jc w:val="left"/>
      </w:pPr>
      <w:r>
        <w:rPr>
          <w:rFonts w:ascii="Inter" w:hAnsi="Inter" w:eastAsia="Inter"/>
          <w:b w:val="0"/>
          <w:i w:val="0"/>
          <w:color w:val="000000"/>
          <w:sz w:val="19"/>
        </w:rPr>
        <w:t xml:space="preserve">Assistant System Engineer </w:t>
      </w:r>
      <w:r>
        <w:tab/>
      </w:r>
      <w:r>
        <w:rPr>
          <w:rFonts w:ascii="Inter" w:hAnsi="Inter" w:eastAsia="Inter"/>
          <w:b w:val="0"/>
          <w:i w:val="0"/>
          <w:color w:val="3E3E3E"/>
          <w:sz w:val="19"/>
        </w:rPr>
        <w:t>09/2020 - 06/2021</w:t>
      </w:r>
    </w:p>
    <w:p>
      <w:pPr>
        <w:autoSpaceDN w:val="0"/>
        <w:autoSpaceDE w:val="0"/>
        <w:widowControl/>
        <w:spacing w:line="240" w:lineRule="auto" w:before="86" w:after="0"/>
        <w:ind w:left="12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Leading IT services, consulting, and business solutions organization</w:t>
      </w:r>
    </w:p>
    <w:p>
      <w:pPr>
        <w:autoSpaceDN w:val="0"/>
        <w:autoSpaceDE w:val="0"/>
        <w:widowControl/>
        <w:spacing w:line="264" w:lineRule="auto" w:before="66" w:after="0"/>
        <w:ind w:left="64" w:right="288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Contributed to data analysis and dashboard creation using Python for EHR Analytics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Supported early experiments with NLP for medical writing applications</w:t>
      </w:r>
      <w:r/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Worked as an individual contributor in POC development to streamline EHR data to EDC</w:t>
      </w:r>
    </w:p>
    <w:p>
      <w:pPr>
        <w:autoSpaceDN w:val="0"/>
        <w:autoSpaceDE w:val="0"/>
        <w:widowControl/>
        <w:spacing w:line="226" w:lineRule="auto" w:before="420" w:after="70"/>
        <w:ind w:left="0" w:right="0" w:firstLine="0"/>
        <w:jc w:val="center"/>
      </w:pPr>
      <w:r>
        <w:rPr>
          <w:rFonts w:ascii="Rubik" w:hAnsi="Rubik" w:eastAsia="Rubik"/>
          <w:b w:val="0"/>
          <w:i w:val="0"/>
          <w:color w:val="000000"/>
          <w:sz w:val="23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3335"/>
        <w:gridCol w:w="3335"/>
        <w:gridCol w:w="3335"/>
      </w:tblGrid>
      <w:tr>
        <w:trPr>
          <w:trHeight w:hRule="exact" w:val="2408"/>
        </w:trPr>
        <w:tc>
          <w:tcPr>
            <w:tcW w:type="dxa" w:w="6744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10" w:after="0"/>
              <w:ind w:left="0" w:right="72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008CFF"/>
                <w:sz w:val="23"/>
              </w:rPr>
              <w:t xml:space="preserve">Rajarambapu Institute of Technology, Shivaji University </w:t>
            </w:r>
            <w:r>
              <w:rPr>
                <w:rFonts w:ascii="Inter" w:hAnsi="Inter" w:eastAsia="Inter"/>
                <w:b w:val="0"/>
                <w:i w:val="0"/>
                <w:color w:val="000000"/>
                <w:sz w:val="19"/>
              </w:rPr>
              <w:t>Bachelor of Technology (Mechanical Engineering)</w:t>
            </w:r>
          </w:p>
          <w:p>
            <w:pPr>
              <w:autoSpaceDN w:val="0"/>
              <w:autoSpaceDE w:val="0"/>
              <w:widowControl/>
              <w:spacing w:line="252" w:lineRule="auto" w:before="226" w:after="0"/>
              <w:ind w:left="0" w:right="216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008CFF"/>
                <w:sz w:val="23"/>
              </w:rPr>
              <w:t xml:space="preserve">Yashawantrao Chavan Institute of Science </w:t>
            </w:r>
            <w:r>
              <w:rPr>
                <w:rFonts w:ascii="Inter" w:hAnsi="Inter" w:eastAsia="Inter"/>
                <w:b w:val="0"/>
                <w:i w:val="0"/>
                <w:color w:val="000000"/>
                <w:sz w:val="19"/>
              </w:rPr>
              <w:t>Higher Secondary (H.S.C)</w:t>
            </w:r>
          </w:p>
          <w:p>
            <w:pPr>
              <w:autoSpaceDN w:val="0"/>
              <w:autoSpaceDE w:val="0"/>
              <w:widowControl/>
              <w:spacing w:line="252" w:lineRule="auto" w:before="228" w:after="0"/>
              <w:ind w:left="0" w:right="360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008CFF"/>
                <w:sz w:val="23"/>
              </w:rPr>
              <w:t xml:space="preserve">Maharaja Sayajirao Vidyalaya </w:t>
            </w:r>
            <w:r/>
            <w:r>
              <w:rPr>
                <w:rFonts w:ascii="Inter" w:hAnsi="Inter" w:eastAsia="Inter"/>
                <w:b w:val="0"/>
                <w:i w:val="0"/>
                <w:color w:val="000000"/>
                <w:sz w:val="19"/>
              </w:rPr>
              <w:t>Secondary School (S.S.C)</w:t>
            </w:r>
          </w:p>
          <w:p>
            <w:pPr>
              <w:autoSpaceDN w:val="0"/>
              <w:autoSpaceDE w:val="0"/>
              <w:widowControl/>
              <w:spacing w:line="242" w:lineRule="auto" w:before="1074" w:after="0"/>
              <w:ind w:left="0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4"/>
              </w:rPr>
              <w:t>www.enhancv.com</w:t>
            </w:r>
          </w:p>
        </w:tc>
        <w:tc>
          <w:tcPr>
            <w:tcW w:type="dxa" w:w="3228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08" w:after="0"/>
              <w:ind w:left="1554" w:right="0" w:firstLine="588"/>
              <w:jc w:val="lef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 xml:space="preserve">Sangli, India </w:t>
            </w:r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>07/2014 - 05/2018</w:t>
            </w:r>
          </w:p>
          <w:p>
            <w:pPr>
              <w:autoSpaceDN w:val="0"/>
              <w:autoSpaceDE w:val="0"/>
              <w:widowControl/>
              <w:spacing w:line="278" w:lineRule="auto" w:before="226" w:after="0"/>
              <w:ind w:left="1544" w:right="0" w:firstLine="562"/>
              <w:jc w:val="lef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 xml:space="preserve">Satara, India </w:t>
            </w:r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>06/2012 - 05/2014</w:t>
            </w:r>
          </w:p>
          <w:p>
            <w:pPr>
              <w:autoSpaceDN w:val="0"/>
              <w:autoSpaceDE w:val="0"/>
              <w:widowControl/>
              <w:spacing w:line="278" w:lineRule="auto" w:before="226" w:after="0"/>
              <w:ind w:left="1576" w:right="0" w:firstLine="530"/>
              <w:jc w:val="lef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 xml:space="preserve">Satara, India </w:t>
            </w:r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>06/2011 - 05/2012</w:t>
            </w:r>
          </w:p>
        </w:tc>
      </w:tr>
      <w:tr>
        <w:trPr>
          <w:trHeight w:hRule="exact" w:val="1544"/>
        </w:trPr>
        <w:tc>
          <w:tcPr>
            <w:tcW w:type="dxa" w:w="3335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12" w:after="0"/>
              <w:ind w:left="0" w:right="118" w:firstLine="0"/>
              <w:jc w:val="righ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4"/>
              </w:rPr>
              <w:t>Powered by</w:t>
            </w:r>
          </w:p>
        </w:tc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250" w:after="0"/>
              <w:ind w:left="0" w:right="0" w:firstLine="0"/>
              <w:jc w:val="center"/>
            </w:pPr>
            <w:r>
              <w:rPr>
                <w:rFonts w:ascii="resumeicons" w:hAnsi="resumeicons" w:eastAsia="resumeicons"/>
                <w:b w:val="0"/>
                <w:i w:val="0"/>
                <w:color w:val="3E3E3E"/>
                <w:sz w:val="127"/>
              </w:rPr>
              <w:t>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/>
    </w:p>
    <w:p>
      <w:pPr>
        <w:autoSpaceDN w:val="0"/>
        <w:autoSpaceDE w:val="0"/>
        <w:widowControl/>
        <w:spacing w:line="228" w:lineRule="auto" w:before="864" w:after="70"/>
        <w:ind w:left="0" w:right="0" w:firstLine="0"/>
        <w:jc w:val="center"/>
      </w:pPr>
      <w:r>
        <w:rPr>
          <w:rFonts w:ascii="Rubik" w:hAnsi="Rubik" w:eastAsia="Rubik"/>
          <w:b w:val="0"/>
          <w:i w:val="0"/>
          <w:color w:val="000000"/>
          <w:sz w:val="23"/>
        </w:rPr>
        <w:t>Key Achievements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68"/>
        </w:trPr>
        <w:tc>
          <w:tcPr>
            <w:tcW w:type="dxa" w:w="304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10" w:after="0"/>
              <w:ind w:left="0" w:right="0" w:firstLine="0"/>
              <w:jc w:val="center"/>
            </w:pPr>
            <w:r>
              <w:rPr>
                <w:w w:val="101.48936462402345"/>
                <w:rFonts w:ascii="resumeicons" w:hAnsi="resumeicons" w:eastAsia="resumeicons"/>
                <w:b w:val="0"/>
                <w:i w:val="0"/>
                <w:color w:val="008CFF"/>
                <w:sz w:val="25"/>
              </w:rPr>
              <w:t>​</w:t>
            </w:r>
          </w:p>
        </w:tc>
        <w:tc>
          <w:tcPr>
            <w:tcW w:type="dxa" w:w="290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52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000000"/>
                <w:sz w:val="19"/>
              </w:rPr>
              <w:t>Granted Patent Holder</w:t>
            </w:r>
          </w:p>
        </w:tc>
        <w:tc>
          <w:tcPr>
            <w:tcW w:type="dxa" w:w="560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10" w:after="0"/>
              <w:ind w:left="0" w:right="42" w:firstLine="0"/>
              <w:jc w:val="right"/>
            </w:pPr>
            <w:r>
              <w:rPr>
                <w:w w:val="101.48936462402345"/>
                <w:rFonts w:ascii="resumeicons" w:hAnsi="resumeicons" w:eastAsia="resumeicons"/>
                <w:b w:val="0"/>
                <w:i w:val="0"/>
                <w:color w:val="008CFF"/>
                <w:sz w:val="25"/>
              </w:rPr>
              <w:t>​</w:t>
            </w:r>
          </w:p>
        </w:tc>
        <w:tc>
          <w:tcPr>
            <w:tcW w:type="dxa" w:w="288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60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000000"/>
                <w:sz w:val="19"/>
              </w:rPr>
              <w:t>Published Author</w:t>
            </w:r>
          </w:p>
        </w:tc>
        <w:tc>
          <w:tcPr>
            <w:tcW w:type="dxa" w:w="580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10" w:after="0"/>
              <w:ind w:left="0" w:right="34" w:firstLine="0"/>
              <w:jc w:val="right"/>
            </w:pPr>
            <w:r>
              <w:rPr>
                <w:w w:val="101.48936462402345"/>
                <w:rFonts w:ascii="resumeicons" w:hAnsi="resumeicons" w:eastAsia="resumeicons"/>
                <w:b w:val="0"/>
                <w:i w:val="0"/>
                <w:color w:val="008CFF"/>
                <w:sz w:val="25"/>
              </w:rPr>
              <w:t>​</w:t>
            </w:r>
          </w:p>
        </w:tc>
        <w:tc>
          <w:tcPr>
            <w:tcW w:type="dxa" w:w="2748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68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000000"/>
                <w:sz w:val="19"/>
              </w:rPr>
              <w:t>PharmaSUG Presenter</w:t>
            </w:r>
          </w:p>
        </w:tc>
      </w:tr>
      <w:tr>
        <w:trPr>
          <w:trHeight w:hRule="exact" w:val="220"/>
        </w:trPr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52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Granted patent for an automated </w:t>
            </w:r>
          </w:p>
        </w:tc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Published author with extensive </w:t>
            </w:r>
          </w:p>
        </w:tc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8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Presented at PharmaSUG, </w:t>
            </w:r>
          </w:p>
        </w:tc>
      </w:tr>
      <w:tr>
        <w:trPr>
          <w:trHeight w:hRule="exact" w:val="220"/>
        </w:trPr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2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validation approach enhancing </w:t>
            </w:r>
          </w:p>
        </w:tc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research on AI advancements in </w:t>
            </w:r>
          </w:p>
        </w:tc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8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showcasing innovative </w:t>
            </w:r>
          </w:p>
        </w:tc>
      </w:tr>
      <w:tr>
        <w:trPr>
          <w:trHeight w:hRule="exact" w:val="204"/>
        </w:trPr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2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regulatory compliance processes</w:t>
            </w:r>
          </w:p>
        </w:tc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regulatory intelligence</w:t>
            </w:r>
          </w:p>
        </w:tc>
        <w:tc>
          <w:tcPr>
            <w:tcW w:type="dxa" w:w="1506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8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applications of AI in clinical </w:t>
            </w:r>
          </w:p>
        </w:tc>
      </w:tr>
    </w:tbl>
    <w:p>
      <w:pPr>
        <w:autoSpaceDN w:val="0"/>
        <w:autoSpaceDE w:val="0"/>
        <w:widowControl/>
        <w:spacing w:line="238" w:lineRule="auto" w:before="0" w:after="0"/>
        <w:ind w:left="0" w:right="2930" w:firstLine="0"/>
        <w:jc w:val="righ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practices</w:t>
      </w:r>
    </w:p>
    <w:p>
      <w:pPr>
        <w:autoSpaceDN w:val="0"/>
        <w:autoSpaceDE w:val="0"/>
        <w:widowControl/>
        <w:spacing w:line="226" w:lineRule="auto" w:before="408" w:after="0"/>
        <w:ind w:left="0" w:right="0" w:firstLine="0"/>
        <w:jc w:val="center"/>
      </w:pPr>
      <w:r>
        <w:rPr>
          <w:rFonts w:ascii="Rubik" w:hAnsi="Rubik" w:eastAsia="Rubik"/>
          <w:b w:val="0"/>
          <w:i w:val="0"/>
          <w:color w:val="000000"/>
          <w:sz w:val="23"/>
        </w:rPr>
        <w:t>Skills</w:t>
      </w:r>
    </w:p>
    <w:p>
      <w:pPr>
        <w:autoSpaceDN w:val="0"/>
        <w:autoSpaceDE w:val="0"/>
        <w:widowControl/>
        <w:spacing w:line="240" w:lineRule="auto" w:before="214" w:after="0"/>
        <w:ind w:left="976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Gmail Azure Modular NLP Python POC REST AWS UAT Blockchain</w:t>
      </w:r>
    </w:p>
    <w:p>
      <w:pPr>
        <w:autoSpaceDN w:val="0"/>
        <w:autoSpaceDE w:val="0"/>
        <w:widowControl/>
        <w:spacing w:line="226" w:lineRule="auto" w:before="406" w:after="70"/>
        <w:ind w:left="0" w:right="0" w:firstLine="0"/>
        <w:jc w:val="center"/>
      </w:pPr>
      <w:r>
        <w:rPr>
          <w:rFonts w:ascii="Rubik" w:hAnsi="Rubik" w:eastAsia="Rubik"/>
          <w:b w:val="0"/>
          <w:i w:val="0"/>
          <w:color w:val="000000"/>
          <w:sz w:val="23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4519"/>
        <w:gridCol w:w="4519"/>
      </w:tblGrid>
      <w:tr>
        <w:trPr>
          <w:trHeight w:hRule="exact" w:val="406"/>
        </w:trPr>
        <w:tc>
          <w:tcPr>
            <w:tcW w:type="dxa" w:w="674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008CFF"/>
                <w:sz w:val="23"/>
              </w:rPr>
              <w:t>GenAI Based medical monitoring assistant</w:t>
            </w:r>
          </w:p>
        </w:tc>
        <w:tc>
          <w:tcPr>
            <w:tcW w:type="dxa" w:w="3228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righ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9"/>
              </w:rPr>
              <w:t>Pune, India</w:t>
            </w:r>
          </w:p>
        </w:tc>
      </w:tr>
    </w:tbl>
    <w:p>
      <w:pPr>
        <w:autoSpaceDN w:val="0"/>
        <w:tabs>
          <w:tab w:pos="1028" w:val="left"/>
          <w:tab w:pos="1210" w:val="left"/>
          <w:tab w:pos="10204" w:val="left"/>
        </w:tabs>
        <w:autoSpaceDE w:val="0"/>
        <w:widowControl/>
        <w:spacing w:line="293" w:lineRule="auto" w:before="6" w:after="14"/>
        <w:ind w:left="976" w:right="864" w:firstLine="0"/>
        <w:jc w:val="left"/>
      </w:pPr>
      <w:r>
        <w:tab/>
      </w:r>
      <w:r>
        <w:tab/>
      </w:r>
      <w:r>
        <w:tab/>
      </w:r>
      <w:r>
        <w:rPr>
          <w:rFonts w:ascii="Inter" w:hAnsi="Inter" w:eastAsia="Inter"/>
          <w:b w:val="0"/>
          <w:i w:val="0"/>
          <w:color w:val="3E3E3E"/>
          <w:sz w:val="19"/>
        </w:rPr>
        <w:t xml:space="preserve">01/2024 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GenAI Based medical monitoring assistant</w:t>
      </w:r>
      <w:r/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Developed an intelligent assistant using Azure OpenAI to support real-time medical monitoring and decision making in </w:t>
      </w:r>
      <w:r>
        <w:tab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clinical trials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259"/>
        <w:gridCol w:w="2259"/>
        <w:gridCol w:w="2259"/>
        <w:gridCol w:w="2259"/>
      </w:tblGrid>
      <w:tr>
        <w:trPr>
          <w:trHeight w:hRule="exact" w:val="5208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0" w:firstLine="0"/>
              <w:jc w:val="righ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•</w:t>
            </w:r>
          </w:p>
        </w:tc>
        <w:tc>
          <w:tcPr>
            <w:tcW w:type="dxa" w:w="7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API driven architecture to support medical monitoring queries and provide actionable insights</w:t>
            </w:r>
          </w:p>
        </w:tc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00" w:after="0"/>
              <w:ind w:left="0" w:right="0" w:firstLine="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4"/>
              </w:rPr>
              <w:hyperlink r:id="rId14" w:history="1">
                <w:r>
                  <w:rPr>
                    <w:rStyle w:val="Hyperlink"/>
                  </w:rPr>
                  <w:t>Powered by</w:t>
                </w:r>
              </w:hyperlink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9638" w:after="0"/>
              <w:ind w:left="118" w:right="0" w:firstLine="0"/>
              <w:jc w:val="left"/>
            </w:pPr>
            <w:r>
              <w:rPr>
                <w:rFonts w:ascii="resumeicons" w:hAnsi="resumeicons" w:eastAsia="resumeicons"/>
                <w:b w:val="0"/>
                <w:i w:val="0"/>
                <w:color w:val="3E3E3E"/>
                <w:sz w:val="127"/>
              </w:rPr>
              <w:hyperlink r:id="rId14" w:history="1">
                <w:r>
                  <w:rPr>
                    <w:rStyle w:val="Hyperlink"/>
                  </w:rPr>
                  <w:t>​</w:t>
                </w:r>
              </w:hyperlink>
            </w:r>
          </w:p>
        </w:tc>
      </w:tr>
      <w:tr>
        <w:trPr>
          <w:trHeight w:hRule="exact" w:val="5784"/>
        </w:trPr>
        <w:tc>
          <w:tcPr>
            <w:tcW w:type="dxa" w:w="8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18" w:after="0"/>
              <w:ind w:left="484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4"/>
              </w:rPr>
              <w:hyperlink r:id="rId14" w:history="1">
                <w:r>
                  <w:rPr>
                    <w:rStyle w:val="Hyperlink"/>
                  </w:rPr>
                  <w:t>www.enhancv.com</w:t>
                </w:r>
              </w:hyperlink>
            </w:r>
          </w:p>
        </w:tc>
        <w:tc>
          <w:tcPr>
            <w:tcW w:type="dxa" w:w="2259"/>
            <w:vMerge/>
            <w:tcBorders/>
          </w:tcPr>
          <w:p/>
        </w:tc>
        <w:tc>
          <w:tcPr>
            <w:tcW w:type="dxa" w:w="22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linkedin.com/in/rohitkadam315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