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4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546100</wp:posOffset>
            </wp:positionV>
            <wp:extent cx="889000" cy="9017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889000" cy="901700"/>
                    </a:xfrm>
                    <a:prstGeom prst="rect"/>
                  </pic:spPr>
                </pic:pic>
              </a:graphicData>
            </a:graphic>
          </wp:anchor>
        </w:drawing>
      </w:r>
    </w:p>
    <w:p>
      <w:pPr>
        <w:autoSpaceDN w:val="0"/>
        <w:autoSpaceDE w:val="0"/>
        <w:widowControl/>
        <w:spacing w:line="240" w:lineRule="auto" w:before="0" w:after="0"/>
        <w:ind w:left="0" w:right="0" w:firstLine="0"/>
        <w:jc w:val="center"/>
      </w:pPr>
      <w:r>
        <w:rPr>
          <w:rFonts w:ascii="Inter Medium" w:hAnsi="Inter Medium" w:eastAsia="Inter Medium"/>
          <w:b w:val="0"/>
          <w:i w:val="0"/>
          <w:color w:val="000000"/>
          <w:sz w:val="43"/>
        </w:rPr>
        <w:t>RK</w:t>
      </w:r>
    </w:p>
    <w:p>
      <w:pPr>
        <w:autoSpaceDN w:val="0"/>
        <w:autoSpaceDE w:val="0"/>
        <w:widowControl/>
        <w:spacing w:line="245" w:lineRule="auto" w:before="624" w:after="12"/>
        <w:ind w:left="3600" w:right="3600" w:firstLine="0"/>
        <w:jc w:val="center"/>
      </w:pPr>
      <w:r>
        <w:rPr>
          <w:rFonts w:ascii="Rubik" w:hAnsi="Rubik" w:eastAsia="Rubik"/>
          <w:b/>
          <w:i w:val="0"/>
          <w:color w:val="000000"/>
          <w:sz w:val="28"/>
        </w:rPr>
        <w:t xml:space="preserve">ROHIT KADAM </w:t>
      </w:r>
      <w:r/>
      <w:r>
        <w:rPr>
          <w:rFonts w:ascii="Inter" w:hAnsi="Inter" w:eastAsia="Inter"/>
          <w:b w:val="0"/>
          <w:i w:val="0"/>
          <w:color w:val="008CFF"/>
          <w:sz w:val="23"/>
        </w:rPr>
        <w:t>Data Science Researcher</w:t>
      </w:r>
    </w:p>
    <w:tbl>
      <w:tblPr>
        <w:tblW w:type="auto" w:w="0"/>
        <w:tblLayout w:type="fixed"/>
        <w:tblLook w:firstColumn="1" w:firstRow="1" w:lastColumn="0" w:lastRow="0" w:noHBand="0" w:noVBand="1" w:val="04A0"/>
        <w:tblInd w:w="576.0" w:type="dxa"/>
      </w:tblPr>
      <w:tblGrid>
        <w:gridCol w:w="1429"/>
        <w:gridCol w:w="1429"/>
        <w:gridCol w:w="1429"/>
        <w:gridCol w:w="1429"/>
        <w:gridCol w:w="1429"/>
        <w:gridCol w:w="1429"/>
        <w:gridCol w:w="1429"/>
      </w:tblGrid>
      <w:tr>
        <w:trPr>
          <w:trHeight w:hRule="exact" w:val="274"/>
        </w:trPr>
        <w:tc>
          <w:tcPr>
            <w:tcW w:type="dxa" w:w="1960"/>
            <w:tcBorders/>
            <w:tcMar>
              <w:start w:w="0" w:type="dxa"/>
              <w:end w:w="0" w:type="dxa"/>
            </w:tcMar>
          </w:tcPr>
          <w:p>
            <w:pPr>
              <w:autoSpaceDN w:val="0"/>
              <w:autoSpaceDE w:val="0"/>
              <w:widowControl/>
              <w:spacing w:line="240" w:lineRule="auto" w:before="14" w:after="0"/>
              <w:ind w:left="0" w:right="42" w:firstLine="0"/>
              <w:jc w:val="right"/>
            </w:pPr>
            <w:r>
              <w:rPr>
                <w:w w:val="103.07513475418091"/>
                <w:rFonts w:ascii="Inter" w:hAnsi="Inter" w:eastAsia="Inter"/>
                <w:b w:val="0"/>
                <w:i w:val="0"/>
                <w:color w:val="3E3E3E"/>
                <w:sz w:val="16"/>
              </w:rPr>
              <w:t>+91 7767880235</w:t>
            </w:r>
          </w:p>
        </w:tc>
        <w:tc>
          <w:tcPr>
            <w:tcW w:type="dxa" w:w="200"/>
            <w:tcBorders/>
            <w:tcMar>
              <w:start w:w="0" w:type="dxa"/>
              <w:end w:w="0" w:type="dxa"/>
            </w:tcMar>
          </w:tcPr>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38100" cy="38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100" cy="38100"/>
                          </a:xfrm>
                          <a:prstGeom prst="rect"/>
                        </pic:spPr>
                      </pic:pic>
                    </a:graphicData>
                  </a:graphic>
                </wp:inline>
              </w:drawing>
            </w:r>
          </w:p>
        </w:tc>
        <w:tc>
          <w:tcPr>
            <w:tcW w:type="dxa" w:w="2300"/>
            <w:tcBorders/>
            <w:tcMar>
              <w:start w:w="0" w:type="dxa"/>
              <w:end w:w="0" w:type="dxa"/>
            </w:tcMar>
          </w:tcPr>
          <w:p>
            <w:pPr>
              <w:autoSpaceDN w:val="0"/>
              <w:autoSpaceDE w:val="0"/>
              <w:widowControl/>
              <w:spacing w:line="240" w:lineRule="auto" w:before="14" w:after="0"/>
              <w:ind w:left="0" w:right="0" w:firstLine="0"/>
              <w:jc w:val="center"/>
            </w:pPr>
            <w:r>
              <w:rPr>
                <w:w w:val="103.07513475418091"/>
                <w:rFonts w:ascii="Inter" w:hAnsi="Inter" w:eastAsia="Inter"/>
                <w:b w:val="0"/>
                <w:i w:val="0"/>
                <w:color w:val="3E3E3E"/>
                <w:sz w:val="16"/>
              </w:rPr>
              <w:t>rohitkadam1410@gmail.com</w:t>
            </w:r>
          </w:p>
        </w:tc>
        <w:tc>
          <w:tcPr>
            <w:tcW w:type="dxa" w:w="180"/>
            <w:tcBorders/>
            <w:tcMar>
              <w:start w:w="0" w:type="dxa"/>
              <w:end w:w="0" w:type="dxa"/>
            </w:tcMar>
          </w:tcPr>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38100" cy="38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100" cy="38100"/>
                          </a:xfrm>
                          <a:prstGeom prst="rect"/>
                        </pic:spPr>
                      </pic:pic>
                    </a:graphicData>
                  </a:graphic>
                </wp:inline>
              </w:drawing>
            </w:r>
          </w:p>
        </w:tc>
        <w:tc>
          <w:tcPr>
            <w:tcW w:type="dxa" w:w="2500"/>
            <w:tcBorders/>
            <w:tcMar>
              <w:start w:w="0" w:type="dxa"/>
              <w:end w:w="0" w:type="dxa"/>
            </w:tcMar>
          </w:tcPr>
          <w:p>
            <w:pPr>
              <w:autoSpaceDN w:val="0"/>
              <w:autoSpaceDE w:val="0"/>
              <w:widowControl/>
              <w:spacing w:line="240" w:lineRule="auto" w:before="14" w:after="0"/>
              <w:ind w:left="0" w:right="0" w:firstLine="0"/>
              <w:jc w:val="center"/>
            </w:pPr>
            <w:r>
              <w:rPr>
                <w:w w:val="103.07513475418091"/>
                <w:rFonts w:ascii="Inter" w:hAnsi="Inter" w:eastAsia="Inter"/>
                <w:b w:val="0"/>
                <w:i w:val="0"/>
                <w:color w:val="3E3E3E"/>
                <w:sz w:val="16"/>
              </w:rPr>
              <w:hyperlink r:id="rId11" w:history="1">
                <w:r>
                  <w:rPr>
                    <w:rStyle w:val="Hyperlink"/>
                  </w:rPr>
                  <w:t>linkedin.com/in/rohitkadam315</w:t>
                </w:r>
              </w:hyperlink>
            </w:r>
          </w:p>
        </w:tc>
        <w:tc>
          <w:tcPr>
            <w:tcW w:type="dxa" w:w="180"/>
            <w:tcBorders/>
            <w:tcMar>
              <w:start w:w="0" w:type="dxa"/>
              <w:end w:w="0" w:type="dxa"/>
            </w:tcMar>
          </w:tcPr>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50800" cy="381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800" cy="38100"/>
                          </a:xfrm>
                          <a:prstGeom prst="rect"/>
                        </pic:spPr>
                      </pic:pic>
                    </a:graphicData>
                  </a:graphic>
                </wp:inline>
              </w:drawing>
            </w:r>
          </w:p>
        </w:tc>
        <w:tc>
          <w:tcPr>
            <w:tcW w:type="dxa" w:w="1520"/>
            <w:tcBorders/>
            <w:tcMar>
              <w:start w:w="0" w:type="dxa"/>
              <w:end w:w="0" w:type="dxa"/>
            </w:tcMar>
          </w:tcPr>
          <w:p>
            <w:pPr>
              <w:autoSpaceDN w:val="0"/>
              <w:autoSpaceDE w:val="0"/>
              <w:widowControl/>
              <w:spacing w:line="240" w:lineRule="auto" w:before="14" w:after="0"/>
              <w:ind w:left="76" w:right="0" w:firstLine="0"/>
              <w:jc w:val="left"/>
            </w:pPr>
            <w:r>
              <w:rPr>
                <w:w w:val="103.07513475418091"/>
                <w:rFonts w:ascii="Inter" w:hAnsi="Inter" w:eastAsia="Inter"/>
                <w:b w:val="0"/>
                <w:i w:val="0"/>
                <w:color w:val="3E3E3E"/>
                <w:sz w:val="16"/>
              </w:rPr>
              <w:t>Pune, India</w:t>
            </w:r>
          </w:p>
        </w:tc>
      </w:tr>
    </w:tbl>
    <w:p>
      <w:pPr>
        <w:autoSpaceDN w:val="0"/>
        <w:autoSpaceDE w:val="0"/>
        <w:widowControl/>
        <w:spacing w:line="228" w:lineRule="auto" w:before="308" w:after="0"/>
        <w:ind w:left="0" w:right="0" w:firstLine="0"/>
        <w:jc w:val="center"/>
      </w:pPr>
      <w:r>
        <w:rPr>
          <w:rFonts w:ascii="Rubik" w:hAnsi="Rubik" w:eastAsia="Rubik"/>
          <w:b w:val="0"/>
          <w:i w:val="0"/>
          <w:color w:val="000000"/>
          <w:sz w:val="23"/>
        </w:rPr>
        <w:t>Summary</w:t>
      </w:r>
    </w:p>
    <w:p>
      <w:pPr>
        <w:autoSpaceDN w:val="0"/>
        <w:autoSpaceDE w:val="0"/>
        <w:widowControl/>
        <w:spacing w:line="266" w:lineRule="auto" w:before="214" w:after="0"/>
        <w:ind w:left="12" w:right="0" w:firstLine="0"/>
        <w:jc w:val="left"/>
      </w:pPr>
      <w:r>
        <w:rPr>
          <w:rFonts w:ascii="Inter" w:hAnsi="Inter"/>
          <w:b w:val="0"/>
          <w:i w:val="0"/>
          <w:color w:val="3E3E3E"/>
          <w:sz w:val="16"/>
        </w:rPr>
        <w:t>Experienced Data Scientist with over 4 years in developing scalable AI, ML, and GenAI solutions, specializing in Generative AI and LLM Application Frameworks. Granted patent holder and published author with expertise in integrating AI models into applications, optimizing workflows, and leading technical discussions. I am dedicated to exploring the intersection of AI and life sciences through innovative academic and industry-led projects</w:t>
      </w:r>
    </w:p>
    <w:p>
      <w:pPr>
        <w:autoSpaceDN w:val="0"/>
        <w:autoSpaceDE w:val="0"/>
        <w:widowControl/>
        <w:spacing w:line="226" w:lineRule="auto" w:before="420" w:after="70"/>
        <w:ind w:left="0" w:right="0" w:firstLine="0"/>
        <w:jc w:val="center"/>
      </w:pPr>
      <w:r>
        <w:rPr>
          <w:rFonts w:ascii="Rubik" w:hAnsi="Rubik" w:eastAsia="Rubik"/>
          <w:b w:val="0"/>
          <w:i w:val="0"/>
          <w:color w:val="000000"/>
          <w:sz w:val="23"/>
        </w:rPr>
        <w:t>Experience</w:t>
      </w:r>
    </w:p>
    <w:tbl>
      <w:tblPr>
        <w:tblW w:type="auto" w:w="0"/>
        <w:tblLayout w:type="fixed"/>
        <w:tblLook w:firstColumn="1" w:firstRow="1" w:lastColumn="0" w:lastRow="0" w:noHBand="0" w:noVBand="1" w:val="04A0"/>
        <w:tblInd w:w="11.999999999999886" w:type="dxa"/>
      </w:tblPr>
      <w:tblGrid>
        <w:gridCol w:w="5002"/>
        <w:gridCol w:w="5002"/>
      </w:tblGrid>
      <w:tr>
        <w:trPr>
          <w:trHeight w:hRule="exact" w:val="692"/>
        </w:trPr>
        <w:tc>
          <w:tcPr>
            <w:tcW w:type="dxa" w:w="6204"/>
            <w:tcBorders>
              <w:top w:sz="4.800000000000182" w:val="single" w:color="#000000"/>
            </w:tcBorders>
            <w:tcMar>
              <w:start w:w="0" w:type="dxa"/>
              <w:end w:w="0" w:type="dxa"/>
            </w:tcMar>
          </w:tcPr>
          <w:p>
            <w:pPr>
              <w:autoSpaceDN w:val="0"/>
              <w:autoSpaceDE w:val="0"/>
              <w:widowControl/>
              <w:spacing w:line="252" w:lineRule="auto" w:before="108" w:after="0"/>
              <w:ind w:left="0" w:right="2736" w:firstLine="0"/>
              <w:jc w:val="left"/>
            </w:pPr>
            <w:r>
              <w:rPr>
                <w:rFonts w:ascii="Inter" w:hAnsi="Inter" w:eastAsia="Inter"/>
                <w:b w:val="0"/>
                <w:i w:val="0"/>
                <w:color w:val="008CFF"/>
                <w:sz w:val="23"/>
              </w:rPr>
              <w:t xml:space="preserve">TATA CONSULTANCY SERVICES </w:t>
            </w:r>
            <w:r>
              <w:rPr>
                <w:rFonts w:ascii="Inter" w:hAnsi="Inter" w:eastAsia="Inter"/>
                <w:b w:val="0"/>
                <w:i w:val="0"/>
                <w:color w:val="000000"/>
                <w:sz w:val="19"/>
              </w:rPr>
              <w:t>I.T. Analyst</w:t>
            </w:r>
          </w:p>
        </w:tc>
        <w:tc>
          <w:tcPr>
            <w:tcW w:type="dxa" w:w="3768"/>
            <w:tcBorders>
              <w:top w:sz="4.800000000000182" w:val="single" w:color="#000000"/>
            </w:tcBorders>
            <w:tcMar>
              <w:start w:w="0" w:type="dxa"/>
              <w:end w:w="0" w:type="dxa"/>
            </w:tcMar>
          </w:tcPr>
          <w:p>
            <w:pPr>
              <w:autoSpaceDN w:val="0"/>
              <w:autoSpaceDE w:val="0"/>
              <w:widowControl/>
              <w:spacing w:line="278" w:lineRule="auto" w:before="108" w:after="0"/>
              <w:ind w:left="3024" w:right="0" w:hanging="248"/>
              <w:jc w:val="left"/>
            </w:pPr>
            <w:r>
              <w:rPr>
                <w:rFonts w:ascii="Inter" w:hAnsi="Inter" w:eastAsia="Inter"/>
                <w:b w:val="0"/>
                <w:i w:val="0"/>
                <w:color w:val="3E3E3E"/>
                <w:sz w:val="19"/>
              </w:rPr>
              <w:t xml:space="preserve">Pune, India </w:t>
            </w:r>
            <w:r/>
            <w:r>
              <w:rPr>
                <w:rFonts w:ascii="Inter" w:hAnsi="Inter" w:eastAsia="Inter"/>
                <w:b w:val="0"/>
                <w:i w:val="0"/>
                <w:color w:val="3E3E3E"/>
                <w:sz w:val="19"/>
              </w:rPr>
              <w:t>01/2024</w:t>
            </w:r>
          </w:p>
        </w:tc>
      </w:tr>
    </w:tbl>
    <w:p>
      <w:pPr>
        <w:autoSpaceDN w:val="0"/>
        <w:autoSpaceDE w:val="0"/>
        <w:widowControl/>
        <w:spacing w:line="240" w:lineRule="auto" w:before="36" w:after="0"/>
        <w:ind w:left="12" w:right="0" w:firstLine="0"/>
        <w:jc w:val="left"/>
      </w:pPr>
      <w:r>
        <w:rPr>
          <w:w w:val="103.07513475418091"/>
          <w:rFonts w:ascii="Inter" w:hAnsi="Inter" w:eastAsia="Inter"/>
          <w:b w:val="0"/>
          <w:i w:val="0"/>
          <w:color w:val="3E3E3E"/>
          <w:sz w:val="16"/>
        </w:rPr>
        <w:t>Leading IT services, consulting, and business solutions organization</w:t>
      </w:r>
    </w:p>
    <w:p>
      <w:pPr>
        <w:autoSpaceDN w:val="0"/>
        <w:autoSpaceDE w:val="0"/>
        <w:widowControl/>
        <w:spacing w:line="266" w:lineRule="auto" w:before="66" w:after="0"/>
        <w:ind w:left="64" w:right="0" w:firstLine="0"/>
        <w:jc w:val="left"/>
      </w:pPr>
      <w:r>
        <w:rPr>
          <w:w w:val="103.07513475418091"/>
          <w:rFonts w:ascii="Inter" w:hAnsi="Inter" w:eastAsia="Inter"/>
          <w:b w:val="0"/>
          <w:i w:val="0"/>
          <w:color w:val="3E3E3E"/>
          <w:sz w:val="16"/>
        </w:rPr>
        <w:t>•</w:t>
      </w:r>
      <w:r>
        <w:rPr>
          <w:w w:val="103.07513475418091"/>
          <w:rFonts w:ascii="Inter" w:hAnsi="Inter" w:eastAsia="Inter"/>
          <w:b w:val="0"/>
          <w:i w:val="0"/>
          <w:color w:val="3E3E3E"/>
          <w:sz w:val="16"/>
        </w:rPr>
        <w:t>Spearheaded the development of a GenAI-based medical assistant using Azure OpenAI, resulting in a 30% improvement in monitoring process efficiency.</w:t>
      </w:r>
      <w:r>
        <w:rPr>
          <w:w w:val="103.07513475418091"/>
          <w:rFonts w:ascii="Inter" w:hAnsi="Inter" w:eastAsia="Inter"/>
          <w:b w:val="0"/>
          <w:i w:val="0"/>
          <w:color w:val="3E3E3E"/>
          <w:sz w:val="16"/>
        </w:rPr>
        <w:t>•</w:t>
      </w:r>
      <w:r>
        <w:rPr>
          <w:w w:val="103.07513475418091"/>
          <w:rFonts w:ascii="Inter" w:hAnsi="Inter" w:eastAsia="Inter"/>
          <w:b w:val="0"/>
          <w:i w:val="0"/>
          <w:color w:val="3E3E3E"/>
          <w:sz w:val="16"/>
        </w:rPr>
        <w:t>Directed a team of 4 in architecting modular LLM Applications using RAG, enhancing literature management efficiency by 25%.</w:t>
      </w:r>
      <w:r/>
      <w:r>
        <w:rPr>
          <w:w w:val="103.07513475418091"/>
          <w:rFonts w:ascii="Inter" w:hAnsi="Inter" w:eastAsia="Inter"/>
          <w:b w:val="0"/>
          <w:i w:val="0"/>
          <w:color w:val="3E3E3E"/>
          <w:sz w:val="16"/>
        </w:rPr>
        <w:t>•</w:t>
      </w:r>
      <w:r>
        <w:rPr>
          <w:w w:val="103.07513475418091"/>
          <w:rFonts w:ascii="Inter" w:hAnsi="Inter" w:eastAsia="Inter"/>
          <w:b w:val="0"/>
          <w:i w:val="0"/>
          <w:color w:val="3E3E3E"/>
          <w:sz w:val="16"/>
        </w:rPr>
        <w:t>Acted as the primary point of contact for stakeholders during the pilot phase, streamlining solution rollouts</w:t>
      </w:r>
      <w:r/>
      <w:r>
        <w:rPr>
          <w:w w:val="103.07513475418091"/>
          <w:rFonts w:ascii="Inter" w:hAnsi="Inter" w:eastAsia="Inter"/>
          <w:b w:val="0"/>
          <w:i w:val="0"/>
          <w:color w:val="3E3E3E"/>
          <w:sz w:val="16"/>
        </w:rPr>
        <w:t>•</w:t>
      </w:r>
      <w:r>
        <w:rPr>
          <w:w w:val="103.07513475418091"/>
          <w:rFonts w:ascii="Inter" w:hAnsi="Inter" w:eastAsia="Inter"/>
          <w:b w:val="0"/>
          <w:i w:val="0"/>
          <w:color w:val="3E3E3E"/>
          <w:sz w:val="16"/>
        </w:rPr>
        <w:t>Conducted cross-team brainstorming sessions and stakeholder interviews to define business use cases in HealthTech</w:t>
      </w:r>
    </w:p>
    <w:p>
      <w:pPr>
        <w:autoSpaceDN w:val="0"/>
        <w:tabs>
          <w:tab w:pos="8992" w:val="left"/>
        </w:tabs>
        <w:autoSpaceDE w:val="0"/>
        <w:widowControl/>
        <w:spacing w:line="242" w:lineRule="auto" w:before="232" w:after="0"/>
        <w:ind w:left="12" w:right="0" w:firstLine="0"/>
        <w:jc w:val="left"/>
      </w:pPr>
      <w:r>
        <w:rPr>
          <w:rFonts w:ascii="Inter" w:hAnsi="Inter" w:eastAsia="Inter"/>
          <w:b w:val="0"/>
          <w:i w:val="0"/>
          <w:color w:val="008CFF"/>
          <w:sz w:val="23"/>
        </w:rPr>
        <w:t xml:space="preserve">TATA CONSULTANCY SERVICES </w:t>
      </w:r>
      <w:r>
        <w:tab/>
      </w:r>
      <w:r>
        <w:rPr>
          <w:rFonts w:ascii="Inter" w:hAnsi="Inter" w:eastAsia="Inter"/>
          <w:b w:val="0"/>
          <w:i w:val="0"/>
          <w:color w:val="3E3E3E"/>
          <w:sz w:val="19"/>
        </w:rPr>
        <w:t>Pune, India</w:t>
      </w:r>
    </w:p>
    <w:p>
      <w:pPr>
        <w:autoSpaceDN w:val="0"/>
        <w:tabs>
          <w:tab w:pos="8318" w:val="left"/>
        </w:tabs>
        <w:autoSpaceDE w:val="0"/>
        <w:widowControl/>
        <w:spacing w:line="240" w:lineRule="auto" w:before="26" w:after="0"/>
        <w:ind w:left="12" w:right="0" w:firstLine="0"/>
        <w:jc w:val="left"/>
      </w:pPr>
      <w:r>
        <w:rPr>
          <w:rFonts w:ascii="Inter" w:hAnsi="Inter" w:eastAsia="Inter"/>
          <w:b w:val="0"/>
          <w:i w:val="0"/>
          <w:color w:val="000000"/>
          <w:sz w:val="19"/>
        </w:rPr>
        <w:t xml:space="preserve">System Engineer </w:t>
      </w:r>
      <w:r>
        <w:tab/>
      </w:r>
      <w:r>
        <w:rPr>
          <w:rFonts w:ascii="Inter" w:hAnsi="Inter" w:eastAsia="Inter"/>
          <w:b w:val="0"/>
          <w:i w:val="0"/>
          <w:color w:val="3E3E3E"/>
          <w:sz w:val="19"/>
        </w:rPr>
        <w:t>07/2021 - 12/2023</w:t>
      </w:r>
    </w:p>
    <w:p>
      <w:pPr>
        <w:autoSpaceDN w:val="0"/>
        <w:autoSpaceDE w:val="0"/>
        <w:widowControl/>
        <w:spacing w:line="240" w:lineRule="auto" w:before="86" w:after="0"/>
        <w:ind w:left="12" w:right="0" w:firstLine="0"/>
        <w:jc w:val="left"/>
      </w:pPr>
      <w:r>
        <w:rPr>
          <w:w w:val="103.07513475418091"/>
          <w:rFonts w:ascii="Inter" w:hAnsi="Inter" w:eastAsia="Inter"/>
          <w:b w:val="0"/>
          <w:i w:val="0"/>
          <w:color w:val="3E3E3E"/>
          <w:sz w:val="16"/>
        </w:rPr>
        <w:t>Leading IT services, consulting, and business solutions organization</w:t>
      </w:r>
    </w:p>
    <w:p>
      <w:pPr>
        <w:autoSpaceDN w:val="0"/>
        <w:tabs>
          <w:tab w:pos="246" w:val="left"/>
        </w:tabs>
        <w:autoSpaceDE w:val="0"/>
        <w:widowControl/>
        <w:spacing w:line="269" w:lineRule="auto" w:before="68" w:after="0"/>
        <w:ind w:left="64" w:right="432" w:firstLine="0"/>
        <w:jc w:val="left"/>
      </w:pPr>
      <w:r>
        <w:rPr>
          <w:w w:val="103.07513475418091"/>
          <w:rFonts w:ascii="Inter" w:hAnsi="Inter" w:eastAsia="Inter"/>
          <w:b w:val="0"/>
          <w:i w:val="0"/>
          <w:color w:val="3E3E3E"/>
          <w:sz w:val="16"/>
        </w:rPr>
        <w:t>•</w:t>
      </w:r>
      <w:r>
        <w:rPr>
          <w:w w:val="103.07513475418091"/>
          <w:rFonts w:ascii="Inter" w:hAnsi="Inter" w:eastAsia="Inter"/>
          <w:b w:val="0"/>
          <w:i w:val="0"/>
          <w:color w:val="3E3E3E"/>
          <w:sz w:val="16"/>
        </w:rPr>
        <w:t xml:space="preserve">Developed the Regulatory Intelligence Chatbot project using RASA and custom NLP, reducing query response time for </w:t>
      </w:r>
      <w:r>
        <w:tab/>
      </w:r>
      <w:r>
        <w:rPr>
          <w:w w:val="103.07513475418091"/>
          <w:rFonts w:ascii="Inter" w:hAnsi="Inter" w:eastAsia="Inter"/>
          <w:b w:val="0"/>
          <w:i w:val="0"/>
          <w:color w:val="3E3E3E"/>
          <w:sz w:val="16"/>
        </w:rPr>
        <w:t>regulatory professionals</w:t>
      </w:r>
      <w:r/>
      <w:r>
        <w:rPr>
          <w:w w:val="103.07513475418091"/>
          <w:rFonts w:ascii="Inter" w:hAnsi="Inter" w:eastAsia="Inter"/>
          <w:b w:val="0"/>
          <w:i w:val="0"/>
          <w:color w:val="3E3E3E"/>
          <w:sz w:val="16"/>
        </w:rPr>
        <w:t>•</w:t>
      </w:r>
      <w:r>
        <w:rPr>
          <w:w w:val="103.07513475418091"/>
          <w:rFonts w:ascii="Inter" w:hAnsi="Inter" w:eastAsia="Inter"/>
          <w:b w:val="0"/>
          <w:i w:val="0"/>
          <w:color w:val="3E3E3E"/>
          <w:sz w:val="16"/>
        </w:rPr>
        <w:t>Collaborated with SMEs and business leads to design AI-driven healthcare pilots</w:t>
      </w:r>
      <w:r/>
      <w:r>
        <w:rPr>
          <w:w w:val="103.07513475418091"/>
          <w:rFonts w:ascii="Inter" w:hAnsi="Inter" w:eastAsia="Inter"/>
          <w:b w:val="0"/>
          <w:i w:val="0"/>
          <w:color w:val="3E3E3E"/>
          <w:sz w:val="16"/>
        </w:rPr>
        <w:t>•</w:t>
      </w:r>
      <w:r>
        <w:rPr>
          <w:w w:val="103.07513475418091"/>
          <w:rFonts w:ascii="Inter" w:hAnsi="Inter" w:eastAsia="Inter"/>
          <w:b w:val="0"/>
          <w:i w:val="0"/>
          <w:color w:val="3E3E3E"/>
          <w:sz w:val="16"/>
        </w:rPr>
        <w:t>Served as Innovation Lead during the Incubation Bootcamp, resulting in the award-winning product idea</w:t>
      </w:r>
      <w:r/>
      <w:r>
        <w:rPr>
          <w:w w:val="103.07513475418091"/>
          <w:rFonts w:ascii="Inter" w:hAnsi="Inter" w:eastAsia="Inter"/>
          <w:b w:val="0"/>
          <w:i w:val="0"/>
          <w:color w:val="3E3E3E"/>
          <w:sz w:val="16"/>
        </w:rPr>
        <w:t>•</w:t>
      </w:r>
      <w:r/>
      <w:r>
        <w:rPr>
          <w:w w:val="103.07513475418091"/>
          <w:rFonts w:ascii="Inter" w:hAnsi="Inter" w:eastAsia="Inter"/>
          <w:b w:val="0"/>
          <w:i w:val="0"/>
          <w:color w:val="3E3E3E"/>
          <w:sz w:val="16"/>
        </w:rPr>
        <w:t>Mentored three junior interns in Python, NLP, and AI ML fundamentals and developing POC solutions</w:t>
      </w:r>
      <w:r>
        <w:rPr>
          <w:w w:val="103.07513475418091"/>
          <w:rFonts w:ascii="Inter" w:hAnsi="Inter" w:eastAsia="Inter"/>
          <w:b w:val="0"/>
          <w:i w:val="0"/>
          <w:color w:val="3E3E3E"/>
          <w:sz w:val="16"/>
        </w:rPr>
        <w:t>•</w:t>
      </w:r>
      <w:r>
        <w:rPr>
          <w:w w:val="103.07513475418091"/>
          <w:rFonts w:ascii="Inter" w:hAnsi="Inter" w:eastAsia="Inter"/>
          <w:b w:val="0"/>
          <w:i w:val="0"/>
          <w:color w:val="3E3E3E"/>
          <w:sz w:val="16"/>
        </w:rPr>
        <w:t>Initiated a knowledge-sharing forum within the R&amp;I team to accelerate GenAI adoption across verticals</w:t>
      </w:r>
    </w:p>
    <w:p>
      <w:pPr>
        <w:autoSpaceDN w:val="0"/>
        <w:tabs>
          <w:tab w:pos="8992" w:val="left"/>
        </w:tabs>
        <w:autoSpaceDE w:val="0"/>
        <w:widowControl/>
        <w:spacing w:line="240" w:lineRule="auto" w:before="234" w:after="0"/>
        <w:ind w:left="12" w:right="0" w:firstLine="0"/>
        <w:jc w:val="left"/>
      </w:pPr>
      <w:r>
        <w:rPr>
          <w:rFonts w:ascii="Inter" w:hAnsi="Inter" w:eastAsia="Inter"/>
          <w:b w:val="0"/>
          <w:i w:val="0"/>
          <w:color w:val="008CFF"/>
          <w:sz w:val="23"/>
        </w:rPr>
        <w:t xml:space="preserve">TATA CONSULTANCY SERVICES </w:t>
      </w:r>
      <w:r>
        <w:tab/>
      </w:r>
      <w:r>
        <w:rPr>
          <w:rFonts w:ascii="Inter" w:hAnsi="Inter" w:eastAsia="Inter"/>
          <w:b w:val="0"/>
          <w:i w:val="0"/>
          <w:color w:val="3E3E3E"/>
          <w:sz w:val="19"/>
        </w:rPr>
        <w:t>Pune, India</w:t>
      </w:r>
    </w:p>
    <w:p>
      <w:pPr>
        <w:autoSpaceDN w:val="0"/>
        <w:tabs>
          <w:tab w:pos="8272" w:val="left"/>
        </w:tabs>
        <w:autoSpaceDE w:val="0"/>
        <w:widowControl/>
        <w:spacing w:line="240" w:lineRule="auto" w:before="28" w:after="0"/>
        <w:ind w:left="12" w:right="0" w:firstLine="0"/>
        <w:jc w:val="left"/>
      </w:pPr>
      <w:r>
        <w:rPr>
          <w:rFonts w:ascii="Inter" w:hAnsi="Inter" w:eastAsia="Inter"/>
          <w:b w:val="0"/>
          <w:i w:val="0"/>
          <w:color w:val="000000"/>
          <w:sz w:val="19"/>
        </w:rPr>
        <w:t xml:space="preserve">Assistant System Engineer </w:t>
      </w:r>
      <w:r>
        <w:tab/>
      </w:r>
      <w:r>
        <w:rPr>
          <w:rFonts w:ascii="Inter" w:hAnsi="Inter" w:eastAsia="Inter"/>
          <w:b w:val="0"/>
          <w:i w:val="0"/>
          <w:color w:val="3E3E3E"/>
          <w:sz w:val="19"/>
        </w:rPr>
        <w:t>09/2020 - 06/2021</w:t>
      </w:r>
    </w:p>
    <w:p>
      <w:pPr>
        <w:autoSpaceDN w:val="0"/>
        <w:autoSpaceDE w:val="0"/>
        <w:widowControl/>
        <w:spacing w:line="240" w:lineRule="auto" w:before="86" w:after="0"/>
        <w:ind w:left="12" w:right="0" w:firstLine="0"/>
        <w:jc w:val="left"/>
      </w:pPr>
      <w:r>
        <w:rPr>
          <w:w w:val="103.07513475418091"/>
          <w:rFonts w:ascii="Inter" w:hAnsi="Inter" w:eastAsia="Inter"/>
          <w:b w:val="0"/>
          <w:i w:val="0"/>
          <w:color w:val="3E3E3E"/>
          <w:sz w:val="16"/>
        </w:rPr>
        <w:t>Leading IT services, consulting, and business solutions organization</w:t>
      </w:r>
    </w:p>
    <w:p>
      <w:pPr>
        <w:autoSpaceDN w:val="0"/>
        <w:autoSpaceDE w:val="0"/>
        <w:widowControl/>
        <w:spacing w:line="264" w:lineRule="auto" w:before="66" w:after="0"/>
        <w:ind w:left="64" w:right="2880" w:firstLine="0"/>
        <w:jc w:val="left"/>
      </w:pPr>
      <w:r>
        <w:rPr>
          <w:w w:val="103.07513475418091"/>
          <w:rFonts w:ascii="Inter" w:hAnsi="Inter" w:eastAsia="Inter"/>
          <w:b w:val="0"/>
          <w:i w:val="0"/>
          <w:color w:val="3E3E3E"/>
          <w:sz w:val="16"/>
        </w:rPr>
        <w:t>•</w:t>
      </w:r>
      <w:r>
        <w:rPr>
          <w:w w:val="103.07513475418091"/>
          <w:rFonts w:ascii="Inter" w:hAnsi="Inter" w:eastAsia="Inter"/>
          <w:b w:val="0"/>
          <w:i w:val="0"/>
          <w:color w:val="3E3E3E"/>
          <w:sz w:val="16"/>
        </w:rPr>
        <w:t>Contributed to data analysis and dashboard creation using Python for EHR Analytics</w:t>
      </w:r>
      <w:r>
        <w:rPr>
          <w:w w:val="103.07513475418091"/>
          <w:rFonts w:ascii="Inter" w:hAnsi="Inter" w:eastAsia="Inter"/>
          <w:b w:val="0"/>
          <w:i w:val="0"/>
          <w:color w:val="3E3E3E"/>
          <w:sz w:val="16"/>
        </w:rPr>
        <w:t>•</w:t>
      </w:r>
      <w:r>
        <w:rPr>
          <w:w w:val="103.07513475418091"/>
          <w:rFonts w:ascii="Inter" w:hAnsi="Inter" w:eastAsia="Inter"/>
          <w:b w:val="0"/>
          <w:i w:val="0"/>
          <w:color w:val="3E3E3E"/>
          <w:sz w:val="16"/>
        </w:rPr>
        <w:t>Supported early experiments with NLP for medical writing applications</w:t>
      </w:r>
      <w:r/>
      <w:r>
        <w:rPr>
          <w:w w:val="103.07513475418091"/>
          <w:rFonts w:ascii="Inter" w:hAnsi="Inter" w:eastAsia="Inter"/>
          <w:b w:val="0"/>
          <w:i w:val="0"/>
          <w:color w:val="3E3E3E"/>
          <w:sz w:val="16"/>
        </w:rPr>
        <w:t>•</w:t>
      </w:r>
      <w:r>
        <w:rPr>
          <w:w w:val="103.07513475418091"/>
          <w:rFonts w:ascii="Inter" w:hAnsi="Inter" w:eastAsia="Inter"/>
          <w:b w:val="0"/>
          <w:i w:val="0"/>
          <w:color w:val="3E3E3E"/>
          <w:sz w:val="16"/>
        </w:rPr>
        <w:t>Worked as an individual contributor in POC development to streamline EHR data to EDC</w:t>
      </w:r>
    </w:p>
    <w:p>
      <w:pPr>
        <w:autoSpaceDN w:val="0"/>
        <w:autoSpaceDE w:val="0"/>
        <w:widowControl/>
        <w:spacing w:line="226" w:lineRule="auto" w:before="420" w:after="70"/>
        <w:ind w:left="0" w:right="0" w:firstLine="0"/>
        <w:jc w:val="center"/>
      </w:pPr>
      <w:r>
        <w:rPr>
          <w:rFonts w:ascii="Rubik" w:hAnsi="Rubik" w:eastAsia="Rubik"/>
          <w:b w:val="0"/>
          <w:i w:val="0"/>
          <w:color w:val="000000"/>
          <w:sz w:val="23"/>
        </w:rPr>
        <w:t>Education</w:t>
      </w:r>
    </w:p>
    <w:tbl>
      <w:tblPr>
        <w:tblW w:type="auto" w:w="0"/>
        <w:tblLayout w:type="fixed"/>
        <w:tblLook w:firstColumn="1" w:firstRow="1" w:lastColumn="0" w:lastRow="0" w:noHBand="0" w:noVBand="1" w:val="04A0"/>
        <w:tblInd w:w="11.999999999999886" w:type="dxa"/>
      </w:tblPr>
      <w:tblGrid>
        <w:gridCol w:w="3335"/>
        <w:gridCol w:w="3335"/>
        <w:gridCol w:w="3335"/>
      </w:tblGrid>
      <w:tr>
        <w:trPr>
          <w:trHeight w:hRule="exact" w:val="2408"/>
        </w:trPr>
        <w:tc>
          <w:tcPr>
            <w:tcW w:type="dxa" w:w="6744"/>
            <w:vMerge w:val="restart"/>
            <w:tcBorders>
              <w:top w:sz="4.800000000000182" w:val="single" w:color="#000000"/>
            </w:tcBorders>
            <w:tcMar>
              <w:start w:w="0" w:type="dxa"/>
              <w:end w:w="0" w:type="dxa"/>
            </w:tcMar>
            <w:tcMar>
              <w:start w:w="0" w:type="dxa"/>
              <w:end w:w="0" w:type="dxa"/>
            </w:tcMar>
          </w:tcPr>
          <w:p>
            <w:pPr>
              <w:autoSpaceDN w:val="0"/>
              <w:autoSpaceDE w:val="0"/>
              <w:widowControl/>
              <w:spacing w:line="252" w:lineRule="auto" w:before="110" w:after="0"/>
              <w:ind w:left="0" w:right="720" w:firstLine="0"/>
              <w:jc w:val="left"/>
            </w:pPr>
            <w:r>
              <w:rPr>
                <w:rFonts w:ascii="Inter" w:hAnsi="Inter" w:eastAsia="Inter"/>
                <w:b w:val="0"/>
                <w:i w:val="0"/>
                <w:color w:val="008CFF"/>
                <w:sz w:val="23"/>
              </w:rPr>
              <w:t xml:space="preserve">Rajarambapu Institute of Technology, Shivaji University </w:t>
            </w:r>
            <w:r>
              <w:rPr>
                <w:rFonts w:ascii="Inter" w:hAnsi="Inter" w:eastAsia="Inter"/>
                <w:b w:val="0"/>
                <w:i w:val="0"/>
                <w:color w:val="000000"/>
                <w:sz w:val="19"/>
              </w:rPr>
              <w:t>Bachelor of Technology (Mechanical Engineering)</w:t>
            </w:r>
          </w:p>
          <w:p>
            <w:pPr>
              <w:autoSpaceDN w:val="0"/>
              <w:autoSpaceDE w:val="0"/>
              <w:widowControl/>
              <w:spacing w:line="252" w:lineRule="auto" w:before="226" w:after="0"/>
              <w:ind w:left="0" w:right="2160" w:firstLine="0"/>
              <w:jc w:val="left"/>
            </w:pPr>
            <w:r>
              <w:rPr>
                <w:rFonts w:ascii="Inter" w:hAnsi="Inter" w:eastAsia="Inter"/>
                <w:b w:val="0"/>
                <w:i w:val="0"/>
                <w:color w:val="008CFF"/>
                <w:sz w:val="23"/>
              </w:rPr>
              <w:t xml:space="preserve">Yashawantrao Chavan Institute of Science </w:t>
            </w:r>
            <w:r>
              <w:rPr>
                <w:rFonts w:ascii="Inter" w:hAnsi="Inter" w:eastAsia="Inter"/>
                <w:b w:val="0"/>
                <w:i w:val="0"/>
                <w:color w:val="000000"/>
                <w:sz w:val="19"/>
              </w:rPr>
              <w:t>Higher Secondary (H.S.C)</w:t>
            </w:r>
          </w:p>
          <w:p>
            <w:pPr>
              <w:autoSpaceDN w:val="0"/>
              <w:autoSpaceDE w:val="0"/>
              <w:widowControl/>
              <w:spacing w:line="252" w:lineRule="auto" w:before="228" w:after="0"/>
              <w:ind w:left="0" w:right="3600" w:firstLine="0"/>
              <w:jc w:val="left"/>
            </w:pPr>
            <w:r>
              <w:rPr>
                <w:rFonts w:ascii="Inter" w:hAnsi="Inter" w:eastAsia="Inter"/>
                <w:b w:val="0"/>
                <w:i w:val="0"/>
                <w:color w:val="008CFF"/>
                <w:sz w:val="23"/>
              </w:rPr>
              <w:t xml:space="preserve">Maharaja Sayajirao Vidyalaya </w:t>
            </w:r>
            <w:r/>
            <w:r>
              <w:rPr>
                <w:rFonts w:ascii="Inter" w:hAnsi="Inter" w:eastAsia="Inter"/>
                <w:b w:val="0"/>
                <w:i w:val="0"/>
                <w:color w:val="000000"/>
                <w:sz w:val="19"/>
              </w:rPr>
              <w:t>Secondary School (S.S.C)</w:t>
            </w:r>
          </w:p>
          <w:p>
            <w:pPr>
              <w:autoSpaceDN w:val="0"/>
              <w:autoSpaceDE w:val="0"/>
              <w:widowControl/>
              <w:spacing w:line="242" w:lineRule="auto" w:before="1074" w:after="0"/>
              <w:ind w:left="0" w:right="0" w:firstLine="0"/>
              <w:jc w:val="left"/>
            </w:pPr>
            <w:r>
              <w:rPr>
                <w:rFonts w:ascii="Inter" w:hAnsi="Inter" w:eastAsia="Inter"/>
                <w:b w:val="0"/>
                <w:i w:val="0"/>
                <w:color w:val="3E3E3E"/>
                <w:sz w:val="14"/>
              </w:rPr>
              <w:t>www.enhancv.com</w:t>
            </w:r>
          </w:p>
        </w:tc>
        <w:tc>
          <w:tcPr>
            <w:tcW w:type="dxa" w:w="3228"/>
            <w:gridSpan w:val="2"/>
            <w:tcBorders>
              <w:top w:sz="4.800000000000182" w:val="single" w:color="#000000"/>
            </w:tcBorders>
            <w:tcMar>
              <w:start w:w="0" w:type="dxa"/>
              <w:end w:w="0" w:type="dxa"/>
            </w:tcMar>
            <w:tcMar>
              <w:start w:w="0" w:type="dxa"/>
              <w:end w:w="0" w:type="dxa"/>
            </w:tcMar>
          </w:tcPr>
          <w:p>
            <w:pPr>
              <w:autoSpaceDN w:val="0"/>
              <w:autoSpaceDE w:val="0"/>
              <w:widowControl/>
              <w:spacing w:line="278" w:lineRule="auto" w:before="108" w:after="0"/>
              <w:ind w:left="1554" w:right="0" w:firstLine="588"/>
              <w:jc w:val="left"/>
            </w:pPr>
            <w:r>
              <w:rPr>
                <w:rFonts w:ascii="Inter" w:hAnsi="Inter" w:eastAsia="Inter"/>
                <w:b w:val="0"/>
                <w:i w:val="0"/>
                <w:color w:val="3E3E3E"/>
                <w:sz w:val="19"/>
              </w:rPr>
              <w:t xml:space="preserve">Sangli, India </w:t>
            </w:r>
            <w:r>
              <w:rPr>
                <w:rFonts w:ascii="Inter" w:hAnsi="Inter" w:eastAsia="Inter"/>
                <w:b w:val="0"/>
                <w:i w:val="0"/>
                <w:color w:val="3E3E3E"/>
                <w:sz w:val="19"/>
              </w:rPr>
              <w:t>07/2014 - 05/2018</w:t>
            </w:r>
          </w:p>
          <w:p>
            <w:pPr>
              <w:autoSpaceDN w:val="0"/>
              <w:autoSpaceDE w:val="0"/>
              <w:widowControl/>
              <w:spacing w:line="278" w:lineRule="auto" w:before="226" w:after="0"/>
              <w:ind w:left="1544" w:right="0" w:firstLine="562"/>
              <w:jc w:val="left"/>
            </w:pPr>
            <w:r>
              <w:rPr>
                <w:rFonts w:ascii="Inter" w:hAnsi="Inter" w:eastAsia="Inter"/>
                <w:b w:val="0"/>
                <w:i w:val="0"/>
                <w:color w:val="3E3E3E"/>
                <w:sz w:val="19"/>
              </w:rPr>
              <w:t xml:space="preserve">Satara, India </w:t>
            </w:r>
            <w:r>
              <w:rPr>
                <w:rFonts w:ascii="Inter" w:hAnsi="Inter" w:eastAsia="Inter"/>
                <w:b w:val="0"/>
                <w:i w:val="0"/>
                <w:color w:val="3E3E3E"/>
                <w:sz w:val="19"/>
              </w:rPr>
              <w:t>06/2012 - 05/2014</w:t>
            </w:r>
          </w:p>
          <w:p>
            <w:pPr>
              <w:autoSpaceDN w:val="0"/>
              <w:autoSpaceDE w:val="0"/>
              <w:widowControl/>
              <w:spacing w:line="278" w:lineRule="auto" w:before="226" w:after="0"/>
              <w:ind w:left="1576" w:right="0" w:firstLine="530"/>
              <w:jc w:val="left"/>
            </w:pPr>
            <w:r>
              <w:rPr>
                <w:rFonts w:ascii="Inter" w:hAnsi="Inter" w:eastAsia="Inter"/>
                <w:b w:val="0"/>
                <w:i w:val="0"/>
                <w:color w:val="3E3E3E"/>
                <w:sz w:val="19"/>
              </w:rPr>
              <w:t xml:space="preserve">Satara, India </w:t>
            </w:r>
            <w:r>
              <w:rPr>
                <w:rFonts w:ascii="Inter" w:hAnsi="Inter" w:eastAsia="Inter"/>
                <w:b w:val="0"/>
                <w:i w:val="0"/>
                <w:color w:val="3E3E3E"/>
                <w:sz w:val="19"/>
              </w:rPr>
              <w:t>06/2011 - 05/2012</w:t>
            </w:r>
          </w:p>
        </w:tc>
      </w:tr>
      <w:tr>
        <w:trPr>
          <w:trHeight w:hRule="exact" w:val="1544"/>
        </w:trPr>
        <w:tc>
          <w:tcPr>
            <w:tcW w:type="dxa" w:w="3335"/>
            <w:vMerge/>
            <w:tcBorders>
              <w:top w:sz="4.800000000000182" w:val="single" w:color="#000000"/>
            </w:tcBorders>
          </w:tcPr>
          <w:p/>
        </w:tc>
        <w:tc>
          <w:tcPr>
            <w:tcW w:type="dxa" w:w="1740"/>
            <w:tcBorders/>
            <w:tcMar>
              <w:start w:w="0" w:type="dxa"/>
              <w:end w:w="0" w:type="dxa"/>
            </w:tcMar>
          </w:tcPr>
          <w:p>
            <w:pPr>
              <w:autoSpaceDN w:val="0"/>
              <w:autoSpaceDE w:val="0"/>
              <w:widowControl/>
              <w:spacing w:line="242" w:lineRule="auto" w:before="812" w:after="0"/>
              <w:ind w:left="0" w:right="118" w:firstLine="0"/>
              <w:jc w:val="right"/>
            </w:pPr>
            <w:r>
              <w:rPr>
                <w:rFonts w:ascii="Inter" w:hAnsi="Inter" w:eastAsia="Inter"/>
                <w:b w:val="0"/>
                <w:i w:val="0"/>
                <w:color w:val="3E3E3E"/>
                <w:sz w:val="14"/>
              </w:rPr>
              <w:t>Powered by</w:t>
            </w:r>
          </w:p>
        </w:tc>
        <w:tc>
          <w:tcPr>
            <w:tcW w:type="dxa" w:w="1488"/>
            <w:tcBorders/>
            <w:tcMar>
              <w:start w:w="0" w:type="dxa"/>
              <w:end w:w="0" w:type="dxa"/>
            </w:tcMar>
          </w:tcPr>
          <w:p>
            <w:pPr>
              <w:autoSpaceDN w:val="0"/>
              <w:autoSpaceDE w:val="0"/>
              <w:widowControl/>
              <w:spacing w:line="221" w:lineRule="auto" w:before="250" w:after="0"/>
              <w:ind w:left="0" w:right="0" w:firstLine="0"/>
              <w:jc w:val="center"/>
            </w:pPr>
            <w:r>
              <w:rPr>
                <w:rFonts w:ascii="resumeicons" w:hAnsi="resumeicons" w:eastAsia="resumeicons"/>
                <w:b w:val="0"/>
                <w:i w:val="0"/>
                <w:color w:val="3E3E3E"/>
                <w:sz w:val="127"/>
              </w:rPr>
              <w:t>​</w:t>
            </w:r>
          </w:p>
        </w:tc>
      </w:tr>
    </w:tbl>
    <w:p>
      <w:pPr>
        <w:autoSpaceDN w:val="0"/>
        <w:autoSpaceDE w:val="0"/>
        <w:widowControl/>
        <w:spacing w:line="14" w:lineRule="exact" w:before="0" w:after="0"/>
        <w:ind w:left="0" w:right="0"/>
      </w:pPr>
    </w:p>
    <w:p>
      <w:pPr/>
    </w:p>
    <w:p>
      <w:pPr>
        <w:autoSpaceDN w:val="0"/>
        <w:autoSpaceDE w:val="0"/>
        <w:widowControl/>
        <w:spacing w:line="228" w:lineRule="auto" w:before="864" w:after="70"/>
        <w:ind w:left="0" w:right="0" w:firstLine="0"/>
        <w:jc w:val="center"/>
      </w:pPr>
      <w:r>
        <w:rPr>
          <w:rFonts w:ascii="Rubik" w:hAnsi="Rubik" w:eastAsia="Rubik"/>
          <w:b w:val="0"/>
          <w:i w:val="0"/>
          <w:color w:val="000000"/>
          <w:sz w:val="23"/>
        </w:rPr>
        <w:t>Key Achievements</w:t>
      </w:r>
    </w:p>
    <w:tbl>
      <w:tblPr>
        <w:tblW w:type="auto" w:w="0"/>
        <w:tblLayout w:type="fixed"/>
        <w:tblLook w:firstColumn="1" w:firstRow="1" w:lastColumn="0" w:lastRow="0" w:noHBand="0" w:noVBand="1" w:val="04A0"/>
        <w:tblInd w:w="976.0" w:type="dxa"/>
      </w:tblPr>
      <w:tblGrid>
        <w:gridCol w:w="1506"/>
        <w:gridCol w:w="1506"/>
        <w:gridCol w:w="1506"/>
        <w:gridCol w:w="1506"/>
        <w:gridCol w:w="1506"/>
        <w:gridCol w:w="1506"/>
      </w:tblGrid>
      <w:tr>
        <w:trPr>
          <w:trHeight w:hRule="exact" w:val="368"/>
        </w:trPr>
        <w:tc>
          <w:tcPr>
            <w:tcW w:type="dxa" w:w="304"/>
            <w:vMerge w:val="restart"/>
            <w:tcBorders>
              <w:top w:sz="4.80000000000001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110" w:after="0"/>
              <w:ind w:left="0" w:right="0" w:firstLine="0"/>
              <w:jc w:val="center"/>
            </w:pPr>
            <w:r>
              <w:rPr>
                <w:w w:val="101.48936462402345"/>
                <w:rFonts w:ascii="resumeicons" w:hAnsi="resumeicons" w:eastAsia="resumeicons"/>
                <w:b w:val="0"/>
                <w:i w:val="0"/>
                <w:color w:val="008CFF"/>
                <w:sz w:val="25"/>
              </w:rPr>
              <w:t>​</w:t>
            </w:r>
          </w:p>
        </w:tc>
        <w:tc>
          <w:tcPr>
            <w:tcW w:type="dxa" w:w="2900"/>
            <w:tcBorders>
              <w:top w:sz="4.800000000000011" w:val="single" w:color="#000000"/>
            </w:tcBorders>
            <w:tcMar>
              <w:start w:w="0" w:type="dxa"/>
              <w:end w:w="0" w:type="dxa"/>
            </w:tcMar>
          </w:tcPr>
          <w:p>
            <w:pPr>
              <w:autoSpaceDN w:val="0"/>
              <w:autoSpaceDE w:val="0"/>
              <w:widowControl/>
              <w:spacing w:line="240" w:lineRule="auto" w:before="108" w:after="0"/>
              <w:ind w:left="52" w:right="0" w:firstLine="0"/>
              <w:jc w:val="left"/>
            </w:pPr>
            <w:r>
              <w:rPr>
                <w:rFonts w:ascii="Inter" w:hAnsi="Inter" w:eastAsia="Inter"/>
                <w:b w:val="0"/>
                <w:i w:val="0"/>
                <w:color w:val="000000"/>
                <w:sz w:val="19"/>
              </w:rPr>
              <w:t>Granted Patent Holder</w:t>
            </w:r>
          </w:p>
        </w:tc>
        <w:tc>
          <w:tcPr>
            <w:tcW w:type="dxa" w:w="560"/>
            <w:vMerge w:val="restart"/>
            <w:tcBorders>
              <w:top w:sz="4.80000000000001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110" w:after="0"/>
              <w:ind w:left="0" w:right="42" w:firstLine="0"/>
              <w:jc w:val="right"/>
            </w:pPr>
            <w:r>
              <w:rPr>
                <w:w w:val="101.48936462402345"/>
                <w:rFonts w:ascii="resumeicons" w:hAnsi="resumeicons" w:eastAsia="resumeicons"/>
                <w:b w:val="0"/>
                <w:i w:val="0"/>
                <w:color w:val="008CFF"/>
                <w:sz w:val="25"/>
              </w:rPr>
              <w:t>​</w:t>
            </w:r>
          </w:p>
        </w:tc>
        <w:tc>
          <w:tcPr>
            <w:tcW w:type="dxa" w:w="2880"/>
            <w:tcBorders>
              <w:top w:sz="4.800000000000011" w:val="single" w:color="#000000"/>
            </w:tcBorders>
            <w:tcMar>
              <w:start w:w="0" w:type="dxa"/>
              <w:end w:w="0" w:type="dxa"/>
            </w:tcMar>
          </w:tcPr>
          <w:p>
            <w:pPr>
              <w:autoSpaceDN w:val="0"/>
              <w:autoSpaceDE w:val="0"/>
              <w:widowControl/>
              <w:spacing w:line="240" w:lineRule="auto" w:before="108" w:after="0"/>
              <w:ind w:left="60" w:right="0" w:firstLine="0"/>
              <w:jc w:val="left"/>
            </w:pPr>
            <w:r>
              <w:rPr>
                <w:rFonts w:ascii="Inter" w:hAnsi="Inter" w:eastAsia="Inter"/>
                <w:b w:val="0"/>
                <w:i w:val="0"/>
                <w:color w:val="000000"/>
                <w:sz w:val="19"/>
              </w:rPr>
              <w:t>Published Author</w:t>
            </w:r>
          </w:p>
        </w:tc>
        <w:tc>
          <w:tcPr>
            <w:tcW w:type="dxa" w:w="580"/>
            <w:vMerge w:val="restart"/>
            <w:tcBorders>
              <w:top w:sz="4.80000000000001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110" w:after="0"/>
              <w:ind w:left="0" w:right="34" w:firstLine="0"/>
              <w:jc w:val="right"/>
            </w:pPr>
            <w:r>
              <w:rPr>
                <w:w w:val="101.48936462402345"/>
                <w:rFonts w:ascii="resumeicons" w:hAnsi="resumeicons" w:eastAsia="resumeicons"/>
                <w:b w:val="0"/>
                <w:i w:val="0"/>
                <w:color w:val="008CFF"/>
                <w:sz w:val="25"/>
              </w:rPr>
              <w:t>​</w:t>
            </w:r>
          </w:p>
        </w:tc>
        <w:tc>
          <w:tcPr>
            <w:tcW w:type="dxa" w:w="2748"/>
            <w:tcBorders>
              <w:top w:sz="4.800000000000011" w:val="single" w:color="#000000"/>
            </w:tcBorders>
            <w:tcMar>
              <w:start w:w="0" w:type="dxa"/>
              <w:end w:w="0" w:type="dxa"/>
            </w:tcMar>
          </w:tcPr>
          <w:p>
            <w:pPr>
              <w:autoSpaceDN w:val="0"/>
              <w:autoSpaceDE w:val="0"/>
              <w:widowControl/>
              <w:spacing w:line="240" w:lineRule="auto" w:before="108" w:after="0"/>
              <w:ind w:left="68" w:right="0" w:firstLine="0"/>
              <w:jc w:val="left"/>
            </w:pPr>
            <w:r>
              <w:rPr>
                <w:rFonts w:ascii="Inter" w:hAnsi="Inter" w:eastAsia="Inter"/>
                <w:b w:val="0"/>
                <w:i w:val="0"/>
                <w:color w:val="000000"/>
                <w:sz w:val="19"/>
              </w:rPr>
              <w:t>PharmaSUG Presenter</w:t>
            </w:r>
          </w:p>
        </w:tc>
      </w:tr>
      <w:tr>
        <w:trPr>
          <w:trHeight w:hRule="exact" w:val="220"/>
        </w:trPr>
        <w:tc>
          <w:tcPr>
            <w:tcW w:type="dxa" w:w="1506"/>
            <w:vMerge/>
            <w:tcBorders>
              <w:top w:sz="4.800000000000011" w:val="single" w:color="#000000"/>
            </w:tcBorders>
          </w:tcPr>
          <w:p/>
        </w:tc>
        <w:tc>
          <w:tcPr>
            <w:tcW w:type="dxa" w:w="2900"/>
            <w:tcBorders/>
            <w:tcMar>
              <w:start w:w="0" w:type="dxa"/>
              <w:end w:w="0" w:type="dxa"/>
            </w:tcMar>
          </w:tcPr>
          <w:p>
            <w:pPr>
              <w:autoSpaceDN w:val="0"/>
              <w:autoSpaceDE w:val="0"/>
              <w:widowControl/>
              <w:spacing w:line="240" w:lineRule="auto" w:before="20" w:after="0"/>
              <w:ind w:left="52" w:right="0" w:firstLine="0"/>
              <w:jc w:val="left"/>
            </w:pPr>
            <w:r>
              <w:rPr>
                <w:w w:val="103.07513475418091"/>
                <w:rFonts w:ascii="Inter" w:hAnsi="Inter" w:eastAsia="Inter"/>
                <w:b w:val="0"/>
                <w:i w:val="0"/>
                <w:color w:val="3E3E3E"/>
                <w:sz w:val="16"/>
              </w:rPr>
              <w:t xml:space="preserve">Granted patent for an automated </w:t>
            </w:r>
          </w:p>
        </w:tc>
        <w:tc>
          <w:tcPr>
            <w:tcW w:type="dxa" w:w="1506"/>
            <w:vMerge/>
            <w:tcBorders>
              <w:top w:sz="4.800000000000011" w:val="single" w:color="#000000"/>
            </w:tcBorders>
          </w:tcPr>
          <w:p/>
        </w:tc>
        <w:tc>
          <w:tcPr>
            <w:tcW w:type="dxa" w:w="2880"/>
            <w:tcBorders/>
            <w:tcMar>
              <w:start w:w="0" w:type="dxa"/>
              <w:end w:w="0" w:type="dxa"/>
            </w:tcMar>
          </w:tcPr>
          <w:p>
            <w:pPr>
              <w:autoSpaceDN w:val="0"/>
              <w:autoSpaceDE w:val="0"/>
              <w:widowControl/>
              <w:spacing w:line="240" w:lineRule="auto" w:before="20" w:after="0"/>
              <w:ind w:left="60" w:right="0" w:firstLine="0"/>
              <w:jc w:val="left"/>
            </w:pPr>
            <w:r>
              <w:rPr>
                <w:w w:val="103.07513475418091"/>
                <w:rFonts w:ascii="Inter" w:hAnsi="Inter" w:eastAsia="Inter"/>
                <w:b w:val="0"/>
                <w:i w:val="0"/>
                <w:color w:val="3E3E3E"/>
                <w:sz w:val="16"/>
              </w:rPr>
              <w:t xml:space="preserve">Published author with extensive </w:t>
            </w:r>
          </w:p>
        </w:tc>
        <w:tc>
          <w:tcPr>
            <w:tcW w:type="dxa" w:w="1506"/>
            <w:vMerge/>
            <w:tcBorders>
              <w:top w:sz="4.800000000000011" w:val="single" w:color="#000000"/>
            </w:tcBorders>
          </w:tcPr>
          <w:p/>
        </w:tc>
        <w:tc>
          <w:tcPr>
            <w:tcW w:type="dxa" w:w="2748"/>
            <w:tcBorders/>
            <w:tcMar>
              <w:start w:w="0" w:type="dxa"/>
              <w:end w:w="0" w:type="dxa"/>
            </w:tcMar>
          </w:tcPr>
          <w:p>
            <w:pPr>
              <w:autoSpaceDN w:val="0"/>
              <w:autoSpaceDE w:val="0"/>
              <w:widowControl/>
              <w:spacing w:line="240" w:lineRule="auto" w:before="20" w:after="0"/>
              <w:ind w:left="68" w:right="0" w:firstLine="0"/>
              <w:jc w:val="left"/>
            </w:pPr>
            <w:r>
              <w:rPr>
                <w:w w:val="103.07513475418091"/>
                <w:rFonts w:ascii="Inter" w:hAnsi="Inter" w:eastAsia="Inter"/>
                <w:b w:val="0"/>
                <w:i w:val="0"/>
                <w:color w:val="3E3E3E"/>
                <w:sz w:val="16"/>
              </w:rPr>
              <w:t xml:space="preserve">Presented at PharmaSUG, </w:t>
            </w:r>
          </w:p>
        </w:tc>
      </w:tr>
      <w:tr>
        <w:trPr>
          <w:trHeight w:hRule="exact" w:val="220"/>
        </w:trPr>
        <w:tc>
          <w:tcPr>
            <w:tcW w:type="dxa" w:w="1506"/>
            <w:vMerge/>
            <w:tcBorders>
              <w:top w:sz="4.800000000000011" w:val="single" w:color="#000000"/>
            </w:tcBorders>
          </w:tcPr>
          <w:p/>
        </w:tc>
        <w:tc>
          <w:tcPr>
            <w:tcW w:type="dxa" w:w="2900"/>
            <w:tcBorders/>
            <w:tcMar>
              <w:start w:w="0" w:type="dxa"/>
              <w:end w:w="0" w:type="dxa"/>
            </w:tcMar>
          </w:tcPr>
          <w:p>
            <w:pPr>
              <w:autoSpaceDN w:val="0"/>
              <w:autoSpaceDE w:val="0"/>
              <w:widowControl/>
              <w:spacing w:line="238" w:lineRule="auto" w:before="20" w:after="0"/>
              <w:ind w:left="52" w:right="0" w:firstLine="0"/>
              <w:jc w:val="left"/>
            </w:pPr>
            <w:r>
              <w:rPr>
                <w:w w:val="103.07513475418091"/>
                <w:rFonts w:ascii="Inter" w:hAnsi="Inter" w:eastAsia="Inter"/>
                <w:b w:val="0"/>
                <w:i w:val="0"/>
                <w:color w:val="3E3E3E"/>
                <w:sz w:val="16"/>
              </w:rPr>
              <w:t xml:space="preserve">validation approach enhancing </w:t>
            </w:r>
          </w:p>
        </w:tc>
        <w:tc>
          <w:tcPr>
            <w:tcW w:type="dxa" w:w="1506"/>
            <w:vMerge/>
            <w:tcBorders>
              <w:top w:sz="4.800000000000011" w:val="single" w:color="#000000"/>
            </w:tcBorders>
          </w:tcPr>
          <w:p/>
        </w:tc>
        <w:tc>
          <w:tcPr>
            <w:tcW w:type="dxa" w:w="2880"/>
            <w:tcBorders/>
            <w:tcMar>
              <w:start w:w="0" w:type="dxa"/>
              <w:end w:w="0" w:type="dxa"/>
            </w:tcMar>
          </w:tcPr>
          <w:p>
            <w:pPr>
              <w:autoSpaceDN w:val="0"/>
              <w:autoSpaceDE w:val="0"/>
              <w:widowControl/>
              <w:spacing w:line="238" w:lineRule="auto" w:before="20" w:after="0"/>
              <w:ind w:left="60" w:right="0" w:firstLine="0"/>
              <w:jc w:val="left"/>
            </w:pPr>
            <w:r>
              <w:rPr>
                <w:w w:val="103.07513475418091"/>
                <w:rFonts w:ascii="Inter" w:hAnsi="Inter" w:eastAsia="Inter"/>
                <w:b w:val="0"/>
                <w:i w:val="0"/>
                <w:color w:val="3E3E3E"/>
                <w:sz w:val="16"/>
              </w:rPr>
              <w:t xml:space="preserve">research on AI advancements in </w:t>
            </w:r>
          </w:p>
        </w:tc>
        <w:tc>
          <w:tcPr>
            <w:tcW w:type="dxa" w:w="1506"/>
            <w:vMerge/>
            <w:tcBorders>
              <w:top w:sz="4.800000000000011" w:val="single" w:color="#000000"/>
            </w:tcBorders>
          </w:tcPr>
          <w:p/>
        </w:tc>
        <w:tc>
          <w:tcPr>
            <w:tcW w:type="dxa" w:w="2748"/>
            <w:tcBorders/>
            <w:tcMar>
              <w:start w:w="0" w:type="dxa"/>
              <w:end w:w="0" w:type="dxa"/>
            </w:tcMar>
          </w:tcPr>
          <w:p>
            <w:pPr>
              <w:autoSpaceDN w:val="0"/>
              <w:autoSpaceDE w:val="0"/>
              <w:widowControl/>
              <w:spacing w:line="238" w:lineRule="auto" w:before="20" w:after="0"/>
              <w:ind w:left="68" w:right="0" w:firstLine="0"/>
              <w:jc w:val="left"/>
            </w:pPr>
            <w:r>
              <w:rPr>
                <w:w w:val="103.07513475418091"/>
                <w:rFonts w:ascii="Inter" w:hAnsi="Inter" w:eastAsia="Inter"/>
                <w:b w:val="0"/>
                <w:i w:val="0"/>
                <w:color w:val="3E3E3E"/>
                <w:sz w:val="16"/>
              </w:rPr>
              <w:t xml:space="preserve">showcasing innovative </w:t>
            </w:r>
          </w:p>
        </w:tc>
      </w:tr>
      <w:tr>
        <w:trPr>
          <w:trHeight w:hRule="exact" w:val="204"/>
        </w:trPr>
        <w:tc>
          <w:tcPr>
            <w:tcW w:type="dxa" w:w="1506"/>
            <w:vMerge/>
            <w:tcBorders>
              <w:top w:sz="4.800000000000011" w:val="single" w:color="#000000"/>
            </w:tcBorders>
          </w:tcPr>
          <w:p/>
        </w:tc>
        <w:tc>
          <w:tcPr>
            <w:tcW w:type="dxa" w:w="2900"/>
            <w:tcBorders/>
            <w:tcMar>
              <w:start w:w="0" w:type="dxa"/>
              <w:end w:w="0" w:type="dxa"/>
            </w:tcMar>
          </w:tcPr>
          <w:p>
            <w:pPr>
              <w:autoSpaceDN w:val="0"/>
              <w:autoSpaceDE w:val="0"/>
              <w:widowControl/>
              <w:spacing w:line="240" w:lineRule="auto" w:before="2" w:after="0"/>
              <w:ind w:left="52" w:right="0" w:firstLine="0"/>
              <w:jc w:val="left"/>
            </w:pPr>
            <w:r>
              <w:rPr>
                <w:w w:val="103.07513475418091"/>
                <w:rFonts w:ascii="Inter" w:hAnsi="Inter" w:eastAsia="Inter"/>
                <w:b w:val="0"/>
                <w:i w:val="0"/>
                <w:color w:val="3E3E3E"/>
                <w:sz w:val="16"/>
              </w:rPr>
              <w:t>regulatory compliance processes</w:t>
            </w:r>
          </w:p>
        </w:tc>
        <w:tc>
          <w:tcPr>
            <w:tcW w:type="dxa" w:w="1506"/>
            <w:vMerge/>
            <w:tcBorders>
              <w:top w:sz="4.800000000000011" w:val="single" w:color="#000000"/>
            </w:tcBorders>
          </w:tcPr>
          <w:p/>
        </w:tc>
        <w:tc>
          <w:tcPr>
            <w:tcW w:type="dxa" w:w="2880"/>
            <w:tcBorders/>
            <w:tcMar>
              <w:start w:w="0" w:type="dxa"/>
              <w:end w:w="0" w:type="dxa"/>
            </w:tcMar>
          </w:tcPr>
          <w:p>
            <w:pPr>
              <w:autoSpaceDN w:val="0"/>
              <w:autoSpaceDE w:val="0"/>
              <w:widowControl/>
              <w:spacing w:line="240" w:lineRule="auto" w:before="2" w:after="0"/>
              <w:ind w:left="60" w:right="0" w:firstLine="0"/>
              <w:jc w:val="left"/>
            </w:pPr>
            <w:r>
              <w:rPr>
                <w:w w:val="103.07513475418091"/>
                <w:rFonts w:ascii="Inter" w:hAnsi="Inter" w:eastAsia="Inter"/>
                <w:b w:val="0"/>
                <w:i w:val="0"/>
                <w:color w:val="3E3E3E"/>
                <w:sz w:val="16"/>
              </w:rPr>
              <w:t>regulatory intelligence</w:t>
            </w:r>
          </w:p>
        </w:tc>
        <w:tc>
          <w:tcPr>
            <w:tcW w:type="dxa" w:w="1506"/>
            <w:vMerge/>
            <w:tcBorders>
              <w:top w:sz="4.800000000000011" w:val="single" w:color="#000000"/>
            </w:tcBorders>
          </w:tcPr>
          <w:p/>
        </w:tc>
        <w:tc>
          <w:tcPr>
            <w:tcW w:type="dxa" w:w="2748"/>
            <w:tcBorders/>
            <w:tcMar>
              <w:start w:w="0" w:type="dxa"/>
              <w:end w:w="0" w:type="dxa"/>
            </w:tcMar>
          </w:tcPr>
          <w:p>
            <w:pPr>
              <w:autoSpaceDN w:val="0"/>
              <w:autoSpaceDE w:val="0"/>
              <w:widowControl/>
              <w:spacing w:line="240" w:lineRule="auto" w:before="2" w:after="0"/>
              <w:ind w:left="68" w:right="0" w:firstLine="0"/>
              <w:jc w:val="left"/>
            </w:pPr>
            <w:r>
              <w:rPr>
                <w:w w:val="103.07513475418091"/>
                <w:rFonts w:ascii="Inter" w:hAnsi="Inter" w:eastAsia="Inter"/>
                <w:b w:val="0"/>
                <w:i w:val="0"/>
                <w:color w:val="3E3E3E"/>
                <w:sz w:val="16"/>
              </w:rPr>
              <w:t xml:space="preserve">applications of AI in clinical </w:t>
            </w:r>
          </w:p>
        </w:tc>
      </w:tr>
    </w:tbl>
    <w:p>
      <w:pPr>
        <w:autoSpaceDN w:val="0"/>
        <w:autoSpaceDE w:val="0"/>
        <w:widowControl/>
        <w:spacing w:line="238" w:lineRule="auto" w:before="0" w:after="0"/>
        <w:ind w:left="0" w:right="2930" w:firstLine="0"/>
        <w:jc w:val="right"/>
      </w:pPr>
      <w:r>
        <w:rPr>
          <w:w w:val="103.07513475418091"/>
          <w:rFonts w:ascii="Inter" w:hAnsi="Inter" w:eastAsia="Inter"/>
          <w:b w:val="0"/>
          <w:i w:val="0"/>
          <w:color w:val="3E3E3E"/>
          <w:sz w:val="16"/>
        </w:rPr>
        <w:t>practices</w:t>
      </w:r>
    </w:p>
    <w:p>
      <w:pPr>
        <w:autoSpaceDN w:val="0"/>
        <w:autoSpaceDE w:val="0"/>
        <w:widowControl/>
        <w:spacing w:line="226" w:lineRule="auto" w:before="408" w:after="0"/>
        <w:ind w:left="0" w:right="0" w:firstLine="0"/>
        <w:jc w:val="center"/>
      </w:pPr>
      <w:r>
        <w:rPr>
          <w:rFonts w:ascii="Rubik" w:hAnsi="Rubik" w:eastAsia="Rubik"/>
          <w:b w:val="0"/>
          <w:i w:val="0"/>
          <w:color w:val="000000"/>
          <w:sz w:val="23"/>
        </w:rPr>
        <w:t>Skills</w:t>
      </w:r>
    </w:p>
    <w:p>
      <w:pPr>
        <w:autoSpaceDN w:val="0"/>
        <w:autoSpaceDE w:val="0"/>
        <w:widowControl/>
        <w:spacing w:line="240" w:lineRule="auto" w:before="214" w:after="0"/>
        <w:ind w:left="976" w:right="0" w:firstLine="0"/>
        <w:jc w:val="left"/>
      </w:pPr>
      <w:r>
        <w:rPr>
          <w:w w:val="103.07513475418091"/>
          <w:rFonts w:ascii="Inter" w:hAnsi="Inter" w:eastAsia="Inter"/>
          <w:b w:val="0"/>
          <w:i w:val="0"/>
          <w:color w:val="3E3E3E"/>
          <w:sz w:val="16"/>
        </w:rPr>
        <w:t>Programming Languages: Python</w:t>
        <w:br/>
        <w:t>Frameworks: Azure, RASA, LLM Application Frameworks</w:t>
        <w:br/>
        <w:t>Tools: REST, AWS, UAT, Blockchain</w:t>
        <w:br/>
        <w:t>Specialized Skills: Generative AI, LLM Fine Tuning, Cloud GenAI Solutions</w:t>
      </w:r>
    </w:p>
    <w:p>
      <w:pPr>
        <w:autoSpaceDN w:val="0"/>
        <w:autoSpaceDE w:val="0"/>
        <w:widowControl/>
        <w:spacing w:line="226" w:lineRule="auto" w:before="406" w:after="70"/>
        <w:ind w:left="0" w:right="0" w:firstLine="0"/>
        <w:jc w:val="center"/>
      </w:pPr>
      <w:r>
        <w:rPr>
          <w:rFonts w:ascii="Rubik" w:hAnsi="Rubik" w:eastAsia="Rubik"/>
          <w:b w:val="0"/>
          <w:i w:val="0"/>
          <w:color w:val="000000"/>
          <w:sz w:val="23"/>
        </w:rPr>
        <w:t>Projects</w:t>
      </w:r>
    </w:p>
    <w:tbl>
      <w:tblPr>
        <w:tblW w:type="auto" w:w="0"/>
        <w:tblLayout w:type="fixed"/>
        <w:tblLook w:firstColumn="1" w:firstRow="1" w:lastColumn="0" w:lastRow="0" w:noHBand="0" w:noVBand="1" w:val="04A0"/>
        <w:tblInd w:w="976.0" w:type="dxa"/>
      </w:tblPr>
      <w:tblGrid>
        <w:gridCol w:w="4519"/>
        <w:gridCol w:w="4519"/>
      </w:tblGrid>
      <w:tr>
        <w:trPr>
          <w:trHeight w:hRule="exact" w:val="406"/>
        </w:trPr>
        <w:tc>
          <w:tcPr>
            <w:tcW w:type="dxa" w:w="6744"/>
            <w:tcBorders>
              <w:top w:sz="5.600000000000136" w:val="single" w:color="#000000"/>
            </w:tcBorders>
            <w:tcMar>
              <w:start w:w="0" w:type="dxa"/>
              <w:end w:w="0" w:type="dxa"/>
            </w:tcMar>
          </w:tcPr>
          <w:p>
            <w:pPr>
              <w:autoSpaceDN w:val="0"/>
              <w:autoSpaceDE w:val="0"/>
              <w:widowControl/>
              <w:spacing w:line="240" w:lineRule="auto" w:before="108" w:after="0"/>
              <w:ind w:left="0" w:right="0" w:firstLine="0"/>
              <w:jc w:val="left"/>
            </w:pPr>
            <w:r>
              <w:rPr>
                <w:rFonts w:ascii="Inter" w:hAnsi="Inter" w:eastAsia="Inter"/>
                <w:b w:val="0"/>
                <w:i w:val="0"/>
                <w:color w:val="008CFF"/>
                <w:sz w:val="23"/>
              </w:rPr>
              <w:t>GenAI Based medical monitoring assistant</w:t>
            </w:r>
          </w:p>
        </w:tc>
        <w:tc>
          <w:tcPr>
            <w:tcW w:type="dxa" w:w="3228"/>
            <w:tcBorders>
              <w:top w:sz="5.600000000000136" w:val="single" w:color="#000000"/>
            </w:tcBorders>
            <w:tcMar>
              <w:start w:w="0" w:type="dxa"/>
              <w:end w:w="0" w:type="dxa"/>
            </w:tcMar>
          </w:tcPr>
          <w:p>
            <w:pPr>
              <w:autoSpaceDN w:val="0"/>
              <w:autoSpaceDE w:val="0"/>
              <w:widowControl/>
              <w:spacing w:line="240" w:lineRule="auto" w:before="106" w:after="0"/>
              <w:ind w:left="0" w:right="0" w:firstLine="0"/>
              <w:jc w:val="right"/>
            </w:pPr>
            <w:r>
              <w:rPr>
                <w:rFonts w:ascii="Inter" w:hAnsi="Inter" w:eastAsia="Inter"/>
                <w:b w:val="0"/>
                <w:i w:val="0"/>
                <w:color w:val="3E3E3E"/>
                <w:sz w:val="19"/>
              </w:rPr>
              <w:t>Pune, India</w:t>
            </w:r>
          </w:p>
        </w:tc>
      </w:tr>
    </w:tbl>
    <w:p>
      <w:pPr>
        <w:autoSpaceDN w:val="0"/>
        <w:tabs>
          <w:tab w:pos="1028" w:val="left"/>
          <w:tab w:pos="1210" w:val="left"/>
          <w:tab w:pos="10204" w:val="left"/>
        </w:tabs>
        <w:autoSpaceDE w:val="0"/>
        <w:widowControl/>
        <w:spacing w:line="293" w:lineRule="auto" w:before="6" w:after="14"/>
        <w:ind w:left="976" w:right="864" w:firstLine="0"/>
        <w:jc w:val="left"/>
      </w:pPr>
      <w:r>
        <w:tab/>
      </w:r>
      <w:r>
        <w:tab/>
      </w:r>
      <w:r>
        <w:tab/>
      </w:r>
      <w:r>
        <w:rPr>
          <w:rFonts w:ascii="Inter" w:hAnsi="Inter" w:eastAsia="Inter"/>
          <w:b w:val="0"/>
          <w:i w:val="0"/>
          <w:color w:val="3E3E3E"/>
          <w:sz w:val="19"/>
        </w:rPr>
        <w:t xml:space="preserve">01/2024 </w:t>
      </w:r>
      <w:r>
        <w:rPr>
          <w:w w:val="103.07513475418091"/>
          <w:rFonts w:ascii="Inter" w:hAnsi="Inter" w:eastAsia="Inter"/>
          <w:b w:val="0"/>
          <w:i w:val="0"/>
          <w:color w:val="3E3E3E"/>
          <w:sz w:val="16"/>
        </w:rPr>
        <w:t>GenAI Based medical monitoring assistant</w:t>
      </w:r>
      <w:r/>
      <w:r>
        <w:rPr>
          <w:w w:val="103.07513475418091"/>
          <w:rFonts w:ascii="Inter" w:hAnsi="Inter" w:eastAsia="Inter"/>
          <w:b w:val="0"/>
          <w:i w:val="0"/>
          <w:color w:val="3E3E3E"/>
          <w:sz w:val="16"/>
        </w:rPr>
        <w:t>•</w:t>
      </w:r>
      <w:r>
        <w:rPr>
          <w:w w:val="103.07513475418091"/>
          <w:rFonts w:ascii="Inter" w:hAnsi="Inter" w:eastAsia="Inter"/>
          <w:b w:val="0"/>
          <w:i w:val="0"/>
          <w:color w:val="3E3E3E"/>
          <w:sz w:val="16"/>
        </w:rPr>
        <w:t xml:space="preserve">Developed an intelligent assistant using Azure OpenAI to support real-time medical monitoring and decision making in </w:t>
      </w:r>
      <w:r>
        <w:tab/>
      </w:r>
      <w:r>
        <w:tab/>
      </w:r>
      <w:r>
        <w:rPr>
          <w:w w:val="103.07513475418091"/>
          <w:rFonts w:ascii="Inter" w:hAnsi="Inter" w:eastAsia="Inter"/>
          <w:b w:val="0"/>
          <w:i w:val="0"/>
          <w:color w:val="3E3E3E"/>
          <w:sz w:val="16"/>
        </w:rPr>
        <w:t>clinical trials</w:t>
      </w:r>
    </w:p>
    <w:tbl>
      <w:tblPr>
        <w:tblW w:type="auto" w:w="0"/>
        <w:tblLayout w:type="fixed"/>
        <w:tblLook w:firstColumn="1" w:firstRow="1" w:lastColumn="0" w:lastRow="0" w:noHBand="0" w:noVBand="1" w:val="04A0"/>
        <w:tblInd w:w="480.0" w:type="dxa"/>
      </w:tblPr>
      <w:tblGrid>
        <w:gridCol w:w="2259"/>
        <w:gridCol w:w="2259"/>
        <w:gridCol w:w="2259"/>
        <w:gridCol w:w="2259"/>
      </w:tblGrid>
      <w:tr>
        <w:trPr>
          <w:trHeight w:hRule="exact" w:val="5208"/>
        </w:trPr>
        <w:tc>
          <w:tcPr>
            <w:tcW w:type="dxa" w:w="680"/>
            <w:tcBorders/>
            <w:shd w:fill="ffffff"/>
            <w:tcMar>
              <w:start w:w="0" w:type="dxa"/>
              <w:end w:w="0" w:type="dxa"/>
            </w:tcMar>
          </w:tcPr>
          <w:p>
            <w:pPr>
              <w:autoSpaceDN w:val="0"/>
              <w:autoSpaceDE w:val="0"/>
              <w:widowControl/>
              <w:spacing w:line="240" w:lineRule="auto" w:before="14" w:after="0"/>
              <w:ind w:left="0" w:right="40" w:firstLine="0"/>
              <w:jc w:val="right"/>
            </w:pPr>
            <w:r>
              <w:rPr>
                <w:w w:val="103.07513475418091"/>
                <w:rFonts w:ascii="Inter" w:hAnsi="Inter" w:eastAsia="Inter"/>
                <w:b w:val="0"/>
                <w:i w:val="0"/>
                <w:color w:val="3E3E3E"/>
                <w:sz w:val="16"/>
              </w:rPr>
              <w:t>•</w:t>
            </w:r>
          </w:p>
        </w:tc>
        <w:tc>
          <w:tcPr>
            <w:tcW w:type="dxa" w:w="7340"/>
            <w:tcBorders/>
            <w:shd w:fill="ffffff"/>
            <w:tcMar>
              <w:start w:w="0" w:type="dxa"/>
              <w:end w:w="0" w:type="dxa"/>
            </w:tcMar>
          </w:tcPr>
          <w:p>
            <w:pPr>
              <w:autoSpaceDN w:val="0"/>
              <w:autoSpaceDE w:val="0"/>
              <w:widowControl/>
              <w:spacing w:line="240" w:lineRule="auto" w:before="14" w:after="0"/>
              <w:ind w:left="0" w:right="0" w:firstLine="0"/>
              <w:jc w:val="center"/>
            </w:pPr>
            <w:r>
              <w:rPr>
                <w:w w:val="103.07513475418091"/>
                <w:rFonts w:ascii="Inter" w:hAnsi="Inter" w:eastAsia="Inter"/>
                <w:b w:val="0"/>
                <w:i w:val="0"/>
                <w:color w:val="3E3E3E"/>
                <w:sz w:val="16"/>
              </w:rPr>
              <w:t>API driven architecture to support medical monitoring queries and provide actionable insights</w:t>
            </w:r>
          </w:p>
        </w:tc>
        <w:tc>
          <w:tcPr>
            <w:tcW w:type="dxa" w:w="960"/>
            <w:vMerge w:val="restart"/>
            <w:tcBorders/>
            <w:shd w:fill="ffffff"/>
            <w:tcMar>
              <w:start w:w="0" w:type="dxa"/>
              <w:end w:w="0" w:type="dxa"/>
            </w:tcMar>
            <w:tcMar>
              <w:start w:w="0" w:type="dxa"/>
              <w:end w:w="0" w:type="dxa"/>
            </w:tcMar>
          </w:tcPr>
          <w:p>
            <w:pPr>
              <w:autoSpaceDN w:val="0"/>
              <w:autoSpaceDE w:val="0"/>
              <w:widowControl/>
              <w:spacing w:line="242" w:lineRule="auto" w:before="10200" w:after="0"/>
              <w:ind w:left="0" w:right="0" w:firstLine="0"/>
              <w:jc w:val="center"/>
            </w:pPr>
            <w:r>
              <w:rPr>
                <w:rFonts w:ascii="Inter" w:hAnsi="Inter" w:eastAsia="Inter"/>
                <w:b w:val="0"/>
                <w:i w:val="0"/>
                <w:color w:val="3E3E3E"/>
                <w:sz w:val="14"/>
              </w:rPr>
              <w:hyperlink r:id="rId14" w:history="1">
                <w:r>
                  <w:rPr>
                    <w:rStyle w:val="Hyperlink"/>
                  </w:rPr>
                  <w:t>Powered by</w:t>
                </w:r>
              </w:hyperlink>
            </w:r>
          </w:p>
        </w:tc>
        <w:tc>
          <w:tcPr>
            <w:tcW w:type="dxa" w:w="1920"/>
            <w:vMerge w:val="restart"/>
            <w:tcBorders/>
            <w:shd w:fill="ffffff"/>
            <w:tcMar>
              <w:start w:w="0" w:type="dxa"/>
              <w:end w:w="0" w:type="dxa"/>
            </w:tcMar>
            <w:tcMar>
              <w:start w:w="0" w:type="dxa"/>
              <w:end w:w="0" w:type="dxa"/>
            </w:tcMar>
          </w:tcPr>
          <w:p>
            <w:pPr>
              <w:autoSpaceDN w:val="0"/>
              <w:autoSpaceDE w:val="0"/>
              <w:widowControl/>
              <w:spacing w:line="221" w:lineRule="auto" w:before="9638" w:after="0"/>
              <w:ind w:left="118" w:right="0" w:firstLine="0"/>
              <w:jc w:val="left"/>
            </w:pPr>
            <w:r>
              <w:rPr>
                <w:rFonts w:ascii="resumeicons" w:hAnsi="resumeicons" w:eastAsia="resumeicons"/>
                <w:b w:val="0"/>
                <w:i w:val="0"/>
                <w:color w:val="3E3E3E"/>
                <w:sz w:val="127"/>
              </w:rPr>
              <w:hyperlink r:id="rId14" w:history="1">
                <w:r>
                  <w:rPr>
                    <w:rStyle w:val="Hyperlink"/>
                  </w:rPr>
                  <w:t>​</w:t>
                </w:r>
              </w:hyperlink>
            </w:r>
          </w:p>
        </w:tc>
      </w:tr>
      <w:tr>
        <w:trPr>
          <w:trHeight w:hRule="exact" w:val="5784"/>
        </w:trPr>
        <w:tc>
          <w:tcPr>
            <w:tcW w:type="dxa" w:w="8020"/>
            <w:gridSpan w:val="2"/>
            <w:tcBorders/>
            <w:shd w:fill="ffffff"/>
            <w:tcMar>
              <w:start w:w="0" w:type="dxa"/>
              <w:end w:w="0" w:type="dxa"/>
            </w:tcMar>
            <w:tcMar>
              <w:start w:w="0" w:type="dxa"/>
              <w:end w:w="0" w:type="dxa"/>
            </w:tcMar>
          </w:tcPr>
          <w:p>
            <w:pPr>
              <w:autoSpaceDN w:val="0"/>
              <w:autoSpaceDE w:val="0"/>
              <w:widowControl/>
              <w:spacing w:line="242" w:lineRule="auto" w:before="5018" w:after="0"/>
              <w:ind w:left="484" w:right="0" w:firstLine="0"/>
              <w:jc w:val="left"/>
            </w:pPr>
            <w:r>
              <w:rPr>
                <w:rFonts w:ascii="Inter" w:hAnsi="Inter" w:eastAsia="Inter"/>
                <w:b w:val="0"/>
                <w:i w:val="0"/>
                <w:color w:val="3E3E3E"/>
                <w:sz w:val="14"/>
              </w:rPr>
              <w:hyperlink r:id="rId14" w:history="1">
                <w:r>
                  <w:rPr>
                    <w:rStyle w:val="Hyperlink"/>
                  </w:rPr>
                  <w:t>www.enhancv.com</w:t>
                </w:r>
              </w:hyperlink>
            </w:r>
          </w:p>
        </w:tc>
        <w:tc>
          <w:tcPr>
            <w:tcW w:type="dxa" w:w="2259"/>
            <w:vMerge/>
            <w:tcBorders/>
          </w:tcPr>
          <w:p/>
        </w:tc>
        <w:tc>
          <w:tcPr>
            <w:tcW w:type="dxa" w:w="2259"/>
            <w:vMerge/>
            <w:tcBorders/>
          </w:tcPr>
          <w:p/>
        </w:tc>
      </w:tr>
    </w:tbl>
    <w:p>
      <w:pPr>
        <w:autoSpaceDN w:val="0"/>
        <w:autoSpaceDE w:val="0"/>
        <w:widowControl/>
        <w:spacing w:line="14" w:lineRule="exact" w:before="0" w:after="0"/>
        <w:ind w:left="0" w:right="0"/>
      </w:pPr>
    </w:p>
    <w:sectPr w:rsidR="00FC693F" w:rsidRPr="0006063C" w:rsidSect="00034616">
      <w:pgSz w:w="11918" w:h="16858"/>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linkedin.com/in/rohitkadam315"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