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152" w:right="1152" w:firstLine="0"/>
        <w:jc w:val="center"/>
      </w:pPr>
      <w:r>
        <w:rPr>
          <w:rFonts w:ascii="EB Garamond" w:hAnsi="EB Garamond" w:eastAsia="EB Garamond"/>
          <w:b/>
          <w:i w:val="0"/>
          <w:color w:val="000000"/>
          <w:sz w:val="32"/>
        </w:rPr>
        <w:t xml:space="preserve">Rohit Kadam </w:t>
      </w:r>
      <w:r/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Pune, India • </w:t>
      </w:r>
      <w:r>
        <w:rPr>
          <w:rFonts w:ascii="EB Garamond" w:hAnsi="EB Garamond" w:eastAsia="EB Garamond"/>
          <w:b w:val="0"/>
          <w:i w:val="0"/>
          <w:color w:val="0000FF"/>
          <w:sz w:val="22"/>
          <w:u w:val="single"/>
        </w:rPr>
        <w:hyperlink r:id="rId9" w:history="1">
          <w:r>
            <w:rPr>
              <w:rStyle w:val="Hyperlink"/>
            </w:rPr>
            <w:t>rohitkadam1410@gmail.com</w:t>
          </w:r>
        </w:hyperlink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 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>• +91 7767880235 •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 </w:t>
      </w:r>
      <w:r>
        <w:rPr>
          <w:rFonts w:ascii="EB Garamond" w:hAnsi="EB Garamond" w:eastAsia="EB Garamond"/>
          <w:b w:val="0"/>
          <w:i w:val="0"/>
          <w:color w:val="0000FF"/>
          <w:sz w:val="22"/>
          <w:u w:val="single"/>
        </w:rPr>
        <w:hyperlink r:id="rId10" w:history="1">
          <w:r>
            <w:rPr>
              <w:rStyle w:val="Hyperlink"/>
            </w:rPr>
            <w:t>linkedin.com/in/rohitkadam315</w:t>
          </w:r>
        </w:hyperlink>
      </w:r>
    </w:p>
    <w:p>
      <w:pPr>
        <w:autoSpaceDN w:val="0"/>
        <w:autoSpaceDE w:val="0"/>
        <w:widowControl/>
        <w:spacing w:line="245" w:lineRule="auto" w:before="286" w:after="0"/>
        <w:ind w:left="28" w:right="0" w:firstLine="0"/>
        <w:jc w:val="lef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Passionate Data Science researcher with 4+ years of experience developing AI ML and GenAI-powered solutions in health 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tech and regulatory intelligence. Granted patent holder, published author, and PharmaSUG presenter. Actively exploring the 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intersection of AI and life sciences through academic and industry-led innovation. </w:t>
      </w:r>
    </w:p>
    <w:p>
      <w:pPr>
        <w:autoSpaceDN w:val="0"/>
        <w:autoSpaceDE w:val="0"/>
        <w:widowControl/>
        <w:spacing w:line="218" w:lineRule="auto" w:before="208" w:after="2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PROFESSIONAL</w:t>
      </w:r>
      <w:r>
        <w:rPr>
          <w:rFonts w:ascii="EB Garamond" w:hAnsi="EB Garamond" w:eastAsia="EB Garamond"/>
          <w:b/>
          <w:i w:val="0"/>
          <w:color w:val="000000"/>
          <w:sz w:val="24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51"/>
        <w:gridCol w:w="2651"/>
        <w:gridCol w:w="2651"/>
        <w:gridCol w:w="2651"/>
      </w:tblGrid>
      <w:tr>
        <w:trPr>
          <w:trHeight w:hRule="exact" w:val="424"/>
        </w:trPr>
        <w:tc>
          <w:tcPr>
            <w:tcW w:type="dxa" w:w="5764"/>
            <w:gridSpan w:val="3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T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18"/>
              </w:rPr>
              <w:t xml:space="preserve">ATA 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C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18"/>
              </w:rPr>
              <w:t xml:space="preserve">ONSULTANCY 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S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18"/>
              </w:rPr>
              <w:t>ERVICES</w:t>
            </w:r>
          </w:p>
        </w:tc>
        <w:tc>
          <w:tcPr>
            <w:tcW w:type="dxa" w:w="480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Pune, India </w:t>
            </w:r>
          </w:p>
        </w:tc>
      </w:tr>
      <w:tr>
        <w:trPr>
          <w:trHeight w:hRule="exact" w:val="272"/>
        </w:trPr>
        <w:tc>
          <w:tcPr>
            <w:tcW w:type="dxa" w:w="5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38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I.T. Analyst </w:t>
            </w:r>
          </w:p>
        </w:tc>
        <w:tc>
          <w:tcPr>
            <w:tcW w:type="dxa" w:w="4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Jan 2024 – Present </w:t>
            </w:r>
          </w:p>
        </w:tc>
      </w:tr>
      <w:tr>
        <w:trPr>
          <w:trHeight w:hRule="exact" w:val="30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Led the development of a GenAI-based medical assistant using Azure OpenAI which improved monitoring </w:t>
            </w:r>
          </w:p>
        </w:tc>
      </w:tr>
      <w:tr>
        <w:trPr>
          <w:trHeight w:hRule="exact" w:val="28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10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process efficiency. </w:t>
            </w:r>
          </w:p>
        </w:tc>
      </w:tr>
      <w:tr>
        <w:trPr>
          <w:trHeight w:hRule="exact" w:val="270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Directed a team of 4 in building modular LLM Applications using RAG- for literature management system. </w:t>
            </w:r>
          </w:p>
        </w:tc>
      </w:tr>
      <w:tr>
        <w:trPr>
          <w:trHeight w:hRule="exact" w:val="304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6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Acted as the primary point of contact for stakeholders during the pilot phase, streamlining solution rollouts. </w:t>
            </w:r>
          </w:p>
        </w:tc>
      </w:tr>
      <w:tr>
        <w:trPr>
          <w:trHeight w:hRule="exact" w:val="28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Conducted cross-team brainstorming sessions and stakeholder interviews to define business use cases in </w:t>
            </w:r>
          </w:p>
        </w:tc>
      </w:tr>
      <w:tr>
        <w:trPr>
          <w:trHeight w:hRule="exact" w:val="26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10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HealthTech. </w:t>
            </w:r>
          </w:p>
        </w:tc>
      </w:tr>
      <w:tr>
        <w:trPr>
          <w:trHeight w:hRule="exact" w:val="306"/>
        </w:trPr>
        <w:tc>
          <w:tcPr>
            <w:tcW w:type="dxa" w:w="5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" w:after="0"/>
              <w:ind w:left="38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System Engineer </w:t>
            </w:r>
          </w:p>
        </w:tc>
        <w:tc>
          <w:tcPr>
            <w:tcW w:type="dxa" w:w="4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Jul 2021 – Dec 2023 </w:t>
            </w:r>
          </w:p>
        </w:tc>
      </w:tr>
      <w:tr>
        <w:trPr>
          <w:trHeight w:hRule="exact" w:val="274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Developed the Regulatory Intelligence Chatbot project using RASA and custom NLP, reducing query response </w:t>
            </w:r>
          </w:p>
        </w:tc>
      </w:tr>
      <w:tr>
        <w:trPr>
          <w:trHeight w:hRule="exact" w:val="300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110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time for regulatory professionals </w:t>
            </w:r>
          </w:p>
        </w:tc>
      </w:tr>
      <w:tr>
        <w:trPr>
          <w:trHeight w:hRule="exact" w:val="28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Collaborated with SMEs and business leads to design AI-driven healthcare pilots. </w:t>
            </w:r>
          </w:p>
        </w:tc>
      </w:tr>
      <w:tr>
        <w:trPr>
          <w:trHeight w:hRule="exact" w:val="27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Served as Innovation Lead during the Incubation Bootcamp, resulting in the award-winning product idea </w:t>
            </w:r>
          </w:p>
        </w:tc>
      </w:tr>
      <w:tr>
        <w:trPr>
          <w:trHeight w:hRule="exact" w:val="30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Mentored three junior interns in Python, NLP, and AI ML fundamentals and developing POC solutions. </w:t>
            </w:r>
          </w:p>
        </w:tc>
      </w:tr>
      <w:tr>
        <w:trPr>
          <w:trHeight w:hRule="exact" w:val="28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Initiated a knowledge-sharing forum within the R&amp;I team to accelerate GenAI adoption across verticals. </w:t>
            </w:r>
          </w:p>
        </w:tc>
      </w:tr>
      <w:tr>
        <w:trPr>
          <w:trHeight w:hRule="exact" w:val="270"/>
        </w:trPr>
        <w:tc>
          <w:tcPr>
            <w:tcW w:type="dxa" w:w="5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38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Assistant System Engineer </w:t>
            </w:r>
          </w:p>
        </w:tc>
        <w:tc>
          <w:tcPr>
            <w:tcW w:type="dxa" w:w="4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Sep 2020 – Jun 2021 </w:t>
            </w:r>
          </w:p>
        </w:tc>
      </w:tr>
      <w:tr>
        <w:trPr>
          <w:trHeight w:hRule="exact" w:val="30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Contributed to data analysis and dashboard creation using Python for EHR Analytics. </w:t>
            </w:r>
          </w:p>
        </w:tc>
      </w:tr>
      <w:tr>
        <w:trPr>
          <w:trHeight w:hRule="exact" w:val="27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Supported early experiments with NLP for medical writing applications. </w:t>
            </w:r>
          </w:p>
        </w:tc>
      </w:tr>
      <w:tr>
        <w:trPr>
          <w:trHeight w:hRule="exact" w:val="400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Worked as an individual contributor in POC development to streamline EHR data to EDC </w:t>
            </w:r>
          </w:p>
        </w:tc>
      </w:tr>
      <w:tr>
        <w:trPr>
          <w:trHeight w:hRule="exact" w:val="424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6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Projects </w:t>
            </w:r>
          </w:p>
        </w:tc>
      </w:tr>
      <w:tr>
        <w:trPr>
          <w:trHeight w:hRule="exact" w:val="276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GenAI Based medical monitoring assistant: </w:t>
            </w:r>
          </w:p>
        </w:tc>
      </w:tr>
      <w:tr>
        <w:trPr>
          <w:trHeight w:hRule="exact" w:val="298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Developed an intelligent assistant using Azure OpenAI to support real time medical monitoring and </w:t>
            </w:r>
          </w:p>
        </w:tc>
      </w:tr>
      <w:tr>
        <w:trPr>
          <w:trHeight w:hRule="exact" w:val="28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6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decision making in clinical trials. </w:t>
            </w:r>
          </w:p>
        </w:tc>
      </w:tr>
      <w:tr>
        <w:trPr>
          <w:trHeight w:hRule="exact" w:val="274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API driven architecture to support medical monitoring queries and provide actionable insights </w:t>
            </w:r>
          </w:p>
        </w:tc>
      </w:tr>
      <w:tr>
        <w:trPr>
          <w:trHeight w:hRule="exact" w:val="300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Literature insights Platform: </w:t>
            </w:r>
          </w:p>
        </w:tc>
      </w:tr>
      <w:tr>
        <w:trPr>
          <w:trHeight w:hRule="exact" w:val="280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Designed literature search and analysis platform to extract key insights from medical literature and support </w:t>
            </w:r>
          </w:p>
        </w:tc>
      </w:tr>
      <w:tr>
        <w:trPr>
          <w:trHeight w:hRule="exact" w:val="294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146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ICSR detection </w:t>
            </w:r>
          </w:p>
        </w:tc>
      </w:tr>
      <w:tr>
        <w:trPr>
          <w:trHeight w:hRule="exact" w:val="288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Using customized search, information retrieval and LLM based ICSR detection strategy automatic </w:t>
            </w:r>
          </w:p>
        </w:tc>
      </w:tr>
      <w:tr>
        <w:trPr>
          <w:trHeight w:hRule="exact" w:val="34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6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categorization of article into distinct groups. </w:t>
            </w:r>
          </w:p>
        </w:tc>
      </w:tr>
    </w:tbl>
    <w:p>
      <w:pPr>
        <w:autoSpaceDN w:val="0"/>
        <w:autoSpaceDE w:val="0"/>
        <w:widowControl/>
        <w:spacing w:line="218" w:lineRule="auto" w:before="140" w:after="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T</w:t>
      </w:r>
      <w:r>
        <w:rPr>
          <w:rFonts w:ascii="EB Garamond" w:hAnsi="EB Garamond" w:eastAsia="EB Garamond"/>
          <w:b/>
          <w:i w:val="0"/>
          <w:color w:val="000000"/>
          <w:sz w:val="19"/>
        </w:rPr>
        <w:t xml:space="preserve">ECHNICAL </w:t>
      </w:r>
      <w:r>
        <w:rPr>
          <w:rFonts w:ascii="EB Garamond" w:hAnsi="EB Garamond" w:eastAsia="EB Garamond"/>
          <w:b/>
          <w:i w:val="0"/>
          <w:color w:val="000000"/>
          <w:sz w:val="24"/>
        </w:rPr>
        <w:t>S</w:t>
      </w:r>
      <w:r>
        <w:rPr>
          <w:rFonts w:ascii="EB Garamond" w:hAnsi="EB Garamond" w:eastAsia="EB Garamond"/>
          <w:b/>
          <w:i w:val="0"/>
          <w:color w:val="000000"/>
          <w:sz w:val="19"/>
        </w:rPr>
        <w:t>KILLS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>Python, Data Science, Machine Learning, NLP, Generative AI, RAG, Azure, OpenAI, REST APIs,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>AWS (Bedrock),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RASA </w:t>
      </w:r>
    </w:p>
    <w:p>
      <w:pPr>
        <w:autoSpaceDN w:val="0"/>
        <w:autoSpaceDE w:val="0"/>
        <w:widowControl/>
        <w:spacing w:line="216" w:lineRule="auto" w:before="210" w:after="2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406"/>
        </w:trPr>
        <w:tc>
          <w:tcPr>
            <w:tcW w:type="dxa" w:w="732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Rajarambapu Institute of Technology, Shivaji University </w:t>
            </w:r>
          </w:p>
        </w:tc>
        <w:tc>
          <w:tcPr>
            <w:tcW w:type="dxa" w:w="324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Sangli, India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/>
    </w:p>
    <w:p>
      <w:pPr>
        <w:autoSpaceDN w:val="0"/>
        <w:autoSpaceDE w:val="0"/>
        <w:widowControl/>
        <w:spacing w:line="245" w:lineRule="auto" w:before="0" w:after="0"/>
        <w:ind w:left="28" w:right="1728" w:firstLine="0"/>
        <w:jc w:val="lef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Bachelor of Technology (Mechanical Engineering): 7.62 CGPI </w:t>
      </w: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Yashawantrao Chavan Institute of Science, Satara </w:t>
      </w:r>
      <w:r/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Higher Secondary (H.S.C): 81.38 % </w:t>
      </w:r>
    </w:p>
    <w:p>
      <w:pPr/>
    </w:p>
    <w:p>
      <w:pPr>
        <w:autoSpaceDN w:val="0"/>
        <w:autoSpaceDE w:val="0"/>
        <w:widowControl/>
        <w:spacing w:line="245" w:lineRule="auto" w:before="0" w:after="44"/>
        <w:ind w:left="1728" w:right="20" w:firstLine="0"/>
        <w:jc w:val="righ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Jul 2014 – May 2018 </w:t>
      </w: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Satara, India </w:t>
      </w:r>
      <w:r/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Jun 2012- May 2014 </w:t>
      </w:r>
    </w:p>
    <w:p>
      <w:pPr/>
    </w:p>
    <w:p>
      <w:pPr>
        <w:autoSpaceDN w:val="0"/>
        <w:tabs>
          <w:tab w:pos="9366" w:val="left"/>
        </w:tabs>
        <w:autoSpaceDE w:val="0"/>
        <w:widowControl/>
        <w:spacing w:line="218" w:lineRule="auto" w:before="0" w:after="4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Maharaja Sayajirao Vidyalaya, Satara </w:t>
      </w:r>
      <w:r>
        <w:tab/>
      </w: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Satara, India </w:t>
      </w:r>
    </w:p>
    <w:p>
      <w:pPr/>
    </w:p>
    <w:p>
      <w:pPr>
        <w:autoSpaceDN w:val="0"/>
        <w:autoSpaceDE w:val="0"/>
        <w:widowControl/>
        <w:spacing w:line="218" w:lineRule="auto" w:before="0" w:after="0"/>
        <w:ind w:left="28" w:right="0" w:firstLine="0"/>
        <w:jc w:val="lef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Secondary School (S.S.C):  93.64 % </w:t>
      </w:r>
    </w:p>
    <w:p>
      <w:pPr/>
    </w:p>
    <w:p>
      <w:pPr>
        <w:autoSpaceDN w:val="0"/>
        <w:autoSpaceDE w:val="0"/>
        <w:widowControl/>
        <w:spacing w:line="218" w:lineRule="auto" w:before="0" w:after="0"/>
        <w:ind w:left="0" w:right="32" w:firstLine="0"/>
        <w:jc w:val="righ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 Jun 2011- May 2012 </w:t>
      </w:r>
    </w:p>
    <w:p>
      <w:pPr/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18" w:lineRule="auto" w:before="0" w:after="18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C</w:t>
      </w:r>
      <w:r>
        <w:rPr>
          <w:rFonts w:ascii="EB Garamond" w:hAnsi="EB Garamond" w:eastAsia="EB Garamond"/>
          <w:b/>
          <w:i w:val="0"/>
          <w:color w:val="000000"/>
          <w:sz w:val="19"/>
        </w:rPr>
        <w:t>ONFERENCES AND PRESENTATIONS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294"/>
        </w:trPr>
        <w:tc>
          <w:tcPr>
            <w:tcW w:type="dxa" w:w="5364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PharmaSUG 2025 </w:t>
            </w:r>
          </w:p>
        </w:tc>
        <w:tc>
          <w:tcPr>
            <w:tcW w:type="dxa" w:w="520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68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 San Diego, USA</w:t>
            </w:r>
          </w:p>
        </w:tc>
      </w:tr>
      <w:tr>
        <w:trPr>
          <w:trHeight w:hRule="exact" w:val="574"/>
        </w:trPr>
        <w:tc>
          <w:tcPr>
            <w:tcW w:type="dxa" w:w="10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>The paper discussed how Generative AI can strategically streamline signal detection, safety reviews, and e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vidence gath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ering by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mining unstructured scientific and medical literature — driving faster, more informed clinical decisions.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(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FF"/>
                <w:sz w:val="22"/>
                <w:u w:val="single"/>
              </w:rPr>
              <w:hyperlink r:id="rId11" w:history="1">
                <w:r>
                  <w:rPr>
                    <w:rStyle w:val="Hyperlink"/>
                  </w:rPr>
                  <w:t>Paper Link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)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88"/>
        </w:trPr>
        <w:tc>
          <w:tcPr>
            <w:tcW w:type="dxa" w:w="5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PharmaSUG 2024 </w:t>
            </w:r>
          </w:p>
        </w:tc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3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 Baltimore, USA </w:t>
            </w:r>
          </w:p>
        </w:tc>
      </w:tr>
      <w:tr>
        <w:trPr>
          <w:trHeight w:hRule="exact" w:val="634"/>
        </w:trPr>
        <w:tc>
          <w:tcPr>
            <w:tcW w:type="dxa" w:w="10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" w:right="144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>Presented a paper on how large language models (LLMs) coupled with next-generati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on Graph d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atabase, search and analytic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engines etc. can create a comprehensive AI-based technology automation platform.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(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FF"/>
                <w:sz w:val="22"/>
                <w:u w:val="single"/>
              </w:rPr>
              <w:hyperlink r:id="rId12" w:history="1">
                <w:r>
                  <w:rPr>
                    <w:rStyle w:val="Hyperlink"/>
                  </w:rPr>
                  <w:t>Paper Link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)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16" w:lineRule="auto" w:before="220" w:after="2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P</w:t>
      </w:r>
      <w:r>
        <w:rPr>
          <w:rFonts w:ascii="EB Garamond" w:hAnsi="EB Garamond" w:eastAsia="EB Garamond"/>
          <w:b/>
          <w:i w:val="0"/>
          <w:color w:val="000000"/>
          <w:sz w:val="19"/>
        </w:rPr>
        <w:t xml:space="preserve">ATENTS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426"/>
        </w:trPr>
        <w:tc>
          <w:tcPr>
            <w:tcW w:type="dxa" w:w="10570"/>
            <w:gridSpan w:val="2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3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●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Granted: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Automated Continuous Validation for Regulatory Compliance (2023) </w:t>
            </w:r>
          </w:p>
        </w:tc>
      </w:tr>
      <w:tr>
        <w:trPr>
          <w:trHeight w:hRule="exact" w:val="286"/>
        </w:trPr>
        <w:tc>
          <w:tcPr>
            <w:tcW w:type="dxa" w:w="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12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Proposed an automated approach for validating computer systems with dynamic components using synthetic </w:t>
            </w:r>
          </w:p>
        </w:tc>
      </w:tr>
      <w:tr>
        <w:trPr>
          <w:trHeight w:hRule="exact" w:val="636"/>
        </w:trPr>
        <w:tc>
          <w:tcPr>
            <w:tcW w:type="dxa" w:w="10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8" w:val="left"/>
              </w:tabs>
              <w:autoSpaceDE w:val="0"/>
              <w:widowControl/>
              <w:spacing w:line="245" w:lineRule="auto" w:before="0" w:after="0"/>
              <w:ind w:left="388" w:right="3312" w:firstLine="0"/>
              <w:jc w:val="left"/>
            </w:pPr>
            <w:r>
              <w:tab/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>UAT and learning saturation testing: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EB Garamond" w:hAnsi="EB Garamond" w:eastAsia="EB Garamond"/>
                <w:b w:val="0"/>
                <w:i w:val="0"/>
                <w:color w:val="0000FF"/>
                <w:sz w:val="22"/>
                <w:u w:val="single"/>
              </w:rPr>
              <w:hyperlink r:id="rId13" w:history="1">
                <w:r>
                  <w:rPr>
                    <w:rStyle w:val="Hyperlink"/>
                  </w:rPr>
                  <w:t>Patent Link</w:t>
                </w:r>
              </w:hyperlink>
            </w: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●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Filed: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Automated Clinical Event and Endpoint Adjudication System (2024) </w:t>
            </w:r>
          </w:p>
        </w:tc>
      </w:tr>
    </w:tbl>
    <w:p>
      <w:pPr>
        <w:autoSpaceDN w:val="0"/>
        <w:autoSpaceDE w:val="0"/>
        <w:widowControl/>
        <w:spacing w:line="218" w:lineRule="auto" w:before="220" w:after="18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P</w:t>
      </w:r>
      <w:r>
        <w:rPr>
          <w:rFonts w:ascii="EB Garamond" w:hAnsi="EB Garamond" w:eastAsia="EB Garamond"/>
          <w:b/>
          <w:i w:val="0"/>
          <w:color w:val="000000"/>
          <w:sz w:val="19"/>
        </w:rPr>
        <w:t>UBLICATIONS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1998"/>
        </w:trPr>
        <w:tc>
          <w:tcPr>
            <w:tcW w:type="dxa" w:w="60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auto" w:before="308" w:after="0"/>
              <w:ind w:left="388" w:right="124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/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/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96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The Future of Regulatory Intelligence with Conversational AI (2022) – Discusses chatbot-driven access to regulatory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knowledge.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4" w:right="576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AI/ML Approaches to Assisted Medical Writing – Part 1 &amp; 2 (2021–2022) – Covers abstractive vs. extractive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summarization methods.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Future of Clinical Trial Documentation Management using Blockchain (2021) – Examines eTMF digitization and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audit compliance.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36" w:right="800" w:bottom="1440" w:left="8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hitkadam1410@gmail.com" TargetMode="External"/><Relationship Id="rId10" Type="http://schemas.openxmlformats.org/officeDocument/2006/relationships/hyperlink" Target="http://www.linkedin.com/in/rohitkadam315" TargetMode="External"/><Relationship Id="rId11" Type="http://schemas.openxmlformats.org/officeDocument/2006/relationships/hyperlink" Target="https://pharmasug.org/proceedings/2025/AI/PharmaSUG-2025-AI-331.pdf" TargetMode="External"/><Relationship Id="rId12" Type="http://schemas.openxmlformats.org/officeDocument/2006/relationships/hyperlink" Target="https://pharmasug.org/proceedings/2024/SD/PharmaSUG-2024-SD-397.pdf" TargetMode="External"/><Relationship Id="rId13" Type="http://schemas.openxmlformats.org/officeDocument/2006/relationships/hyperlink" Target="https://patents.google.com/patent/EP4141753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