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152" w:right="1152" w:firstLine="0"/>
        <w:jc w:val="center"/>
      </w:pPr>
      <w:r>
        <w:rPr>
          <w:rFonts w:ascii="EB Garamond" w:hAnsi="EB Garamond" w:eastAsia="EB Garamond"/>
          <w:b/>
          <w:i w:val="0"/>
          <w:color w:val="000000"/>
          <w:sz w:val="32"/>
        </w:rPr>
        <w:t xml:space="preserve">Rohit Kadam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>Pune, India •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9" w:history="1">
          <w:r>
            <w:rPr>
              <w:rStyle w:val="Hyperlink"/>
            </w:rPr>
            <w:t>rohitkadam1410@gmail.com</w:t>
          </w:r>
        </w:hyperlink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• +91 7767880235 •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10" w:history="1">
          <w:r>
            <w:rPr>
              <w:rStyle w:val="Hyperlink"/>
            </w:rPr>
            <w:t>linkedin.com/in/rohitkadam315</w:t>
          </w:r>
        </w:hyperlink>
      </w:r>
    </w:p>
    <w:p>
      <w:pPr>
        <w:autoSpaceDN w:val="0"/>
        <w:autoSpaceDE w:val="0"/>
        <w:widowControl/>
        <w:spacing w:line="245" w:lineRule="auto" w:before="286" w:after="0"/>
        <w:ind w:left="28" w:right="0" w:firstLine="0"/>
        <w:jc w:val="left"/>
      </w:pPr>
      <w:r>
        <w:rPr>
          <w:rFonts w:ascii="EB Garamond" w:hAnsi="EB Garamond"/>
          <w:sz w:val="22"/>
        </w:rPr>
        <w:t xml:space="preserve">Passionate GenAI Engineer with 4+ years of experience managing full lifecycle of AI/ML and GenAI projects, collaborating with cross-functional teams, and developing AI solutions in health tech and regulatory intelligence. Granted patent holder, published author, and PharmaSUG presenter. Collaborated with cross-functional teams to explore the intersection of AI and life sciences, ensuring quality, scalability, and business alignment of AI solutions. </w:t>
      </w:r>
    </w:p>
    <w:p>
      <w:pPr>
        <w:autoSpaceDN w:val="0"/>
        <w:autoSpaceDE w:val="0"/>
        <w:widowControl/>
        <w:spacing w:line="218" w:lineRule="auto" w:before="208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PROFESSIONAL</w:t>
      </w:r>
      <w:r>
        <w:rPr>
          <w:rFonts w:ascii="EB Garamond" w:hAnsi="EB Garamond" w:eastAsia="EB Garamond"/>
          <w:b/>
          <w:i w:val="0"/>
          <w:color w:val="000000"/>
          <w:sz w:val="24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651"/>
        <w:gridCol w:w="2651"/>
        <w:gridCol w:w="2651"/>
        <w:gridCol w:w="2651"/>
      </w:tblGrid>
      <w:tr>
        <w:trPr>
          <w:trHeight w:hRule="exact" w:val="424"/>
        </w:trPr>
        <w:tc>
          <w:tcPr>
            <w:tcW w:type="dxa" w:w="5764"/>
            <w:gridSpan w:val="3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T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ATA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C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ONSULTANCY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S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>ERVICES</w:t>
            </w:r>
          </w:p>
        </w:tc>
        <w:tc>
          <w:tcPr>
            <w:tcW w:type="dxa" w:w="4806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Pune, India </w:t>
            </w:r>
          </w:p>
        </w:tc>
      </w:tr>
      <w:tr>
        <w:trPr>
          <w:trHeight w:hRule="exact" w:val="272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I.T. Analyst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Jan 2024 – Present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Led the development of a GenAI-based medical assistant using Azure OpenAI which improved monitoring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process efficiency. </w:t>
            </w:r>
          </w:p>
        </w:tc>
      </w:tr>
      <w:tr>
        <w:trPr>
          <w:trHeight w:hRule="exact" w:val="27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Directed a team of 4 in building modular LLM Applications using RAG- for literature management system. </w:t>
            </w:r>
          </w:p>
        </w:tc>
      </w:tr>
      <w:tr>
        <w:trPr>
          <w:trHeight w:hRule="exact" w:val="30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6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Acted as the primary point of contact for stakeholders during the pilot phase, streamlining solution rollouts.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Conducted cross-team brainstorming sessions and stakeholder interviews to define business use cases in </w:t>
            </w:r>
          </w:p>
        </w:tc>
      </w:tr>
      <w:tr>
        <w:trPr>
          <w:trHeight w:hRule="exact" w:val="26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HealthTech. </w:t>
            </w:r>
          </w:p>
        </w:tc>
      </w:tr>
      <w:tr>
        <w:trPr>
          <w:trHeight w:hRule="exact" w:val="306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Jul 2021 – Dec 2023 </w:t>
            </w:r>
          </w:p>
        </w:tc>
      </w:tr>
      <w:tr>
        <w:trPr>
          <w:trHeight w:hRule="exact" w:val="27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the Regulatory Intelligence Chatbot project using RASA and custom NLP, reducing query response </w:t>
            </w:r>
          </w:p>
        </w:tc>
      </w:tr>
      <w:tr>
        <w:trPr>
          <w:trHeight w:hRule="exact" w:val="300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time for regulatory professionals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Collaborated with SMEs and business leads to design AI-driven healthcare pilots. </w:t>
            </w:r>
          </w:p>
        </w:tc>
      </w:tr>
      <w:tr>
        <w:trPr>
          <w:trHeight w:hRule="exact" w:val="27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Served as Innovation Lead during the Incubation Bootcamp, resulting in the award-winning product idea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Mentored three junior interns in Python, NLP, and AI ML fundamentals and developing POC solutions.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Initiated a knowledge-sharing forum within the R&amp;I team to accelerate GenAI adoption across verticals. </w:t>
            </w:r>
          </w:p>
        </w:tc>
      </w:tr>
      <w:tr>
        <w:trPr>
          <w:trHeight w:hRule="exact" w:val="270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Assistant 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Sep 2020 – Jun 2021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Contributed to data analysis and dashboard creation using Python for EHR Analytics. </w:t>
            </w:r>
          </w:p>
        </w:tc>
      </w:tr>
      <w:tr>
        <w:trPr>
          <w:trHeight w:hRule="exact" w:val="27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Supported early experiments with NLP for medical writing applications. </w:t>
            </w:r>
          </w:p>
        </w:tc>
      </w:tr>
      <w:tr>
        <w:trPr>
          <w:trHeight w:hRule="exact" w:val="4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Worked as an individual contributor in POC development to streamline EHR data to EDC </w:t>
            </w:r>
          </w:p>
        </w:tc>
      </w:tr>
      <w:tr>
        <w:trPr>
          <w:trHeight w:hRule="exact" w:val="42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6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Projects </w:t>
            </w:r>
          </w:p>
        </w:tc>
      </w:tr>
      <w:tr>
        <w:trPr>
          <w:trHeight w:hRule="exact" w:val="276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GenAI Based medical monitoring assistant: </w:t>
            </w:r>
          </w:p>
        </w:tc>
      </w:tr>
      <w:tr>
        <w:trPr>
          <w:trHeight w:hRule="exact" w:val="29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an intelligent assistant using Azure OpenAI to support real time medical monitoring and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decision making in clinical trials. </w:t>
            </w:r>
          </w:p>
        </w:tc>
      </w:tr>
      <w:tr>
        <w:trPr>
          <w:trHeight w:hRule="exact" w:val="274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API driven architecture to support medical monitoring queries and provide actionable insights </w:t>
            </w:r>
          </w:p>
        </w:tc>
      </w:tr>
      <w:tr>
        <w:trPr>
          <w:trHeight w:hRule="exact" w:val="3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Literature insights Platform: </w:t>
            </w:r>
          </w:p>
        </w:tc>
      </w:tr>
      <w:tr>
        <w:trPr>
          <w:trHeight w:hRule="exact" w:val="280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center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Designed literature search and analysis platform to extract key insights from medical literature and support </w:t>
            </w:r>
          </w:p>
        </w:tc>
      </w:tr>
      <w:tr>
        <w:trPr>
          <w:trHeight w:hRule="exact" w:val="29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6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ICSR detection </w:t>
            </w:r>
          </w:p>
        </w:tc>
      </w:tr>
      <w:tr>
        <w:trPr>
          <w:trHeight w:hRule="exact" w:val="28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Using customized search, information retrieval and LLM based ICSR detection strategy automatic </w:t>
            </w:r>
          </w:p>
        </w:tc>
      </w:tr>
      <w:tr>
        <w:trPr>
          <w:trHeight w:hRule="exact" w:val="34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categorization of article into distinct groups. </w:t>
            </w:r>
          </w:p>
        </w:tc>
      </w:tr>
    </w:tbl>
    <w:p>
      <w:pPr>
        <w:autoSpaceDN w:val="0"/>
        <w:autoSpaceDE w:val="0"/>
        <w:widowControl/>
        <w:spacing w:line="218" w:lineRule="auto" w:before="140" w:after="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T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ECHNICAL </w:t>
      </w:r>
      <w:r>
        <w:rPr>
          <w:rFonts w:ascii="EB Garamond" w:hAnsi="EB Garamond" w:eastAsia="EB Garamond"/>
          <w:b/>
          <w:i w:val="0"/>
          <w:color w:val="000000"/>
          <w:sz w:val="24"/>
        </w:rPr>
        <w:t>S</w:t>
      </w:r>
      <w:r>
        <w:rPr>
          <w:rFonts w:ascii="EB Garamond" w:hAnsi="EB Garamond" w:eastAsia="EB Garamond"/>
          <w:b/>
          <w:i w:val="0"/>
          <w:color w:val="000000"/>
          <w:sz w:val="19"/>
        </w:rPr>
        <w:t>KILLS</w:t>
      </w:r>
    </w:p>
    <w:p>
      <w:pPr>
        <w:autoSpaceDN w:val="0"/>
        <w:autoSpaceDE w:val="0"/>
        <w:widowControl/>
        <w:spacing w:line="218" w:lineRule="auto" w:before="164" w:after="0"/>
        <w:ind w:left="0" w:right="0" w:firstLine="0"/>
        <w:jc w:val="center"/>
      </w:pPr>
      <w:r>
        <w:rPr>
          <w:rFonts w:ascii="EB Garamond" w:hAnsi="EB Garamond"/>
          <w:sz w:val="22"/>
        </w:rPr>
        <w:t xml:space="preserve">Python, Data Science, Machine Learning, NLP, Generative AI, RAG, Azure, OpenAI, REST APIs, AWS (Bedrock), RASA, Docker, Kubernetes, Airflow, TensorFlow, PyTorch, Keras </w:t>
      </w:r>
    </w:p>
    <w:p>
      <w:pPr>
        <w:autoSpaceDN w:val="0"/>
        <w:autoSpaceDE w:val="0"/>
        <w:widowControl/>
        <w:spacing w:line="216" w:lineRule="auto" w:before="21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06"/>
        </w:trPr>
        <w:tc>
          <w:tcPr>
            <w:tcW w:type="dxa" w:w="732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Rajarambapu Institute of Technology, Shivaji University </w:t>
            </w:r>
          </w:p>
        </w:tc>
        <w:tc>
          <w:tcPr>
            <w:tcW w:type="dxa" w:w="324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Sangli, India </w:t>
            </w:r>
          </w:p>
        </w:tc>
      </w:tr>
    </w:tbl>
    <w:p>
      <w:pPr>
        <w:autoSpaceDN w:val="0"/>
        <w:autoSpaceDE w:val="0"/>
        <w:widowControl/>
        <w:spacing w:line="14" w:lineRule="exact" w:before="0" w:after="44"/>
        <w:ind w:left="0" w:right="0"/>
      </w:pPr>
    </w:p>
    <w:p>
      <w:pPr/>
    </w:p>
    <w:p>
      <w:pPr>
        <w:autoSpaceDN w:val="0"/>
        <w:autoSpaceDE w:val="0"/>
        <w:widowControl/>
        <w:spacing w:line="245" w:lineRule="auto" w:before="0" w:after="0"/>
        <w:ind w:left="28" w:right="1728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Bachelor of Technology (Mechanical Engineering): 7.62 CGPI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Yashawantrao Chavan Institute of Science, Satara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Higher Secondary (H.S.C): 81.38 % </w:t>
      </w:r>
    </w:p>
    <w:p>
      <w:pPr/>
    </w:p>
    <w:p>
      <w:pPr>
        <w:autoSpaceDN w:val="0"/>
        <w:autoSpaceDE w:val="0"/>
        <w:widowControl/>
        <w:spacing w:line="245" w:lineRule="auto" w:before="0" w:after="44"/>
        <w:ind w:left="1728" w:right="20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Jul 2014 – May 2018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  <w:r/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Jun 2012- May 2014 </w:t>
      </w:r>
    </w:p>
    <w:p>
      <w:pPr/>
    </w:p>
    <w:p>
      <w:pPr>
        <w:autoSpaceDN w:val="0"/>
        <w:tabs>
          <w:tab w:pos="9366" w:val="left"/>
        </w:tabs>
        <w:autoSpaceDE w:val="0"/>
        <w:widowControl/>
        <w:spacing w:line="218" w:lineRule="auto" w:before="0" w:after="4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Maharaja Sayajirao Vidyalaya, Satara </w:t>
      </w:r>
      <w:r>
        <w:tab/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</w:p>
    <w:p>
      <w:pPr/>
    </w:p>
    <w:p>
      <w:pPr>
        <w:autoSpaceDN w:val="0"/>
        <w:autoSpaceDE w:val="0"/>
        <w:widowControl/>
        <w:spacing w:line="218" w:lineRule="auto" w:before="0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Secondary School (S.S.C):  93.64 % </w:t>
      </w:r>
    </w:p>
    <w:p>
      <w:pPr/>
    </w:p>
    <w:p>
      <w:pPr>
        <w:autoSpaceDN w:val="0"/>
        <w:autoSpaceDE w:val="0"/>
        <w:widowControl/>
        <w:spacing w:line="218" w:lineRule="auto" w:before="0" w:after="0"/>
        <w:ind w:left="0" w:right="32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Jun 2011- May 2012 </w:t>
      </w:r>
    </w:p>
    <w:p>
      <w:pPr/>
    </w:p>
    <w:p>
      <w:pPr>
        <w:autoSpaceDN w:val="0"/>
        <w:autoSpaceDE w:val="0"/>
        <w:widowControl/>
        <w:spacing w:line="220" w:lineRule="exact" w:before="0" w:after="216"/>
        <w:ind w:left="0" w:right="0"/>
      </w:pPr>
    </w:p>
    <w:p>
      <w:pPr>
        <w:autoSpaceDN w:val="0"/>
        <w:autoSpaceDE w:val="0"/>
        <w:widowControl/>
        <w:spacing w:line="218" w:lineRule="auto" w:before="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C</w:t>
      </w:r>
      <w:r>
        <w:rPr>
          <w:rFonts w:ascii="EB Garamond" w:hAnsi="EB Garamond" w:eastAsia="EB Garamond"/>
          <w:b/>
          <w:i w:val="0"/>
          <w:color w:val="000000"/>
          <w:sz w:val="19"/>
        </w:rPr>
        <w:t>ONFERENCES AND PRESENTATIONS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294"/>
        </w:trPr>
        <w:tc>
          <w:tcPr>
            <w:tcW w:type="dxa" w:w="5364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2025 </w:t>
            </w:r>
          </w:p>
        </w:tc>
        <w:tc>
          <w:tcPr>
            <w:tcW w:type="dxa" w:w="5206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68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San Diego, USA</w:t>
            </w:r>
          </w:p>
        </w:tc>
      </w:tr>
      <w:tr>
        <w:trPr>
          <w:trHeight w:hRule="exact" w:val="57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The paper discussed how Generative AI can strategically streamline signal detection, safety reviews, and e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vidence gath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ering by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mining unstructured scientific and medical literature — driving faster, more informed clinical decisions.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1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  <w:tr>
        <w:trPr>
          <w:trHeight w:hRule="exact" w:val="288"/>
        </w:trPr>
        <w:tc>
          <w:tcPr>
            <w:tcW w:type="dxa" w:w="5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2024 </w:t>
            </w:r>
          </w:p>
        </w:tc>
        <w:tc>
          <w:tcPr>
            <w:tcW w:type="dxa" w:w="52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3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Baltimore, USA </w:t>
            </w:r>
          </w:p>
        </w:tc>
      </w:tr>
      <w:tr>
        <w:trPr>
          <w:trHeight w:hRule="exact" w:val="63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Presented a paper on how large language models (LLMs) coupled with next-generati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on Graph d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atabase, search and analytic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engines etc. can create a comprehensive AI-based technology automation platform.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2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216" w:lineRule="auto" w:before="22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ATENTS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26"/>
        </w:trPr>
        <w:tc>
          <w:tcPr>
            <w:tcW w:type="dxa" w:w="10570"/>
            <w:gridSpan w:val="2"/>
            <w:tcBorders>
              <w:top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38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Granted: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Continuous Validation for Regulatory Compliance (2023) </w:t>
            </w:r>
          </w:p>
        </w:tc>
      </w:tr>
      <w:tr>
        <w:trPr>
          <w:trHeight w:hRule="exact" w:val="286"/>
        </w:trPr>
        <w:tc>
          <w:tcPr>
            <w:tcW w:type="dxa" w:w="9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4" w:after="0"/>
              <w:ind w:left="0" w:right="12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6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Proposed an automated approach for validating computer systems with dynamic components using synthetic </w:t>
            </w:r>
          </w:p>
        </w:tc>
      </w:tr>
      <w:tr>
        <w:trPr>
          <w:trHeight w:hRule="exact" w:val="636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8" w:val="left"/>
              </w:tabs>
              <w:autoSpaceDE w:val="0"/>
              <w:widowControl/>
              <w:spacing w:line="245" w:lineRule="auto" w:before="0" w:after="0"/>
              <w:ind w:left="388" w:right="3312" w:firstLine="0"/>
              <w:jc w:val="left"/>
            </w:pPr>
            <w:r>
              <w:tab/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UAT and learning saturation testing: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3" w:history="1">
                <w:r>
                  <w:rPr>
                    <w:rStyle w:val="Hyperlink"/>
                  </w:rPr>
                  <w:t>Patent Link</w:t>
                </w:r>
              </w:hyperlink>
            </w: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Filed: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Clinical Event and Endpoint Adjudication System (2024) </w:t>
            </w:r>
          </w:p>
        </w:tc>
      </w:tr>
    </w:tbl>
    <w:p>
      <w:pPr>
        <w:autoSpaceDN w:val="0"/>
        <w:autoSpaceDE w:val="0"/>
        <w:widowControl/>
        <w:spacing w:line="218" w:lineRule="auto" w:before="22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>UBLICATIONS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1998"/>
        </w:trPr>
        <w:tc>
          <w:tcPr>
            <w:tcW w:type="dxa" w:w="60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auto" w:before="308" w:after="0"/>
              <w:ind w:left="388" w:right="124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/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/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96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6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The Future of Regulatory Intelligence with Conversational AI (2022) – Discusses chatbot-driven access to regulatory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knowledge.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576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AI/ML Approaches to Assisted Medical Writing – Part 1 &amp; 2 (2021–2022) – Covers abstractive vs. extractive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summarization methods.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Future of Clinical Trial Documentation Management using Blockchain (2021) – Examines eTMF digitization and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audit compliance.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36" w:right="800" w:bottom="1440" w:left="83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ohitkadam1410@gmail.com" TargetMode="External"/><Relationship Id="rId10" Type="http://schemas.openxmlformats.org/officeDocument/2006/relationships/hyperlink" Target="http://www.linkedin.com/in/rohitkadam315" TargetMode="External"/><Relationship Id="rId11" Type="http://schemas.openxmlformats.org/officeDocument/2006/relationships/hyperlink" Target="https://pharmasug.org/proceedings/2025/AI/PharmaSUG-2025-AI-331.pdf" TargetMode="External"/><Relationship Id="rId12" Type="http://schemas.openxmlformats.org/officeDocument/2006/relationships/hyperlink" Target="https://pharmasug.org/proceedings/2024/SD/PharmaSUG-2024-SD-397.pdf" TargetMode="External"/><Relationship Id="rId13" Type="http://schemas.openxmlformats.org/officeDocument/2006/relationships/hyperlink" Target="https://patents.google.com/patent/EP4141753A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