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1152" w:right="1152" w:firstLine="0"/>
        <w:jc w:val="center"/>
      </w:pPr>
      <w:r>
        <w:rPr>
          <w:rFonts w:ascii="EB Garamond" w:hAnsi="EB Garamond" w:eastAsia="EB Garamond"/>
          <w:b/>
          <w:i w:val="0"/>
          <w:color w:val="000000"/>
          <w:sz w:val="32"/>
        </w:rPr>
        <w:t xml:space="preserve">Rohit Kadam </w:t>
      </w:r>
      <w:r/>
      <w:r>
        <w:rPr>
          <w:rFonts w:ascii="EB Garamond" w:hAnsi="EB Garamond" w:eastAsia="EB Garamond"/>
          <w:b w:val="0"/>
          <w:i w:val="0"/>
          <w:color w:val="000000"/>
          <w:sz w:val="22"/>
        </w:rPr>
        <w:t>Pune, India •</w:t>
      </w: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 </w:t>
      </w:r>
      <w:r>
        <w:rPr>
          <w:rFonts w:ascii="EB Garamond" w:hAnsi="EB Garamond" w:eastAsia="EB Garamond"/>
          <w:b w:val="0"/>
          <w:i w:val="0"/>
          <w:color w:val="0000FF"/>
          <w:sz w:val="22"/>
          <w:u w:val="single"/>
        </w:rPr>
        <w:hyperlink r:id="rId9" w:history="1">
          <w:r>
            <w:rPr>
              <w:rStyle w:val="Hyperlink"/>
            </w:rPr>
            <w:t>rohitkadam1410@gmail.com</w:t>
          </w:r>
        </w:hyperlink>
      </w: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 </w:t>
      </w: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• +91 7767880235 • </w:t>
      </w:r>
      <w:r>
        <w:rPr>
          <w:rFonts w:ascii="EB Garamond" w:hAnsi="EB Garamond" w:eastAsia="EB Garamond"/>
          <w:b w:val="0"/>
          <w:i w:val="0"/>
          <w:color w:val="0000FF"/>
          <w:sz w:val="22"/>
          <w:u w:val="single"/>
        </w:rPr>
        <w:hyperlink r:id="rId10" w:history="1">
          <w:r>
            <w:rPr>
              <w:rStyle w:val="Hyperlink"/>
            </w:rPr>
            <w:t>linkedin.com/in/rohitkadam315</w:t>
          </w:r>
        </w:hyperlink>
      </w:r>
    </w:p>
    <w:p>
      <w:pPr>
        <w:autoSpaceDN w:val="0"/>
        <w:autoSpaceDE w:val="0"/>
        <w:widowControl/>
        <w:spacing w:line="245" w:lineRule="auto" w:before="286" w:after="0"/>
        <w:ind w:left="28" w:right="0" w:firstLine="0"/>
        <w:jc w:val="left"/>
      </w:pP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Passionate Data Science researcher with 4+ years of experience developing AI ML and GenAI-powered solutions in health </w:t>
      </w: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tech and regulatory intelligence. Granted patent holder, published author, and PharmaSUG presenter. Actively exploring the </w:t>
      </w: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intersection of AI and life sciences through academic and industry-led innovation. </w:t>
      </w:r>
    </w:p>
    <w:p>
      <w:pPr>
        <w:autoSpaceDN w:val="0"/>
        <w:autoSpaceDE w:val="0"/>
        <w:widowControl/>
        <w:spacing w:line="218" w:lineRule="auto" w:before="208" w:after="20"/>
        <w:ind w:left="28" w:right="0" w:firstLine="0"/>
        <w:jc w:val="left"/>
      </w:pPr>
      <w:r>
        <w:rPr>
          <w:rFonts w:ascii="EB Garamond" w:hAnsi="EB Garamond" w:eastAsia="EB Garamond"/>
          <w:b/>
          <w:i w:val="0"/>
          <w:color w:val="000000"/>
          <w:sz w:val="24"/>
        </w:rPr>
        <w:t>PROFESSIONAL</w:t>
      </w:r>
      <w:r>
        <w:rPr>
          <w:rFonts w:ascii="EB Garamond" w:hAnsi="EB Garamond" w:eastAsia="EB Garamond"/>
          <w:b/>
          <w:i w:val="0"/>
          <w:color w:val="000000"/>
          <w:sz w:val="24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51"/>
        <w:gridCol w:w="2651"/>
        <w:gridCol w:w="2651"/>
        <w:gridCol w:w="2651"/>
      </w:tblGrid>
      <w:tr>
        <w:trPr>
          <w:trHeight w:hRule="exact" w:val="424"/>
        </w:trPr>
        <w:tc>
          <w:tcPr>
            <w:tcW w:type="dxa" w:w="5764"/>
            <w:gridSpan w:val="3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30" w:after="0"/>
              <w:ind w:left="28" w:right="0" w:firstLine="0"/>
              <w:jc w:val="lef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>T</w:t>
            </w:r>
            <w:r>
              <w:rPr>
                <w:rFonts w:ascii="EB Garamond" w:hAnsi="EB Garamond" w:eastAsia="EB Garamond"/>
                <w:b/>
                <w:i w:val="0"/>
                <w:color w:val="000000"/>
                <w:sz w:val="18"/>
              </w:rPr>
              <w:t xml:space="preserve">ATA </w:t>
            </w: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>C</w:t>
            </w:r>
            <w:r>
              <w:rPr>
                <w:rFonts w:ascii="EB Garamond" w:hAnsi="EB Garamond" w:eastAsia="EB Garamond"/>
                <w:b/>
                <w:i w:val="0"/>
                <w:color w:val="000000"/>
                <w:sz w:val="18"/>
              </w:rPr>
              <w:t xml:space="preserve">ONSULTANCY </w:t>
            </w: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>S</w:t>
            </w:r>
            <w:r>
              <w:rPr>
                <w:rFonts w:ascii="EB Garamond" w:hAnsi="EB Garamond" w:eastAsia="EB Garamond"/>
                <w:b/>
                <w:i w:val="0"/>
                <w:color w:val="000000"/>
                <w:sz w:val="18"/>
              </w:rPr>
              <w:t>ERVICES</w:t>
            </w:r>
          </w:p>
        </w:tc>
        <w:tc>
          <w:tcPr>
            <w:tcW w:type="dxa" w:w="4806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30" w:after="0"/>
              <w:ind w:left="0" w:right="0" w:firstLine="0"/>
              <w:jc w:val="righ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Pune, India </w:t>
            </w:r>
          </w:p>
        </w:tc>
      </w:tr>
      <w:tr>
        <w:trPr>
          <w:trHeight w:hRule="exact" w:val="272"/>
        </w:trPr>
        <w:tc>
          <w:tcPr>
            <w:tcW w:type="dxa" w:w="57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388" w:right="0" w:firstLine="0"/>
              <w:jc w:val="lef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I.T. Analyst </w:t>
            </w:r>
          </w:p>
        </w:tc>
        <w:tc>
          <w:tcPr>
            <w:tcW w:type="dxa" w:w="4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righ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Jan 2024 – Present </w:t>
            </w:r>
          </w:p>
        </w:tc>
      </w:tr>
      <w:tr>
        <w:trPr>
          <w:trHeight w:hRule="exact" w:val="302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4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Led the development of a GenAI-based medical assistant using Azure OpenAI which improved monitoring </w:t>
            </w:r>
          </w:p>
        </w:tc>
      </w:tr>
      <w:tr>
        <w:trPr>
          <w:trHeight w:hRule="exact" w:val="288"/>
        </w:trPr>
        <w:tc>
          <w:tcPr>
            <w:tcW w:type="dxa" w:w="105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108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process efficiency. </w:t>
            </w:r>
          </w:p>
        </w:tc>
      </w:tr>
      <w:tr>
        <w:trPr>
          <w:trHeight w:hRule="exact" w:val="270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Directed a team of 4 in building modular LLM Applications using RAG- for literature management system. </w:t>
            </w:r>
          </w:p>
        </w:tc>
      </w:tr>
      <w:tr>
        <w:trPr>
          <w:trHeight w:hRule="exact" w:val="304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6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Acted as the primary point of contact for stakeholders during the pilot phase, streamlining solution rollouts. </w:t>
            </w:r>
          </w:p>
        </w:tc>
      </w:tr>
      <w:tr>
        <w:trPr>
          <w:trHeight w:hRule="exact" w:val="288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Conducted cross-team brainstorming sessions and stakeholder interviews to define business use cases in </w:t>
            </w:r>
          </w:p>
        </w:tc>
      </w:tr>
      <w:tr>
        <w:trPr>
          <w:trHeight w:hRule="exact" w:val="268"/>
        </w:trPr>
        <w:tc>
          <w:tcPr>
            <w:tcW w:type="dxa" w:w="105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108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HealthTech. </w:t>
            </w:r>
          </w:p>
        </w:tc>
      </w:tr>
      <w:tr>
        <w:trPr>
          <w:trHeight w:hRule="exact" w:val="306"/>
        </w:trPr>
        <w:tc>
          <w:tcPr>
            <w:tcW w:type="dxa" w:w="57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8" w:after="0"/>
              <w:ind w:left="388" w:right="0" w:firstLine="0"/>
              <w:jc w:val="lef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System Engineer </w:t>
            </w:r>
          </w:p>
        </w:tc>
        <w:tc>
          <w:tcPr>
            <w:tcW w:type="dxa" w:w="4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8" w:after="0"/>
              <w:ind w:left="0" w:right="0" w:firstLine="0"/>
              <w:jc w:val="righ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Jul 2021 – Dec 2023 </w:t>
            </w:r>
          </w:p>
        </w:tc>
      </w:tr>
      <w:tr>
        <w:trPr>
          <w:trHeight w:hRule="exact" w:val="274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Developed the Regulatory Intelligence Chatbot project using RASA and custom NLP, reducing query response </w:t>
            </w:r>
          </w:p>
        </w:tc>
      </w:tr>
      <w:tr>
        <w:trPr>
          <w:trHeight w:hRule="exact" w:val="300"/>
        </w:trPr>
        <w:tc>
          <w:tcPr>
            <w:tcW w:type="dxa" w:w="105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2" w:after="0"/>
              <w:ind w:left="1108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time for regulatory professionals </w:t>
            </w:r>
          </w:p>
        </w:tc>
      </w:tr>
      <w:tr>
        <w:trPr>
          <w:trHeight w:hRule="exact" w:val="288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Collaborated with SMEs and business leads to design AI-driven healthcare pilots. </w:t>
            </w:r>
          </w:p>
        </w:tc>
      </w:tr>
      <w:tr>
        <w:trPr>
          <w:trHeight w:hRule="exact" w:val="272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Served as Innovation Lead during the Incubation Bootcamp, resulting in the award-winning product idea </w:t>
            </w:r>
          </w:p>
        </w:tc>
      </w:tr>
      <w:tr>
        <w:trPr>
          <w:trHeight w:hRule="exact" w:val="302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4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Mentored three junior interns in Python, NLP, and AI ML fundamentals and developing POC solutions. </w:t>
            </w:r>
          </w:p>
        </w:tc>
      </w:tr>
      <w:tr>
        <w:trPr>
          <w:trHeight w:hRule="exact" w:val="288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Initiated a knowledge-sharing forum within the R&amp;I team to accelerate GenAI adoption across verticals. </w:t>
            </w:r>
          </w:p>
        </w:tc>
      </w:tr>
      <w:tr>
        <w:trPr>
          <w:trHeight w:hRule="exact" w:val="270"/>
        </w:trPr>
        <w:tc>
          <w:tcPr>
            <w:tcW w:type="dxa" w:w="57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388" w:right="0" w:firstLine="0"/>
              <w:jc w:val="lef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Assistant System Engineer </w:t>
            </w:r>
          </w:p>
        </w:tc>
        <w:tc>
          <w:tcPr>
            <w:tcW w:type="dxa" w:w="4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righ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Sep 2020 – Jun 2021 </w:t>
            </w:r>
          </w:p>
        </w:tc>
      </w:tr>
      <w:tr>
        <w:trPr>
          <w:trHeight w:hRule="exact" w:val="302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4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Contributed to data analysis and dashboard creation using Python for EHR Analytics. </w:t>
            </w:r>
          </w:p>
        </w:tc>
      </w:tr>
      <w:tr>
        <w:trPr>
          <w:trHeight w:hRule="exact" w:val="278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Supported early experiments with NLP for medical writing applications. </w:t>
            </w:r>
          </w:p>
        </w:tc>
      </w:tr>
      <w:tr>
        <w:trPr>
          <w:trHeight w:hRule="exact" w:val="400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2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Worked as an individual contributor in POC development to streamline EHR data to EDC </w:t>
            </w:r>
          </w:p>
        </w:tc>
      </w:tr>
      <w:tr>
        <w:trPr>
          <w:trHeight w:hRule="exact" w:val="424"/>
        </w:trPr>
        <w:tc>
          <w:tcPr>
            <w:tcW w:type="dxa" w:w="105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36" w:after="0"/>
              <w:ind w:left="28" w:right="0" w:firstLine="0"/>
              <w:jc w:val="lef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Projects </w:t>
            </w:r>
          </w:p>
        </w:tc>
      </w:tr>
      <w:tr>
        <w:trPr>
          <w:trHeight w:hRule="exact" w:val="276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GenAI Based medical monitoring assistant: </w:t>
            </w:r>
          </w:p>
        </w:tc>
      </w:tr>
      <w:tr>
        <w:trPr>
          <w:trHeight w:hRule="exact" w:val="298"/>
        </w:trPr>
        <w:tc>
          <w:tcPr>
            <w:tcW w:type="dxa" w:w="13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114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▪</w:t>
            </w:r>
          </w:p>
        </w:tc>
        <w:tc>
          <w:tcPr>
            <w:tcW w:type="dxa" w:w="92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14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Developed an intelligent assistant using Azure OpenAI to support real time medical monitoring and </w:t>
            </w:r>
          </w:p>
        </w:tc>
      </w:tr>
      <w:tr>
        <w:trPr>
          <w:trHeight w:hRule="exact" w:val="288"/>
        </w:trPr>
        <w:tc>
          <w:tcPr>
            <w:tcW w:type="dxa" w:w="105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468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decision making in clinical trials. </w:t>
            </w:r>
          </w:p>
        </w:tc>
      </w:tr>
      <w:tr>
        <w:trPr>
          <w:trHeight w:hRule="exact" w:val="274"/>
        </w:trPr>
        <w:tc>
          <w:tcPr>
            <w:tcW w:type="dxa" w:w="13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114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▪</w:t>
            </w:r>
          </w:p>
        </w:tc>
        <w:tc>
          <w:tcPr>
            <w:tcW w:type="dxa" w:w="92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4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API driven architecture to support medical monitoring queries and provide actionable insights </w:t>
            </w:r>
          </w:p>
        </w:tc>
      </w:tr>
      <w:tr>
        <w:trPr>
          <w:trHeight w:hRule="exact" w:val="300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2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Literature insights Platform: </w:t>
            </w:r>
          </w:p>
        </w:tc>
      </w:tr>
      <w:tr>
        <w:trPr>
          <w:trHeight w:hRule="exact" w:val="280"/>
        </w:trPr>
        <w:tc>
          <w:tcPr>
            <w:tcW w:type="dxa" w:w="13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114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▪</w:t>
            </w:r>
          </w:p>
        </w:tc>
        <w:tc>
          <w:tcPr>
            <w:tcW w:type="dxa" w:w="92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Designed literature search and analysis platform to extract key insights from medical literature and support </w:t>
            </w:r>
          </w:p>
        </w:tc>
      </w:tr>
      <w:tr>
        <w:trPr>
          <w:trHeight w:hRule="exact" w:val="294"/>
        </w:trPr>
        <w:tc>
          <w:tcPr>
            <w:tcW w:type="dxa" w:w="105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" w:after="0"/>
              <w:ind w:left="1468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ICSR detection </w:t>
            </w:r>
          </w:p>
        </w:tc>
      </w:tr>
      <w:tr>
        <w:trPr>
          <w:trHeight w:hRule="exact" w:val="288"/>
        </w:trPr>
        <w:tc>
          <w:tcPr>
            <w:tcW w:type="dxa" w:w="13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114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▪</w:t>
            </w:r>
          </w:p>
        </w:tc>
        <w:tc>
          <w:tcPr>
            <w:tcW w:type="dxa" w:w="92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4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Using customized search, information retrieval and LLM based ICSR detection strategy automatic </w:t>
            </w:r>
          </w:p>
        </w:tc>
      </w:tr>
      <w:tr>
        <w:trPr>
          <w:trHeight w:hRule="exact" w:val="348"/>
        </w:trPr>
        <w:tc>
          <w:tcPr>
            <w:tcW w:type="dxa" w:w="105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468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categorization of article into distinct groups. </w:t>
            </w:r>
          </w:p>
        </w:tc>
      </w:tr>
    </w:tbl>
    <w:p>
      <w:pPr>
        <w:autoSpaceDN w:val="0"/>
        <w:autoSpaceDE w:val="0"/>
        <w:widowControl/>
        <w:spacing w:line="218" w:lineRule="auto" w:before="140" w:after="0"/>
        <w:ind w:left="28" w:right="0" w:firstLine="0"/>
        <w:jc w:val="left"/>
      </w:pPr>
      <w:r>
        <w:rPr>
          <w:rFonts w:ascii="EB Garamond" w:hAnsi="EB Garamond" w:eastAsia="EB Garamond"/>
          <w:b/>
          <w:i w:val="0"/>
          <w:color w:val="000000"/>
          <w:sz w:val="24"/>
        </w:rPr>
        <w:t>T</w:t>
      </w:r>
      <w:r>
        <w:rPr>
          <w:rFonts w:ascii="EB Garamond" w:hAnsi="EB Garamond" w:eastAsia="EB Garamond"/>
          <w:b/>
          <w:i w:val="0"/>
          <w:color w:val="000000"/>
          <w:sz w:val="19"/>
        </w:rPr>
        <w:t xml:space="preserve">ECHNICAL </w:t>
      </w:r>
      <w:r>
        <w:rPr>
          <w:rFonts w:ascii="EB Garamond" w:hAnsi="EB Garamond" w:eastAsia="EB Garamond"/>
          <w:b/>
          <w:i w:val="0"/>
          <w:color w:val="000000"/>
          <w:sz w:val="24"/>
        </w:rPr>
        <w:t>S</w:t>
      </w:r>
      <w:r>
        <w:rPr>
          <w:rFonts w:ascii="EB Garamond" w:hAnsi="EB Garamond" w:eastAsia="EB Garamond"/>
          <w:b/>
          <w:i w:val="0"/>
          <w:color w:val="000000"/>
          <w:sz w:val="19"/>
        </w:rPr>
        <w:t>KILLS</w:t>
      </w:r>
    </w:p>
    <w:p>
      <w:pPr>
        <w:autoSpaceDN w:val="0"/>
        <w:autoSpaceDE w:val="0"/>
        <w:widowControl/>
        <w:spacing w:line="218" w:lineRule="auto" w:before="164" w:after="0"/>
        <w:ind w:left="0" w:right="0" w:firstLine="0"/>
        <w:jc w:val="center"/>
      </w:pPr>
      <w:r>
        <w:rPr>
          <w:rFonts w:ascii="EB Garamond" w:hAnsi="EB Garamond" w:eastAsia="EB Garamond"/>
          <w:b w:val="0"/>
          <w:i w:val="0"/>
          <w:color w:val="000000"/>
          <w:sz w:val="22"/>
        </w:rPr>
        <w:t>Python, Data Science, Machine Learning, NLP, Generative AI, RAG, Azure, OpenAI, REST APIs,</w:t>
      </w:r>
      <w:r>
        <w:rPr>
          <w:rFonts w:ascii="EB Garamond" w:hAnsi="EB Garamond" w:eastAsia="EB Garamond"/>
          <w:b w:val="0"/>
          <w:i w:val="0"/>
          <w:color w:val="000000"/>
          <w:sz w:val="22"/>
        </w:rPr>
        <w:t>AWS (Bedrock),</w:t>
      </w: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RASA </w:t>
      </w:r>
    </w:p>
    <w:p>
      <w:pPr>
        <w:autoSpaceDN w:val="0"/>
        <w:autoSpaceDE w:val="0"/>
        <w:widowControl/>
        <w:spacing w:line="216" w:lineRule="auto" w:before="210" w:after="20"/>
        <w:ind w:left="28" w:right="0" w:firstLine="0"/>
        <w:jc w:val="left"/>
      </w:pPr>
      <w:r>
        <w:rPr>
          <w:rFonts w:ascii="EB Garamond" w:hAnsi="EB Garamond" w:eastAsia="EB Garamond"/>
          <w:b/>
          <w:i w:val="0"/>
          <w:color w:val="000000"/>
          <w:sz w:val="24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2"/>
        <w:gridCol w:w="5302"/>
      </w:tblGrid>
      <w:tr>
        <w:trPr>
          <w:trHeight w:hRule="exact" w:val="406"/>
        </w:trPr>
        <w:tc>
          <w:tcPr>
            <w:tcW w:type="dxa" w:w="732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30" w:after="0"/>
              <w:ind w:left="28" w:right="0" w:firstLine="0"/>
              <w:jc w:val="lef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Rajarambapu Institute of Technology, Shivaji University </w:t>
            </w:r>
          </w:p>
        </w:tc>
        <w:tc>
          <w:tcPr>
            <w:tcW w:type="dxa" w:w="3246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30" w:after="0"/>
              <w:ind w:left="0" w:right="0" w:firstLine="0"/>
              <w:jc w:val="righ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Sangli, India </w:t>
            </w:r>
          </w:p>
        </w:tc>
      </w:tr>
    </w:tbl>
    <w:p>
      <w:pPr>
        <w:autoSpaceDN w:val="0"/>
        <w:autoSpaceDE w:val="0"/>
        <w:widowControl/>
        <w:spacing w:line="14" w:lineRule="exact" w:before="0" w:after="44"/>
        <w:ind w:left="0" w:right="0"/>
      </w:pPr>
    </w:p>
    <w:p>
      <w:pPr/>
    </w:p>
    <w:p>
      <w:pPr>
        <w:autoSpaceDN w:val="0"/>
        <w:autoSpaceDE w:val="0"/>
        <w:widowControl/>
        <w:spacing w:line="245" w:lineRule="auto" w:before="0" w:after="0"/>
        <w:ind w:left="28" w:right="1728" w:firstLine="0"/>
        <w:jc w:val="left"/>
      </w:pP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Bachelor of Technology (Mechanical Engineering): 7.62 CGPI </w:t>
      </w:r>
      <w:r>
        <w:rPr>
          <w:rFonts w:ascii="EB Garamond" w:hAnsi="EB Garamond" w:eastAsia="EB Garamond"/>
          <w:b/>
          <w:i w:val="0"/>
          <w:color w:val="000000"/>
          <w:sz w:val="22"/>
        </w:rPr>
        <w:t xml:space="preserve">Yashawantrao Chavan Institute of Science, Satara </w:t>
      </w:r>
      <w:r/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Higher Secondary (H.S.C): 81.38 % </w:t>
      </w:r>
    </w:p>
    <w:p>
      <w:pPr/>
    </w:p>
    <w:p>
      <w:pPr>
        <w:autoSpaceDN w:val="0"/>
        <w:autoSpaceDE w:val="0"/>
        <w:widowControl/>
        <w:spacing w:line="245" w:lineRule="auto" w:before="0" w:after="44"/>
        <w:ind w:left="1728" w:right="20" w:firstLine="0"/>
        <w:jc w:val="right"/>
      </w:pP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Jul 2014 – May 2018 </w:t>
      </w:r>
      <w:r>
        <w:rPr>
          <w:rFonts w:ascii="EB Garamond" w:hAnsi="EB Garamond" w:eastAsia="EB Garamond"/>
          <w:b/>
          <w:i w:val="0"/>
          <w:color w:val="000000"/>
          <w:sz w:val="22"/>
        </w:rPr>
        <w:t xml:space="preserve">Satara, India </w:t>
      </w:r>
      <w:r/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Jun 2012- May 2014 </w:t>
      </w:r>
    </w:p>
    <w:p>
      <w:pPr/>
    </w:p>
    <w:p>
      <w:pPr>
        <w:autoSpaceDN w:val="0"/>
        <w:tabs>
          <w:tab w:pos="9366" w:val="left"/>
        </w:tabs>
        <w:autoSpaceDE w:val="0"/>
        <w:widowControl/>
        <w:spacing w:line="218" w:lineRule="auto" w:before="0" w:after="40"/>
        <w:ind w:left="28" w:right="0" w:firstLine="0"/>
        <w:jc w:val="left"/>
      </w:pPr>
      <w:r>
        <w:rPr>
          <w:rFonts w:ascii="EB Garamond" w:hAnsi="EB Garamond" w:eastAsia="EB Garamond"/>
          <w:b/>
          <w:i w:val="0"/>
          <w:color w:val="000000"/>
          <w:sz w:val="22"/>
        </w:rPr>
        <w:t xml:space="preserve">Maharaja Sayajirao Vidyalaya, Satara </w:t>
      </w:r>
      <w:r>
        <w:tab/>
      </w:r>
      <w:r>
        <w:rPr>
          <w:rFonts w:ascii="EB Garamond" w:hAnsi="EB Garamond" w:eastAsia="EB Garamond"/>
          <w:b/>
          <w:i w:val="0"/>
          <w:color w:val="000000"/>
          <w:sz w:val="22"/>
        </w:rPr>
        <w:t xml:space="preserve">Satara, India </w:t>
      </w:r>
    </w:p>
    <w:p>
      <w:pPr/>
    </w:p>
    <w:p>
      <w:pPr>
        <w:autoSpaceDN w:val="0"/>
        <w:autoSpaceDE w:val="0"/>
        <w:widowControl/>
        <w:spacing w:line="218" w:lineRule="auto" w:before="0" w:after="0"/>
        <w:ind w:left="28" w:right="0" w:firstLine="0"/>
        <w:jc w:val="left"/>
      </w:pP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Secondary School (S.S.C):  93.64 % </w:t>
      </w:r>
    </w:p>
    <w:p>
      <w:pPr/>
    </w:p>
    <w:p>
      <w:pPr>
        <w:autoSpaceDN w:val="0"/>
        <w:autoSpaceDE w:val="0"/>
        <w:widowControl/>
        <w:spacing w:line="218" w:lineRule="auto" w:before="0" w:after="0"/>
        <w:ind w:left="0" w:right="32" w:firstLine="0"/>
        <w:jc w:val="right"/>
      </w:pP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 Jun 2011- May 2012 </w:t>
      </w:r>
    </w:p>
    <w:p>
      <w:pPr/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18" w:lineRule="auto" w:before="0" w:after="18"/>
        <w:ind w:left="28" w:right="0" w:firstLine="0"/>
        <w:jc w:val="left"/>
      </w:pPr>
      <w:r>
        <w:rPr>
          <w:rFonts w:ascii="EB Garamond" w:hAnsi="EB Garamond" w:eastAsia="EB Garamond"/>
          <w:b/>
          <w:i w:val="0"/>
          <w:color w:val="000000"/>
          <w:sz w:val="24"/>
        </w:rPr>
        <w:t>C</w:t>
      </w:r>
      <w:r>
        <w:rPr>
          <w:rFonts w:ascii="EB Garamond" w:hAnsi="EB Garamond" w:eastAsia="EB Garamond"/>
          <w:b/>
          <w:i w:val="0"/>
          <w:color w:val="000000"/>
          <w:sz w:val="19"/>
        </w:rPr>
        <w:t>ONFERENCES AND PRESENTATIONS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2"/>
        <w:gridCol w:w="5302"/>
      </w:tblGrid>
      <w:tr>
        <w:trPr>
          <w:trHeight w:hRule="exact" w:val="294"/>
        </w:trPr>
        <w:tc>
          <w:tcPr>
            <w:tcW w:type="dxa" w:w="5364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8" w:right="0" w:firstLine="0"/>
              <w:jc w:val="lef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PharmaSUG 2025 </w:t>
            </w:r>
          </w:p>
        </w:tc>
        <w:tc>
          <w:tcPr>
            <w:tcW w:type="dxa" w:w="5206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68" w:firstLine="0"/>
              <w:jc w:val="righ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 San Diego, USA</w:t>
            </w:r>
          </w:p>
        </w:tc>
      </w:tr>
      <w:tr>
        <w:trPr>
          <w:trHeight w:hRule="exact" w:val="574"/>
        </w:trPr>
        <w:tc>
          <w:tcPr>
            <w:tcW w:type="dxa" w:w="10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>The paper discussed how Generative AI can strategically streamline signal detection, safety reviews, and e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hyperlink r:id="rId11" w:history="1">
                <w:r>
                  <w:rPr>
                    <w:rStyle w:val="Hyperlink"/>
                  </w:rPr>
                  <w:t>vidence gath</w:t>
                </w:r>
              </w:hyperlink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ering by 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mining unstructured scientific and medical literature — driving faster, more informed clinical decisions. 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hyperlink r:id="rId11" w:history="1">
                <w:r>
                  <w:rPr>
                    <w:rStyle w:val="Hyperlink"/>
                  </w:rPr>
                  <w:t>(</w:t>
                </w:r>
              </w:hyperlink>
            </w:r>
            <w:r>
              <w:rPr>
                <w:rFonts w:ascii="EB Garamond" w:hAnsi="EB Garamond" w:eastAsia="EB Garamond"/>
                <w:b w:val="0"/>
                <w:i w:val="0"/>
                <w:color w:val="0000FF"/>
                <w:sz w:val="22"/>
                <w:u w:val="single"/>
              </w:rPr>
              <w:hyperlink r:id="rId11" w:history="1">
                <w:r>
                  <w:rPr>
                    <w:rStyle w:val="Hyperlink"/>
                  </w:rPr>
                  <w:t>Paper Link</w:t>
                </w:r>
              </w:hyperlink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hyperlink r:id="rId11" w:history="1">
                <w:r>
                  <w:rPr>
                    <w:rStyle w:val="Hyperlink"/>
                  </w:rPr>
                  <w:t>)</w:t>
                </w:r>
              </w:hyperlink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288"/>
        </w:trPr>
        <w:tc>
          <w:tcPr>
            <w:tcW w:type="dxa" w:w="5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8" w:right="0" w:firstLine="0"/>
              <w:jc w:val="lef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PharmaSUG 2024 </w:t>
            </w:r>
          </w:p>
        </w:tc>
        <w:tc>
          <w:tcPr>
            <w:tcW w:type="dxa" w:w="5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30" w:firstLine="0"/>
              <w:jc w:val="righ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 Baltimore, USA </w:t>
            </w:r>
          </w:p>
        </w:tc>
      </w:tr>
      <w:tr>
        <w:trPr>
          <w:trHeight w:hRule="exact" w:val="634"/>
        </w:trPr>
        <w:tc>
          <w:tcPr>
            <w:tcW w:type="dxa" w:w="10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" w:right="144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>Presented a paper on how large language models (LLMs) coupled with next-generati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hyperlink r:id="rId12" w:history="1">
                <w:r>
                  <w:rPr>
                    <w:rStyle w:val="Hyperlink"/>
                  </w:rPr>
                  <w:t>on Graph d</w:t>
                </w:r>
              </w:hyperlink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atabase, search and analytic 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engines etc. can create a comprehensive AI-based technology automation platform. 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hyperlink r:id="rId12" w:history="1">
                <w:r>
                  <w:rPr>
                    <w:rStyle w:val="Hyperlink"/>
                  </w:rPr>
                  <w:t>(</w:t>
                </w:r>
              </w:hyperlink>
            </w:r>
            <w:r>
              <w:rPr>
                <w:rFonts w:ascii="EB Garamond" w:hAnsi="EB Garamond" w:eastAsia="EB Garamond"/>
                <w:b w:val="0"/>
                <w:i w:val="0"/>
                <w:color w:val="0000FF"/>
                <w:sz w:val="22"/>
                <w:u w:val="single"/>
              </w:rPr>
              <w:hyperlink r:id="rId12" w:history="1">
                <w:r>
                  <w:rPr>
                    <w:rStyle w:val="Hyperlink"/>
                  </w:rPr>
                  <w:t>Paper Link</w:t>
                </w:r>
              </w:hyperlink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hyperlink r:id="rId12" w:history="1">
                <w:r>
                  <w:rPr>
                    <w:rStyle w:val="Hyperlink"/>
                  </w:rPr>
                  <w:t>)</w:t>
                </w:r>
              </w:hyperlink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16" w:lineRule="auto" w:before="220" w:after="20"/>
        <w:ind w:left="28" w:right="0" w:firstLine="0"/>
        <w:jc w:val="left"/>
      </w:pPr>
      <w:r>
        <w:rPr>
          <w:rFonts w:ascii="EB Garamond" w:hAnsi="EB Garamond" w:eastAsia="EB Garamond"/>
          <w:b/>
          <w:i w:val="0"/>
          <w:color w:val="000000"/>
          <w:sz w:val="24"/>
        </w:rPr>
        <w:t>P</w:t>
      </w:r>
      <w:r>
        <w:rPr>
          <w:rFonts w:ascii="EB Garamond" w:hAnsi="EB Garamond" w:eastAsia="EB Garamond"/>
          <w:b/>
          <w:i w:val="0"/>
          <w:color w:val="000000"/>
          <w:sz w:val="19"/>
        </w:rPr>
        <w:t xml:space="preserve">ATENTS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2"/>
        <w:gridCol w:w="5302"/>
      </w:tblGrid>
      <w:tr>
        <w:trPr>
          <w:trHeight w:hRule="exact" w:val="426"/>
        </w:trPr>
        <w:tc>
          <w:tcPr>
            <w:tcW w:type="dxa" w:w="10570"/>
            <w:gridSpan w:val="2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30" w:after="0"/>
              <w:ind w:left="38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●</w:t>
            </w: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>Granted: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 Automated Continuous Validation for Regulatory Compliance (2023) </w:t>
            </w:r>
          </w:p>
        </w:tc>
      </w:tr>
      <w:tr>
        <w:trPr>
          <w:trHeight w:hRule="exact" w:val="286"/>
        </w:trPr>
        <w:tc>
          <w:tcPr>
            <w:tcW w:type="dxa" w:w="9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12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4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Proposed an automated approach for validating computer systems with dynamic components using synthetic </w:t>
            </w:r>
          </w:p>
        </w:tc>
      </w:tr>
      <w:tr>
        <w:trPr>
          <w:trHeight w:hRule="exact" w:val="636"/>
        </w:trPr>
        <w:tc>
          <w:tcPr>
            <w:tcW w:type="dxa" w:w="10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8" w:val="left"/>
              </w:tabs>
              <w:autoSpaceDE w:val="0"/>
              <w:widowControl/>
              <w:spacing w:line="245" w:lineRule="auto" w:before="0" w:after="0"/>
              <w:ind w:left="388" w:right="3312" w:firstLine="0"/>
              <w:jc w:val="left"/>
            </w:pPr>
            <w:r>
              <w:tab/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>UAT and learning saturation testing: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EB Garamond" w:hAnsi="EB Garamond" w:eastAsia="EB Garamond"/>
                <w:b w:val="0"/>
                <w:i w:val="0"/>
                <w:color w:val="0000FF"/>
                <w:sz w:val="22"/>
                <w:u w:val="single"/>
              </w:rPr>
              <w:hyperlink r:id="rId13" w:history="1">
                <w:r>
                  <w:rPr>
                    <w:rStyle w:val="Hyperlink"/>
                  </w:rPr>
                  <w:t>Patent Link</w:t>
                </w:r>
              </w:hyperlink>
            </w: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●</w:t>
            </w: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>Filed: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 Automated Clinical Event and Endpoint Adjudication System (2024) </w:t>
            </w:r>
          </w:p>
        </w:tc>
      </w:tr>
    </w:tbl>
    <w:p>
      <w:pPr>
        <w:autoSpaceDN w:val="0"/>
        <w:autoSpaceDE w:val="0"/>
        <w:widowControl/>
        <w:spacing w:line="218" w:lineRule="auto" w:before="220" w:after="18"/>
        <w:ind w:left="28" w:right="0" w:firstLine="0"/>
        <w:jc w:val="left"/>
      </w:pPr>
      <w:r>
        <w:rPr>
          <w:rFonts w:ascii="EB Garamond" w:hAnsi="EB Garamond" w:eastAsia="EB Garamond"/>
          <w:b/>
          <w:i w:val="0"/>
          <w:color w:val="000000"/>
          <w:sz w:val="24"/>
        </w:rPr>
        <w:t>P</w:t>
      </w:r>
      <w:r>
        <w:rPr>
          <w:rFonts w:ascii="EB Garamond" w:hAnsi="EB Garamond" w:eastAsia="EB Garamond"/>
          <w:b/>
          <w:i w:val="0"/>
          <w:color w:val="000000"/>
          <w:sz w:val="19"/>
        </w:rPr>
        <w:t>UBLICATIONS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2"/>
        <w:gridCol w:w="5302"/>
      </w:tblGrid>
      <w:tr>
        <w:trPr>
          <w:trHeight w:hRule="exact" w:val="1998"/>
        </w:trPr>
        <w:tc>
          <w:tcPr>
            <w:tcW w:type="dxa" w:w="60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6" w:lineRule="auto" w:before="308" w:after="0"/>
              <w:ind w:left="388" w:right="124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/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/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966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6" w:after="0"/>
              <w:ind w:left="14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The Future of Regulatory Intelligence with Conversational AI (2022) – Discusses chatbot-driven access to regulatory 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knowledge. 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4" w:right="576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AI/ML Approaches to Assisted Medical Writing – Part 1 &amp; 2 (2021–2022) – Covers abstractive vs. extractive 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summarization methods. 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Future of Clinical Trial Documentation Management using Blockchain (2021) – Examines eTMF digitization and 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audit compliance.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436" w:right="800" w:bottom="1440" w:left="8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ohitkadam1410@gmail.com" TargetMode="External"/><Relationship Id="rId10" Type="http://schemas.openxmlformats.org/officeDocument/2006/relationships/hyperlink" Target="http://www.linkedin.com/in/rohitkadam315" TargetMode="External"/><Relationship Id="rId11" Type="http://schemas.openxmlformats.org/officeDocument/2006/relationships/hyperlink" Target="https://pharmasug.org/proceedings/2025/AI/PharmaSUG-2025-AI-331.pdf" TargetMode="External"/><Relationship Id="rId12" Type="http://schemas.openxmlformats.org/officeDocument/2006/relationships/hyperlink" Target="https://pharmasug.org/proceedings/2024/SD/PharmaSUG-2024-SD-397.pdf" TargetMode="External"/><Relationship Id="rId13" Type="http://schemas.openxmlformats.org/officeDocument/2006/relationships/hyperlink" Target="https://patents.google.com/patent/EP4141753A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