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5002530</wp:posOffset>
            </wp:positionH>
            <wp:positionV relativeFrom="page">
              <wp:posOffset>-400050</wp:posOffset>
            </wp:positionV>
            <wp:extent cx="2740660" cy="154162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5416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</wp:posOffset>
            </wp:positionH>
            <wp:positionV relativeFrom="page">
              <wp:posOffset>594360</wp:posOffset>
            </wp:positionV>
            <wp:extent cx="1094740" cy="10947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094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2197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197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4" w:lineRule="exact" w:before="0" w:after="294"/>
        <w:ind w:left="1750" w:right="0" w:firstLine="0"/>
        <w:jc w:val="left"/>
      </w:pPr>
      <w:r>
        <w:rPr>
          <w:rFonts w:ascii="OpenSans" w:hAnsi="OpenSans" w:eastAsia="OpenSans"/>
          <w:b/>
          <w:i w:val="0"/>
          <w:color w:val="565656"/>
          <w:sz w:val="32"/>
        </w:rPr>
        <w:t xml:space="preserve">Rohit kadam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3692"/>
        <w:gridCol w:w="3692"/>
        <w:gridCol w:w="3692"/>
      </w:tblGrid>
      <w:tr>
        <w:trPr>
          <w:trHeight w:hRule="exact" w:val="39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0" w:right="128" w:firstLine="0"/>
              <w:jc w:val="righ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>Date of birth: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14/10/1996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>Nationality: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Indian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>Phone number: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(+91) 7767880235 (Mobile) </w:t>
            </w:r>
          </w:p>
        </w:tc>
      </w:tr>
    </w:tbl>
    <w:p>
      <w:pPr>
        <w:autoSpaceDN w:val="0"/>
        <w:autoSpaceDE w:val="0"/>
        <w:widowControl/>
        <w:spacing w:line="272" w:lineRule="exact" w:before="116" w:after="0"/>
        <w:ind w:left="1750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0"/>
        </w:rPr>
        <w:t>Email address:</w:t>
      </w:r>
      <w:r>
        <w:rPr>
          <w:rFonts w:ascii="OpenSans" w:hAnsi="OpenSans" w:eastAsia="OpenSans"/>
          <w:b w:val="0"/>
          <w:i w:val="0"/>
          <w:color w:val="004494"/>
          <w:sz w:val="20"/>
        </w:rPr>
        <w:hyperlink r:id="rId9" w:history="1">
          <w:r>
            <w:rPr>
              <w:rStyle w:val="Hyperlink"/>
            </w:rPr>
            <w:t>rohitkadam1410@gmail.com</w:t>
          </w:r>
        </w:hyperlink>
      </w:r>
    </w:p>
    <w:p>
      <w:pPr>
        <w:autoSpaceDN w:val="0"/>
        <w:autoSpaceDE w:val="0"/>
        <w:widowControl/>
        <w:spacing w:line="198" w:lineRule="exact" w:before="228" w:after="0"/>
        <w:ind w:left="1750" w:right="2160" w:firstLine="0"/>
        <w:jc w:val="left"/>
      </w:pPr>
      <w:r>
        <w:rPr>
          <w:rFonts w:ascii="OpenSans" w:hAnsi="OpenSans" w:eastAsia="OpenSans"/>
          <w:b/>
          <w:i w:val="0"/>
          <w:color w:val="000000"/>
          <w:sz w:val="20"/>
        </w:rPr>
        <w:t xml:space="preserve">Address: </w:t>
      </w: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Flat No.308, RKL Anand Phase 1,Tathwade, Near Tata Motors Excel </w:t>
      </w: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vehicles Pune, 411033 Pune (India), 411033, Pune, India (Home) </w:t>
      </w:r>
    </w:p>
    <w:p>
      <w:pPr>
        <w:autoSpaceDN w:val="0"/>
        <w:autoSpaceDE w:val="0"/>
        <w:widowControl/>
        <w:spacing w:line="298" w:lineRule="exact" w:before="574" w:after="0"/>
        <w:ind w:left="0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 xml:space="preserve">ABOUT ME </w:t>
      </w:r>
    </w:p>
    <w:p>
      <w:pPr>
        <w:autoSpaceDN w:val="0"/>
        <w:autoSpaceDE w:val="0"/>
        <w:widowControl/>
        <w:spacing w:line="240" w:lineRule="exact" w:before="268" w:after="0"/>
        <w:ind w:left="0" w:right="288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Data scientist with 4 years building AI systems for healthcare and clinical trials. Patent holder, published researcher, </w:t>
      </w:r>
      <w:r>
        <w:rPr>
          <w:rFonts w:ascii="OpenSans" w:hAnsi="OpenSans" w:eastAsia="OpenSans"/>
          <w:b w:val="0"/>
          <w:i w:val="0"/>
          <w:color w:val="000000"/>
          <w:sz w:val="20"/>
        </w:rPr>
        <w:t>presented at PharmaSUG conferences. Focus on NLP, GenAI, and making clinical workflows faster.</w:t>
      </w:r>
    </w:p>
    <w:p>
      <w:pPr>
        <w:autoSpaceDN w:val="0"/>
        <w:autoSpaceDE w:val="0"/>
        <w:widowControl/>
        <w:spacing w:line="298" w:lineRule="exact" w:before="140" w:after="0"/>
        <w:ind w:left="0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>WORK EXPERIENCE</w:t>
      </w:r>
    </w:p>
    <w:p>
      <w:pPr>
        <w:autoSpaceDN w:val="0"/>
        <w:autoSpaceDE w:val="0"/>
        <w:widowControl/>
        <w:spacing w:line="272" w:lineRule="exact" w:before="236" w:after="0"/>
        <w:ind w:left="0" w:right="0" w:firstLine="0"/>
        <w:jc w:val="left"/>
      </w:pPr>
      <w:r>
        <w:rPr>
          <w:rFonts w:ascii="FontAwesome5Free" w:hAnsi="FontAwesome5Free" w:eastAsia="FontAwesome5Free"/>
          <w:b w:val="0"/>
          <w:i w:val="0"/>
          <w:color w:val="404040"/>
          <w:sz w:val="20"/>
        </w:rPr>
        <w:t></w:t>
      </w:r>
      <w:r>
        <w:rPr>
          <w:rFonts w:ascii="OpenSans" w:hAnsi="OpenSans" w:eastAsia="OpenSans"/>
          <w:b/>
          <w:i w:val="0"/>
          <w:color w:val="404040"/>
          <w:sz w:val="20"/>
        </w:rPr>
        <w:t xml:space="preserve">TATA CONSULTANCY SERVICES </w:t>
      </w:r>
      <w:r>
        <w:rPr>
          <w:rFonts w:ascii="OpenSans" w:hAnsi="OpenSans" w:eastAsia="OpenSans"/>
          <w:b w:val="0"/>
          <w:i w:val="0"/>
          <w:color w:val="404040"/>
          <w:sz w:val="20"/>
        </w:rPr>
        <w:t>– PUNE, INDIA</w:t>
      </w:r>
    </w:p>
    <w:p>
      <w:pPr>
        <w:autoSpaceDN w:val="0"/>
        <w:autoSpaceDE w:val="0"/>
        <w:widowControl/>
        <w:spacing w:line="300" w:lineRule="exact" w:before="48" w:after="0"/>
        <w:ind w:left="0" w:right="0" w:firstLine="0"/>
        <w:jc w:val="left"/>
      </w:pPr>
      <w:r>
        <w:rPr>
          <w:shd w:val="clear" w:color="auto" w:fill="979797"/>
          <w:rFonts w:ascii="OpenSans" w:hAnsi="OpenSans" w:eastAsia="OpenSans"/>
          <w:b/>
          <w:i w:val="0"/>
          <w:color w:val="404040"/>
          <w:sz w:val="22"/>
        </w:rPr>
        <w:t xml:space="preserve">I.T. ANALYST </w:t>
      </w:r>
      <w:r>
        <w:rPr>
          <w:shd w:val="clear" w:color="auto" w:fill="979797"/>
          <w:rFonts w:ascii="OpenSans" w:hAnsi="OpenSans" w:eastAsia="OpenSans"/>
          <w:b w:val="0"/>
          <w:i w:val="0"/>
          <w:color w:val="404040"/>
          <w:sz w:val="22"/>
        </w:rPr>
        <w:t xml:space="preserve">– </w:t>
      </w:r>
      <w:r>
        <w:rPr>
          <w:shd w:val="clear" w:color="auto" w:fill="979797"/>
          <w:rFonts w:ascii="OpenSans" w:hAnsi="OpenSans" w:eastAsia="OpenSans"/>
          <w:b w:val="0"/>
          <w:i w:val="0"/>
          <w:color w:val="575757"/>
          <w:sz w:val="22"/>
        </w:rPr>
        <w:t>01/01/2024 – CURRENT</w:t>
      </w:r>
      <w:r>
        <w:rPr>
          <w:rFonts w:ascii="OpenSans" w:hAnsi="OpenSans" w:eastAsia="OpenSans"/>
          <w:b w:val="0"/>
          <w:i w:val="0"/>
          <w:color w:val="575757"/>
          <w:sz w:val="22"/>
        </w:rPr>
        <w:t xml:space="preserve"> 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192" w:after="0"/>
        <w:ind w:left="460" w:right="432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Led the development of a GenAI-based medical assistant using Azure OpenAI, improving monitoring process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efficiency in clinical trials.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30" w:after="0"/>
        <w:ind w:left="460" w:right="720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Directed a team of 4 in building modular LLM applications with retrieval-augmented generation (RAG) for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literature management systems.</w:t>
      </w:r>
    </w:p>
    <w:p>
      <w:pPr>
        <w:autoSpaceDN w:val="0"/>
        <w:autoSpaceDE w:val="0"/>
        <w:widowControl/>
        <w:spacing w:line="272" w:lineRule="exact" w:before="0" w:after="0"/>
        <w:ind w:left="460" w:right="0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>• Acted as primary point of contact for stakeholders during pilot solution rollout, ensuring smooth adoption.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32" w:after="0"/>
        <w:ind w:left="460" w:right="288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>• Conducted cross-team brainstorming and stakeholder interviews to define new HealthTech use-cases.</w:t>
      </w: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Designed and implemented an API-driven platform for real-time medical monitoring and actionable insights in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clinical trial decision making.</w:t>
      </w:r>
    </w:p>
    <w:p>
      <w:pPr>
        <w:autoSpaceDN w:val="0"/>
        <w:tabs>
          <w:tab w:pos="600" w:val="left"/>
        </w:tabs>
        <w:autoSpaceDE w:val="0"/>
        <w:widowControl/>
        <w:spacing w:line="238" w:lineRule="exact" w:before="34" w:after="0"/>
        <w:ind w:left="460" w:right="288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Facilitated stakeholder engagement as primary contact for pilot rollouts; coordinated feedback and successful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solution adoption across departments.</w:t>
      </w:r>
    </w:p>
    <w:p>
      <w:pPr>
        <w:autoSpaceDN w:val="0"/>
        <w:autoSpaceDE w:val="0"/>
        <w:widowControl/>
        <w:spacing w:line="270" w:lineRule="exact" w:before="196" w:after="0"/>
        <w:ind w:left="0" w:right="0" w:firstLine="0"/>
        <w:jc w:val="left"/>
      </w:pPr>
      <w:r>
        <w:rPr>
          <w:rFonts w:ascii="FontAwesome5Free" w:hAnsi="FontAwesome5Free" w:eastAsia="FontAwesome5Free"/>
          <w:b w:val="0"/>
          <w:i w:val="0"/>
          <w:color w:val="404040"/>
          <w:sz w:val="20"/>
        </w:rPr>
        <w:t></w:t>
      </w:r>
      <w:r>
        <w:rPr>
          <w:rFonts w:ascii="OpenSans" w:hAnsi="OpenSans" w:eastAsia="OpenSans"/>
          <w:b/>
          <w:i w:val="0"/>
          <w:color w:val="404040"/>
          <w:sz w:val="20"/>
        </w:rPr>
        <w:t xml:space="preserve">TATA CONSULTANCY SERVICES </w:t>
      </w:r>
      <w:r>
        <w:rPr>
          <w:rFonts w:ascii="OpenSans" w:hAnsi="OpenSans" w:eastAsia="OpenSans"/>
          <w:b w:val="0"/>
          <w:i w:val="0"/>
          <w:color w:val="404040"/>
          <w:sz w:val="20"/>
        </w:rPr>
        <w:t>– PUNE, INDIA</w:t>
      </w:r>
    </w:p>
    <w:p>
      <w:pPr>
        <w:autoSpaceDN w:val="0"/>
        <w:autoSpaceDE w:val="0"/>
        <w:widowControl/>
        <w:spacing w:line="300" w:lineRule="exact" w:before="50" w:after="0"/>
        <w:ind w:left="0" w:right="0" w:firstLine="0"/>
        <w:jc w:val="left"/>
      </w:pPr>
      <w:r>
        <w:rPr>
          <w:shd w:val="clear" w:color="auto" w:fill="979797"/>
          <w:rFonts w:ascii="OpenSans" w:hAnsi="OpenSans" w:eastAsia="OpenSans"/>
          <w:b/>
          <w:i w:val="0"/>
          <w:color w:val="404040"/>
          <w:sz w:val="22"/>
        </w:rPr>
        <w:t xml:space="preserve">SYSTEM ENGINEER </w:t>
      </w:r>
      <w:r>
        <w:rPr>
          <w:shd w:val="clear" w:color="auto" w:fill="979797"/>
          <w:rFonts w:ascii="OpenSans" w:hAnsi="OpenSans" w:eastAsia="OpenSans"/>
          <w:b w:val="0"/>
          <w:i w:val="0"/>
          <w:color w:val="404040"/>
          <w:sz w:val="22"/>
        </w:rPr>
        <w:t xml:space="preserve">– </w:t>
      </w:r>
      <w:r>
        <w:rPr>
          <w:shd w:val="clear" w:color="auto" w:fill="979797"/>
          <w:rFonts w:ascii="OpenSans" w:hAnsi="OpenSans" w:eastAsia="OpenSans"/>
          <w:b w:val="0"/>
          <w:i w:val="0"/>
          <w:color w:val="575757"/>
          <w:sz w:val="22"/>
        </w:rPr>
        <w:t>01/07/2021 – 31/12/2023</w:t>
      </w:r>
      <w:r>
        <w:rPr>
          <w:rFonts w:ascii="OpenSans" w:hAnsi="OpenSans" w:eastAsia="OpenSans"/>
          <w:b w:val="0"/>
          <w:i w:val="0"/>
          <w:color w:val="575757"/>
          <w:sz w:val="22"/>
        </w:rPr>
        <w:t xml:space="preserve"> 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192" w:after="0"/>
        <w:ind w:left="460" w:right="432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Developed a regulatory intelligence chatbot using RASA and custom NLP models, reducing regulatory query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response time for professionals.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30" w:after="0"/>
        <w:ind w:left="460" w:right="288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Collaborated with subject matter experts and business leads to design AI-driven healthcare pilots for pharma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clients.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32" w:after="0"/>
        <w:ind w:left="460" w:right="288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>• Served as Innovation Lead during an Incubation Bootcamp, resulting in an award-winning product idea for AI-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driven healthcare pilots.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30" w:after="0"/>
        <w:ind w:left="460" w:right="0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Mentored three junior interns in Python, NLP, and AI/ML fundamentals, supporting their proof-of-concept (POC)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projects.</w:t>
      </w:r>
    </w:p>
    <w:p>
      <w:pPr>
        <w:autoSpaceDN w:val="0"/>
        <w:tabs>
          <w:tab w:pos="600" w:val="left"/>
        </w:tabs>
        <w:autoSpaceDE w:val="0"/>
        <w:widowControl/>
        <w:spacing w:line="238" w:lineRule="exact" w:before="34" w:after="0"/>
        <w:ind w:left="460" w:right="576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• Initiated and led a knowledge-sharing forum within the Regulatory Intelligence team for accelerating GenAI </w:t>
      </w:r>
      <w:r>
        <w:tab/>
      </w:r>
      <w:r>
        <w:rPr>
          <w:rFonts w:ascii="OpenSans" w:hAnsi="OpenSans" w:eastAsia="OpenSans"/>
          <w:b w:val="0"/>
          <w:i w:val="0"/>
          <w:color w:val="000000"/>
          <w:sz w:val="20"/>
        </w:rPr>
        <w:t>adoption across organizational verticals.</w:t>
      </w:r>
    </w:p>
    <w:p>
      <w:pPr>
        <w:autoSpaceDN w:val="0"/>
        <w:autoSpaceDE w:val="0"/>
        <w:widowControl/>
        <w:spacing w:line="270" w:lineRule="exact" w:before="196" w:after="0"/>
        <w:ind w:left="0" w:right="0" w:firstLine="0"/>
        <w:jc w:val="left"/>
      </w:pPr>
      <w:r>
        <w:rPr>
          <w:rFonts w:ascii="FontAwesome5Free" w:hAnsi="FontAwesome5Free" w:eastAsia="FontAwesome5Free"/>
          <w:b w:val="0"/>
          <w:i w:val="0"/>
          <w:color w:val="404040"/>
          <w:sz w:val="20"/>
        </w:rPr>
        <w:t></w:t>
      </w:r>
      <w:r>
        <w:rPr>
          <w:rFonts w:ascii="OpenSans" w:hAnsi="OpenSans" w:eastAsia="OpenSans"/>
          <w:b/>
          <w:i w:val="0"/>
          <w:color w:val="404040"/>
          <w:sz w:val="20"/>
        </w:rPr>
        <w:t xml:space="preserve">TATA CONSULTANCY SERVICES </w:t>
      </w:r>
      <w:r>
        <w:rPr>
          <w:rFonts w:ascii="OpenSans" w:hAnsi="OpenSans" w:eastAsia="OpenSans"/>
          <w:b w:val="0"/>
          <w:i w:val="0"/>
          <w:color w:val="404040"/>
          <w:sz w:val="20"/>
        </w:rPr>
        <w:t>– PUNE, INDIA</w:t>
      </w:r>
    </w:p>
    <w:p>
      <w:pPr>
        <w:autoSpaceDN w:val="0"/>
        <w:autoSpaceDE w:val="0"/>
        <w:widowControl/>
        <w:spacing w:line="300" w:lineRule="exact" w:before="50" w:after="0"/>
        <w:ind w:left="0" w:right="0" w:firstLine="0"/>
        <w:jc w:val="left"/>
      </w:pPr>
      <w:r>
        <w:rPr>
          <w:shd w:val="clear" w:color="auto" w:fill="979797"/>
          <w:rFonts w:ascii="OpenSans" w:hAnsi="OpenSans" w:eastAsia="OpenSans"/>
          <w:b/>
          <w:i w:val="0"/>
          <w:color w:val="404040"/>
          <w:sz w:val="22"/>
        </w:rPr>
        <w:t xml:space="preserve">ASSISTANT SYSTEM ENGINEER </w:t>
      </w:r>
      <w:r>
        <w:rPr>
          <w:shd w:val="clear" w:color="auto" w:fill="979797"/>
          <w:rFonts w:ascii="OpenSans" w:hAnsi="OpenSans" w:eastAsia="OpenSans"/>
          <w:b w:val="0"/>
          <w:i w:val="0"/>
          <w:color w:val="404040"/>
          <w:sz w:val="22"/>
        </w:rPr>
        <w:t xml:space="preserve">– </w:t>
      </w:r>
      <w:r>
        <w:rPr>
          <w:shd w:val="clear" w:color="auto" w:fill="979797"/>
          <w:rFonts w:ascii="OpenSans" w:hAnsi="OpenSans" w:eastAsia="OpenSans"/>
          <w:b w:val="0"/>
          <w:i w:val="0"/>
          <w:color w:val="575757"/>
          <w:sz w:val="22"/>
        </w:rPr>
        <w:t>14/09/2020 – 30/06/2021</w:t>
      </w:r>
      <w:r>
        <w:rPr>
          <w:rFonts w:ascii="OpenSans" w:hAnsi="OpenSans" w:eastAsia="OpenSans"/>
          <w:b w:val="0"/>
          <w:i w:val="0"/>
          <w:color w:val="575757"/>
          <w:sz w:val="22"/>
        </w:rPr>
        <w:t xml:space="preserve"> </w:t>
      </w:r>
    </w:p>
    <w:p>
      <w:pPr>
        <w:autoSpaceDN w:val="0"/>
        <w:autoSpaceDE w:val="0"/>
        <w:widowControl/>
        <w:spacing w:line="272" w:lineRule="exact" w:before="160" w:after="0"/>
        <w:ind w:left="460" w:right="0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>• Contributed to data analysis and dashboard creation for EHR analytics platforms using Python.</w:t>
      </w:r>
    </w:p>
    <w:p>
      <w:pPr>
        <w:autoSpaceDN w:val="0"/>
        <w:autoSpaceDE w:val="0"/>
        <w:widowControl/>
        <w:spacing w:line="238" w:lineRule="exact" w:before="34" w:after="0"/>
        <w:ind w:left="460" w:right="864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>• Supported initial experiments with NLP applied to medical writing and document summarization.</w:t>
      </w:r>
      <w:r>
        <w:rPr>
          <w:rFonts w:ascii="OpenSans" w:hAnsi="OpenSans" w:eastAsia="OpenSans"/>
          <w:b w:val="0"/>
          <w:i w:val="0"/>
          <w:color w:val="000000"/>
          <w:sz w:val="20"/>
        </w:rPr>
        <w:t>• Acted as primary contact for POC development to streamline transition from EHR data to EDC systems.</w:t>
      </w:r>
    </w:p>
    <w:p>
      <w:pPr>
        <w:autoSpaceDN w:val="0"/>
        <w:autoSpaceDE w:val="0"/>
        <w:widowControl/>
        <w:spacing w:line="270" w:lineRule="exact" w:before="196" w:after="0"/>
        <w:ind w:left="0" w:right="0" w:firstLine="0"/>
        <w:jc w:val="left"/>
      </w:pPr>
      <w:r>
        <w:rPr>
          <w:rFonts w:ascii="FontAwesome5Free" w:hAnsi="FontAwesome5Free" w:eastAsia="FontAwesome5Free"/>
          <w:b w:val="0"/>
          <w:i w:val="0"/>
          <w:color w:val="404040"/>
          <w:sz w:val="20"/>
        </w:rPr>
        <w:t></w:t>
      </w:r>
      <w:r>
        <w:rPr>
          <w:rFonts w:ascii="OpenSans" w:hAnsi="OpenSans" w:eastAsia="OpenSans"/>
          <w:b/>
          <w:i w:val="0"/>
          <w:color w:val="404040"/>
          <w:sz w:val="20"/>
        </w:rPr>
        <w:t xml:space="preserve">WAKIDOK INNOVATIVE SOLUTIONS </w:t>
      </w:r>
      <w:r>
        <w:rPr>
          <w:rFonts w:ascii="OpenSans" w:hAnsi="OpenSans" w:eastAsia="OpenSans"/>
          <w:b w:val="0"/>
          <w:i w:val="0"/>
          <w:color w:val="404040"/>
          <w:sz w:val="20"/>
        </w:rPr>
        <w:t>– PUNE, INDIA</w:t>
      </w:r>
    </w:p>
    <w:p>
      <w:pPr>
        <w:sectPr>
          <w:pgSz w:w="11900" w:h="16820"/>
          <w:pgMar w:top="456" w:right="258" w:bottom="134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266" w:after="0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404040"/>
          <w:sz w:val="22"/>
        </w:rPr>
        <w:t xml:space="preserve">BUSINESS DEVELOPMENT EXECUTIVE </w:t>
      </w:r>
      <w:r>
        <w:rPr>
          <w:rFonts w:ascii="OpenSans" w:hAnsi="OpenSans" w:eastAsia="OpenSans"/>
          <w:b w:val="0"/>
          <w:i w:val="0"/>
          <w:color w:val="404040"/>
          <w:sz w:val="22"/>
        </w:rPr>
        <w:t xml:space="preserve">– </w:t>
      </w:r>
      <w:r>
        <w:rPr>
          <w:rFonts w:ascii="OpenSans" w:hAnsi="OpenSans" w:eastAsia="OpenSans"/>
          <w:b w:val="0"/>
          <w:i w:val="0"/>
          <w:color w:val="575757"/>
          <w:sz w:val="22"/>
        </w:rPr>
        <w:t xml:space="preserve">01/11/2018 – 31/03/2019 </w:t>
      </w:r>
    </w:p>
    <w:p>
      <w:pPr>
        <w:autoSpaceDN w:val="0"/>
        <w:autoSpaceDE w:val="0"/>
        <w:widowControl/>
        <w:spacing w:line="238" w:lineRule="exact" w:before="196" w:after="0"/>
        <w:ind w:left="1026" w:right="432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>• Actively Conducting Market Research</w:t>
      </w:r>
      <w:r>
        <w:br/>
      </w:r>
      <w:r>
        <w:rPr>
          <w:rFonts w:ascii="OpenSans" w:hAnsi="OpenSans" w:eastAsia="OpenSans"/>
          <w:b w:val="0"/>
          <w:i w:val="0"/>
          <w:color w:val="000000"/>
          <w:sz w:val="20"/>
        </w:rPr>
        <w:t>• Creating and implementing actionable business strategies to expand the customer base and increase revenue</w:t>
      </w:r>
    </w:p>
    <w:p>
      <w:pPr>
        <w:autoSpaceDN w:val="0"/>
        <w:autoSpaceDE w:val="0"/>
        <w:widowControl/>
        <w:spacing w:line="298" w:lineRule="exact" w:before="172" w:after="198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 xml:space="preserve">PROJECTS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30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7488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2025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Literature Intelligence Platform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1004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458" w:right="2448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• Automated analysis of 1000+ medical publications for pharmacovigilance applications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• Achieved 60% precision in safety report detection, saving in manual review costs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• Demonstrated clear business value proposition for pharmaceutical safety operations</w:t>
            </w:r>
          </w:p>
        </w:tc>
      </w:tr>
    </w:tbl>
    <w:p>
      <w:pPr>
        <w:autoSpaceDN w:val="0"/>
        <w:autoSpaceDE w:val="0"/>
        <w:widowControl/>
        <w:spacing w:line="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30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7056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2024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GenAI Medical Monitoring Assistant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1002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2" w:after="0"/>
              <w:ind w:left="458" w:right="1152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• Production system supporting clinical trials with measurable efficiency gains in safety monitoring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• Reduced safety signal detection time by 35%, directly impacting trial timelines and operational costs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• API-based architecture enabling scalability across multiple functions</w:t>
            </w:r>
          </w:p>
        </w:tc>
      </w:tr>
    </w:tbl>
    <w:p>
      <w:pPr>
        <w:autoSpaceDN w:val="0"/>
        <w:autoSpaceDE w:val="0"/>
        <w:widowControl/>
        <w:spacing w:line="298" w:lineRule="exact" w:before="64" w:after="198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 xml:space="preserve">CONFERENCES AND SEMINARS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28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0" w:right="7056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31/05/2025 – 04/06/2025 San Diego, California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PharmaSUG 2025 U.S.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766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2" w:after="0"/>
              <w:ind w:left="0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"Leveraging Generative AI for signal detection, safety reviews, and evidence gathering in Medical Literature" - explored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business and operational implications of AI in pharmacovigilance workflows</w:t>
            </w:r>
          </w:p>
        </w:tc>
      </w:tr>
    </w:tbl>
    <w:p>
      <w:pPr>
        <w:autoSpaceDN w:val="0"/>
        <w:autoSpaceDE w:val="0"/>
        <w:widowControl/>
        <w:spacing w:line="244" w:lineRule="exact" w:before="74" w:after="198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18"/>
        </w:rPr>
        <w:t>Link</w:t>
      </w:r>
      <w:r>
        <w:rPr>
          <w:u w:val="single" w:color="004493"/>
          <w:rFonts w:ascii="OpenSans" w:hAnsi="OpenSans" w:eastAsia="OpenSans"/>
          <w:b w:val="0"/>
          <w:i w:val="0"/>
          <w:color w:val="004494"/>
          <w:sz w:val="18"/>
        </w:rPr>
        <w:hyperlink r:id="rId13" w:history="1">
          <w:r>
            <w:rPr>
              <w:rStyle w:val="Hyperlink"/>
            </w:rPr>
            <w:t>https://pharmasug.org/proceedings/2025/AI/PharmaSUG-2025-AI-331.pdf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28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7632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19/05/2024 – 22/05/2024 Baltimore, MD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PharmaSUG 2024 U.S.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764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2" w:after="0"/>
              <w:ind w:left="0" w:right="432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"LLM-Powered Regulatory Intelligence Platforms" - discussed technology convergence and its impact on regulatory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business processes.</w:t>
            </w:r>
          </w:p>
        </w:tc>
      </w:tr>
    </w:tbl>
    <w:p>
      <w:pPr>
        <w:autoSpaceDN w:val="0"/>
        <w:autoSpaceDE w:val="0"/>
        <w:widowControl/>
        <w:spacing w:line="244" w:lineRule="exact" w:before="72" w:after="0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18"/>
        </w:rPr>
        <w:t>Link</w:t>
      </w:r>
      <w:r>
        <w:rPr>
          <w:u w:val="single" w:color="004493"/>
          <w:rFonts w:ascii="OpenSans" w:hAnsi="OpenSans" w:eastAsia="OpenSans"/>
          <w:b w:val="0"/>
          <w:i w:val="0"/>
          <w:color w:val="004494"/>
          <w:sz w:val="18"/>
        </w:rPr>
        <w:hyperlink r:id="rId14" w:history="1">
          <w:r>
            <w:rPr>
              <w:rStyle w:val="Hyperlink"/>
            </w:rPr>
            <w:t>https://pharmasug.org/proceedings/2024/SD/PharmaSUG-2024-SD-397.pdf</w:t>
          </w:r>
        </w:hyperlink>
      </w:r>
    </w:p>
    <w:p>
      <w:pPr>
        <w:autoSpaceDN w:val="0"/>
        <w:autoSpaceDE w:val="0"/>
        <w:widowControl/>
        <w:spacing w:line="300" w:lineRule="exact" w:before="212" w:after="178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 xml:space="preserve">PUBLICATIONS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24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432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2022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004494"/>
                <w:sz w:val="22"/>
              </w:rPr>
              <w:t>The Future of Regulatory Intelligence With Conversational 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764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2" w:after="0"/>
              <w:ind w:left="0" w:right="288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The articles discussed how the regulatory chatbot efficiently bridges the gap between users and vast regulatory data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worldwide, offering user-friendly and easy-to-understand responses, increasing usability in the life sciences domain.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24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360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2022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004494"/>
                <w:sz w:val="22"/>
              </w:rPr>
              <w:t>AI/ML Approaches to Assisted Medical Writing—Part 1 - Jun 21,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526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0" w:after="0"/>
              <w:ind w:left="0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Explored the approach of Abstractive and extractive summarization for medical writing.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24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504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2022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004494"/>
                <w:sz w:val="22"/>
              </w:rPr>
              <w:t xml:space="preserve">AI/ML Approaches to Assisted Medical Writing—Part 2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526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2" w:after="0"/>
              <w:ind w:left="0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Discusses the method of pure abstraction in light of recent advances in deep learning and AI.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24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1584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2021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004494"/>
                <w:sz w:val="22"/>
              </w:rPr>
              <w:t>Future of Clinical Trial Documentation Management: eTMF Integrated with Blockchain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1620"/>
        </w:trPr>
        <w:tc>
          <w:tcPr>
            <w:tcW w:type="dxa" w:w="11054"/>
            <w:tcBorders>
              <w:top w:sz="12.0" w:val="single" w:color="#555555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0" w:after="0"/>
              <w:ind w:left="0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The article discusses how use of blockchain will help in the digitization of eTMF.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244" w:after="198"/>
        <w:ind w:left="566" w:right="0" w:firstLine="0"/>
        <w:jc w:val="left"/>
      </w:pPr>
      <w:r>
        <w:rPr>
          <w:shd w:val="clear" w:color="auto" w:fill="000000"/>
          <w:rFonts w:ascii="OpenSans" w:hAnsi="OpenSans" w:eastAsia="OpenSans"/>
          <w:b/>
          <w:i w:val="0"/>
          <w:color w:val="000000"/>
          <w:sz w:val="22"/>
        </w:rPr>
        <w:t>EDUCATION AND 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30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576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01/07/2014 – 29/05/2018 Sangli, India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BACHELOR OF TECHNOLOGY </w:t>
            </w:r>
            <w:r>
              <w:rPr>
                <w:rFonts w:ascii="OpenSans" w:hAnsi="OpenSans" w:eastAsia="OpenSans"/>
                <w:b w:val="0"/>
                <w:i w:val="0"/>
                <w:color w:val="404040"/>
                <w:sz w:val="22"/>
              </w:rPr>
              <w:t xml:space="preserve">Rajarambapu Institute of Technology, Rajaramnagar (Shivaji University)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814"/>
        </w:trPr>
        <w:tc>
          <w:tcPr>
            <w:tcW w:type="dxa" w:w="11054"/>
            <w:tcBorders>
              <w:top w:sz="12.0" w:val="single" w:color="#555555"/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0" w:right="5328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01/06/2012 – 15/05/2014 Satara , India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H.S.C </w:t>
            </w:r>
            <w:r>
              <w:rPr>
                <w:rFonts w:ascii="OpenSans" w:hAnsi="OpenSans" w:eastAsia="OpenSans"/>
                <w:b w:val="0"/>
                <w:i w:val="0"/>
                <w:color w:val="404040"/>
                <w:sz w:val="22"/>
              </w:rPr>
              <w:t xml:space="preserve">Yashawantrao Chavan Institute of Science, Satara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818"/>
        </w:trPr>
        <w:tc>
          <w:tcPr>
            <w:tcW w:type="dxa" w:w="11054"/>
            <w:tcBorders>
              <w:top w:sz="12.0" w:val="single" w:color="#555555"/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0" w:right="6624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01/06/2011 – 15/05/2012 Satara , India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S.S.C </w:t>
            </w:r>
            <w:r>
              <w:rPr>
                <w:rFonts w:ascii="OpenSans" w:hAnsi="OpenSans" w:eastAsia="OpenSans"/>
                <w:b w:val="0"/>
                <w:i w:val="0"/>
                <w:color w:val="404040"/>
                <w:sz w:val="22"/>
              </w:rPr>
              <w:t xml:space="preserve">Maharaja Sayajirao Vidyalaya, Satara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618"/>
        </w:trPr>
        <w:tc>
          <w:tcPr>
            <w:tcW w:type="dxa" w:w="832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8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2"/>
              </w:rPr>
              <w:t xml:space="preserve">SKILLS </w:t>
            </w:r>
          </w:p>
        </w:tc>
        <w:tc>
          <w:tcPr>
            <w:tcW w:type="dxa" w:w="78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Azure</w:t>
            </w:r>
          </w:p>
        </w:tc>
        <w:tc>
          <w:tcPr>
            <w:tcW w:type="dxa" w:w="70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AWS</w:t>
            </w:r>
          </w:p>
        </w:tc>
        <w:tc>
          <w:tcPr>
            <w:tcW w:type="dxa" w:w="150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Data Science</w:t>
            </w:r>
          </w:p>
        </w:tc>
        <w:tc>
          <w:tcPr>
            <w:tcW w:type="dxa" w:w="78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RASA</w:t>
            </w:r>
          </w:p>
        </w:tc>
        <w:tc>
          <w:tcPr>
            <w:tcW w:type="dxa" w:w="242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Machine Learning, NLP</w:t>
            </w:r>
          </w:p>
        </w:tc>
        <w:tc>
          <w:tcPr>
            <w:tcW w:type="dxa" w:w="100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OpenAI</w:t>
            </w:r>
          </w:p>
        </w:tc>
        <w:tc>
          <w:tcPr>
            <w:tcW w:type="dxa" w:w="1100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REST API</w:t>
            </w:r>
          </w:p>
        </w:tc>
        <w:tc>
          <w:tcPr>
            <w:tcW w:type="dxa" w:w="1942"/>
            <w:vMerge w:val="restart"/>
            <w:tcBorders>
              <w:top w:sz="12.0" w:val="single" w:color="#5555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2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 AWS (BEDROCK) </w:t>
            </w:r>
          </w:p>
        </w:tc>
      </w:tr>
      <w:tr>
        <w:trPr>
          <w:trHeight w:hRule="exact" w:val="450"/>
        </w:trPr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  <w:tc>
          <w:tcPr>
            <w:tcW w:type="dxa" w:w="1002"/>
            <w:vMerge/>
            <w:tcBorders>
              <w:top w:sz="12.0" w:val="single" w:color="#555555"/>
            </w:tcBorders>
          </w:tcPr>
          <w:p/>
        </w:tc>
      </w:tr>
    </w:tbl>
    <w:p>
      <w:pPr>
        <w:autoSpaceDN w:val="0"/>
        <w:autoSpaceDE w:val="0"/>
        <w:widowControl/>
        <w:spacing w:line="298" w:lineRule="exact" w:before="64" w:after="0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 xml:space="preserve">LANGUAGE SKILLS </w:t>
      </w:r>
    </w:p>
    <w:p>
      <w:pPr>
        <w:autoSpaceDN w:val="0"/>
        <w:autoSpaceDE w:val="0"/>
        <w:widowControl/>
        <w:spacing w:line="272" w:lineRule="exact" w:before="296" w:after="52"/>
        <w:ind w:left="566" w:right="0" w:firstLine="0"/>
        <w:jc w:val="left"/>
      </w:pPr>
      <w:r>
        <w:rPr>
          <w:rFonts w:ascii="OpenSans" w:hAnsi="OpenSans" w:eastAsia="OpenSans"/>
          <w:b w:val="0"/>
          <w:i w:val="0"/>
          <w:color w:val="000000"/>
          <w:sz w:val="20"/>
        </w:rPr>
        <w:t xml:space="preserve">Mother tongue(s):  </w:t>
      </w:r>
      <w:r>
        <w:rPr>
          <w:rFonts w:ascii="OpenSans" w:hAnsi="OpenSans" w:eastAsia="OpenSans"/>
          <w:b/>
          <w:i w:val="0"/>
          <w:color w:val="000000"/>
          <w:sz w:val="20"/>
        </w:rPr>
        <w:t xml:space="preserve">MARATHI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926"/>
        </w:trPr>
        <w:tc>
          <w:tcPr>
            <w:tcW w:type="dxa" w:w="2032"/>
            <w:tcBorders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18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Other language(s):</w:t>
            </w:r>
          </w:p>
        </w:tc>
        <w:tc>
          <w:tcPr>
            <w:tcW w:type="dxa" w:w="3220"/>
            <w:gridSpan w:val="2"/>
            <w:tcBorders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86" w:after="0"/>
              <w:ind w:left="778" w:right="0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>UNDERSTANDING</w:t>
            </w:r>
          </w:p>
        </w:tc>
        <w:tc>
          <w:tcPr>
            <w:tcW w:type="dxa" w:w="4160"/>
            <w:gridSpan w:val="2"/>
            <w:tcBorders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86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>SPEAKING</w:t>
            </w:r>
          </w:p>
        </w:tc>
        <w:tc>
          <w:tcPr>
            <w:tcW w:type="dxa" w:w="1642"/>
            <w:tcBorders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86" w:after="0"/>
              <w:ind w:left="280" w:right="0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>WRITING</w:t>
            </w:r>
          </w:p>
        </w:tc>
      </w:tr>
      <w:tr>
        <w:trPr>
          <w:trHeight w:hRule="exact" w:val="398"/>
        </w:trPr>
        <w:tc>
          <w:tcPr>
            <w:tcW w:type="dxa" w:w="2032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" w:after="0"/>
              <w:ind w:left="312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Listening</w:t>
            </w:r>
          </w:p>
        </w:tc>
        <w:tc>
          <w:tcPr>
            <w:tcW w:type="dxa" w:w="1560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" w:after="0"/>
              <w:ind w:left="0" w:right="274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Reading</w:t>
            </w:r>
          </w:p>
        </w:tc>
        <w:tc>
          <w:tcPr>
            <w:tcW w:type="dxa" w:w="4160"/>
            <w:gridSpan w:val="2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Spoken production Spoken interaction</w:t>
            </w:r>
          </w:p>
        </w:tc>
        <w:tc>
          <w:tcPr>
            <w:tcW w:type="dxa" w:w="1642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2032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12" w:right="0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20"/>
              </w:rPr>
              <w:t xml:space="preserve">ENGLISH </w:t>
            </w:r>
          </w:p>
        </w:tc>
        <w:tc>
          <w:tcPr>
            <w:tcW w:type="dxa" w:w="1660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810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1560"/>
            <w:tcBorders>
              <w:top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528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C2</w:t>
            </w:r>
          </w:p>
        </w:tc>
        <w:tc>
          <w:tcPr>
            <w:tcW w:type="dxa" w:w="2100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786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2060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002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1642"/>
            <w:tcBorders>
              <w:top w:sz="8.0" w:val="single" w:color="#E1E1E1"/>
              <w:bottom w:sz="8.0" w:val="single" w:color="#E1E1E1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800" w:firstLine="0"/>
              <w:jc w:val="righ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B2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20"/>
      </w:tblGrid>
      <w:tr>
        <w:trPr>
          <w:trHeight w:hRule="exact" w:val="364"/>
        </w:trPr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86" w:right="0" w:firstLine="0"/>
              <w:jc w:val="left"/>
            </w:pPr>
            <w:r>
              <w:rPr>
                <w:rFonts w:ascii="OpenSans" w:hAnsi="OpenSans" w:eastAsia="OpenSans"/>
                <w:b w:val="0"/>
                <w:i/>
                <w:color w:val="555555"/>
                <w:sz w:val="18"/>
              </w:rPr>
              <w:t>Levels: A1 and A2: Basic user; B1 and B2: Independent user; C1 and C2: Proficient user</w:t>
            </w:r>
          </w:p>
        </w:tc>
      </w:tr>
    </w:tbl>
    <w:p>
      <w:pPr>
        <w:autoSpaceDN w:val="0"/>
        <w:autoSpaceDE w:val="0"/>
        <w:widowControl/>
        <w:spacing w:line="298" w:lineRule="exact" w:before="82" w:after="198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22"/>
        </w:rPr>
        <w:t xml:space="preserve">PATENT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892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2023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Patent Grant: Automated continuous validation for regulatory compliance of a computer system (cs) </w:t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comprising a dynamic component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1244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2" w:after="0"/>
              <w:ind w:left="0" w:right="288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The innovative approach to address the challenge of validating Computer Systems (CS) with dynamic components. It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introduces an automated continuous validation method for regulatory compliance, incorporating User Acceptance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Testing (UAT) with varying test cases and synthetic data. The process includes base validation testing with clean and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dirty data, followed by learning saturation testing for dynamic component rollout in the production environment.</w:t>
            </w:r>
          </w:p>
        </w:tc>
      </w:tr>
    </w:tbl>
    <w:p>
      <w:pPr>
        <w:autoSpaceDN w:val="0"/>
        <w:autoSpaceDE w:val="0"/>
        <w:widowControl/>
        <w:spacing w:line="244" w:lineRule="exact" w:before="70" w:after="198"/>
        <w:ind w:left="566" w:right="0" w:firstLine="0"/>
        <w:jc w:val="left"/>
      </w:pPr>
      <w:r>
        <w:rPr>
          <w:rFonts w:ascii="OpenSans" w:hAnsi="OpenSans" w:eastAsia="OpenSans"/>
          <w:b/>
          <w:i w:val="0"/>
          <w:color w:val="000000"/>
          <w:sz w:val="18"/>
        </w:rPr>
        <w:t>Link</w:t>
      </w:r>
      <w:r>
        <w:rPr>
          <w:u w:val="single" w:color="004493"/>
          <w:rFonts w:ascii="OpenSans" w:hAnsi="OpenSans" w:eastAsia="OpenSans"/>
          <w:b w:val="0"/>
          <w:i w:val="0"/>
          <w:color w:val="004494"/>
          <w:sz w:val="18"/>
        </w:rPr>
        <w:hyperlink r:id="rId15" w:history="1">
          <w:r>
            <w:rPr>
              <w:rStyle w:val="Hyperlink"/>
            </w:rPr>
            <w:t>https://patents.google.com/patent/EP4141753A1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630"/>
        </w:trPr>
        <w:tc>
          <w:tcPr>
            <w:tcW w:type="dxa" w:w="11054"/>
            <w:tcBorders>
              <w:bottom w:sz="12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0" w:right="432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575757"/>
                <w:sz w:val="18"/>
              </w:rPr>
              <w:t xml:space="preserve">2024 </w:t>
            </w:r>
            <w:r>
              <w:br/>
            </w:r>
            <w:r>
              <w:rPr>
                <w:rFonts w:ascii="OpenSans" w:hAnsi="OpenSans" w:eastAsia="OpenSans"/>
                <w:b/>
                <w:i w:val="0"/>
                <w:color w:val="404040"/>
                <w:sz w:val="22"/>
              </w:rPr>
              <w:t xml:space="preserve">Automated Clinical Event and Endpoint Adjudication System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9020"/>
      </w:tblGrid>
      <w:tr>
        <w:trPr>
          <w:trHeight w:hRule="exact" w:val="764"/>
        </w:trPr>
        <w:tc>
          <w:tcPr>
            <w:tcW w:type="dxa" w:w="11054"/>
            <w:tcBorders>
              <w:top w:sz="12.0" w:val="single" w:color="#5555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288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 xml:space="preserve">Contributed to the development of a novel system and method for automating clinical event adjudication in clinical </w:t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20"/>
              </w:rPr>
              <w:t>trials.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4870"/>
        </w:trPr>
        <w:tc>
          <w:tcPr>
            <w:tcW w:type="dxa" w:w="11900"/>
            <w:tcBorders/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566" w:right="0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18"/>
              </w:rPr>
              <w:t>Link</w:t>
            </w:r>
            <w:r>
              <w:rPr>
                <w:u w:val="single" w:color="004493"/>
                <w:rFonts w:ascii="OpenSans" w:hAnsi="OpenSans" w:eastAsia="OpenSans"/>
                <w:b w:val="0"/>
                <w:i w:val="0"/>
                <w:color w:val="004494"/>
                <w:sz w:val="18"/>
              </w:rPr>
              <w:hyperlink r:id="rId16" w:history="1">
                <w:r>
                  <w:rPr>
                    <w:rStyle w:val="Hyperlink"/>
                  </w:rPr>
                  <w:t>https://patents.google.com/patent/US20250232850A1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hitkadam1410@gmail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pharmasug.org/proceedings/2025/AI/PharmaSUG-2025-AI-331.pdf" TargetMode="External"/><Relationship Id="rId14" Type="http://schemas.openxmlformats.org/officeDocument/2006/relationships/hyperlink" Target="https://pharmasug.org/proceedings/2024/SD/PharmaSUG-2024-SD-397.pdf" TargetMode="External"/><Relationship Id="rId15" Type="http://schemas.openxmlformats.org/officeDocument/2006/relationships/hyperlink" Target="https://patents.google.com/patent/EP4141753A1" TargetMode="External"/><Relationship Id="rId16" Type="http://schemas.openxmlformats.org/officeDocument/2006/relationships/hyperlink" Target="https://patents.google.com/patent/US20250232850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