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5002530</wp:posOffset>
            </wp:positionH>
            <wp:positionV relativeFrom="page">
              <wp:posOffset>-400050</wp:posOffset>
            </wp:positionV>
            <wp:extent cx="2740660" cy="1541621"/>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0660" cy="15416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wp:posOffset>
            </wp:positionH>
            <wp:positionV relativeFrom="page">
              <wp:posOffset>594360</wp:posOffset>
            </wp:positionV>
            <wp:extent cx="1094740" cy="109474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4740" cy="10947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556500" cy="21971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556500" cy="2197100"/>
                    </a:xfrm>
                    <a:prstGeom prst="rect"/>
                  </pic:spPr>
                </pic:pic>
              </a:graphicData>
            </a:graphic>
          </wp:anchor>
        </w:drawing>
      </w:r>
    </w:p>
    <w:p>
      <w:pPr>
        <w:autoSpaceDN w:val="0"/>
        <w:autoSpaceDE w:val="0"/>
        <w:widowControl/>
        <w:spacing w:line="434" w:lineRule="exact" w:before="0" w:after="294"/>
        <w:ind w:left="1750" w:right="0" w:firstLine="0"/>
        <w:jc w:val="left"/>
      </w:pPr>
      <w:r>
        <w:rPr>
          <w:rFonts w:ascii="OpenSans" w:hAnsi="OpenSans" w:eastAsia="OpenSans"/>
          <w:b/>
          <w:i w:val="0"/>
          <w:color w:val="565656"/>
          <w:sz w:val="32"/>
        </w:rPr>
        <w:t xml:space="preserve">Rohit kadam </w:t>
      </w:r>
    </w:p>
    <w:tbl>
      <w:tblPr>
        <w:tblW w:type="auto" w:w="0"/>
        <w:tblLayout w:type="fixed"/>
        <w:tblLook w:firstColumn="1" w:firstRow="1" w:lastColumn="0" w:lastRow="0" w:noHBand="0" w:noVBand="1" w:val="04A0"/>
        <w:tblInd w:w="874.0" w:type="dxa"/>
      </w:tblPr>
      <w:tblGrid>
        <w:gridCol w:w="3692"/>
        <w:gridCol w:w="3692"/>
        <w:gridCol w:w="3692"/>
      </w:tblGrid>
      <w:tr>
        <w:trPr>
          <w:trHeight w:hRule="exact" w:val="390"/>
        </w:trPr>
        <w:tc>
          <w:tcPr>
            <w:tcW w:type="dxa" w:w="3440"/>
            <w:tcBorders/>
            <w:tcMar>
              <w:start w:w="0" w:type="dxa"/>
              <w:end w:w="0" w:type="dxa"/>
            </w:tcMar>
          </w:tcPr>
          <w:p>
            <w:pPr>
              <w:autoSpaceDN w:val="0"/>
              <w:autoSpaceDE w:val="0"/>
              <w:widowControl/>
              <w:spacing w:line="270" w:lineRule="exact" w:before="60" w:after="0"/>
              <w:ind w:left="0" w:right="128" w:firstLine="0"/>
              <w:jc w:val="right"/>
            </w:pPr>
            <w:r>
              <w:rPr>
                <w:rFonts w:ascii="OpenSans" w:hAnsi="OpenSans" w:eastAsia="OpenSans"/>
                <w:b/>
                <w:i w:val="0"/>
                <w:color w:val="000000"/>
                <w:sz w:val="20"/>
              </w:rPr>
              <w:t>Date of birth:</w:t>
            </w:r>
            <w:r>
              <w:rPr>
                <w:rFonts w:ascii="OpenSans" w:hAnsi="OpenSans" w:eastAsia="OpenSans"/>
                <w:b w:val="0"/>
                <w:i w:val="0"/>
                <w:color w:val="000000"/>
                <w:sz w:val="20"/>
              </w:rPr>
              <w:t xml:space="preserve"> 14/10/1996</w:t>
            </w:r>
          </w:p>
        </w:tc>
        <w:tc>
          <w:tcPr>
            <w:tcW w:type="dxa" w:w="2100"/>
            <w:tcBorders/>
            <w:tcMar>
              <w:start w:w="0" w:type="dxa"/>
              <w:end w:w="0" w:type="dxa"/>
            </w:tcMar>
          </w:tcPr>
          <w:p>
            <w:pPr>
              <w:autoSpaceDN w:val="0"/>
              <w:autoSpaceDE w:val="0"/>
              <w:widowControl/>
              <w:spacing w:line="270" w:lineRule="exact" w:before="60" w:after="0"/>
              <w:ind w:left="0" w:right="0" w:firstLine="0"/>
              <w:jc w:val="center"/>
            </w:pPr>
            <w:r>
              <w:rPr>
                <w:rFonts w:ascii="OpenSans" w:hAnsi="OpenSans" w:eastAsia="OpenSans"/>
                <w:b/>
                <w:i w:val="0"/>
                <w:color w:val="000000"/>
                <w:sz w:val="20"/>
              </w:rPr>
              <w:t>Nationality:</w:t>
            </w:r>
            <w:r>
              <w:rPr>
                <w:rFonts w:ascii="OpenSans" w:hAnsi="OpenSans" w:eastAsia="OpenSans"/>
                <w:b w:val="0"/>
                <w:i w:val="0"/>
                <w:color w:val="000000"/>
                <w:sz w:val="20"/>
              </w:rPr>
              <w:t xml:space="preserve"> Indian</w:t>
            </w:r>
          </w:p>
        </w:tc>
        <w:tc>
          <w:tcPr>
            <w:tcW w:type="dxa" w:w="4440"/>
            <w:tcBorders/>
            <w:tcMar>
              <w:start w:w="0" w:type="dxa"/>
              <w:end w:w="0" w:type="dxa"/>
            </w:tcMar>
          </w:tcPr>
          <w:p>
            <w:pPr>
              <w:autoSpaceDN w:val="0"/>
              <w:autoSpaceDE w:val="0"/>
              <w:widowControl/>
              <w:spacing w:line="270" w:lineRule="exact" w:before="60" w:after="0"/>
              <w:ind w:left="0" w:right="0" w:firstLine="0"/>
              <w:jc w:val="center"/>
            </w:pPr>
            <w:r>
              <w:rPr>
                <w:rFonts w:ascii="OpenSans" w:hAnsi="OpenSans" w:eastAsia="OpenSans"/>
                <w:b/>
                <w:i w:val="0"/>
                <w:color w:val="000000"/>
                <w:sz w:val="20"/>
              </w:rPr>
              <w:t>Phone number:</w:t>
            </w:r>
            <w:r>
              <w:rPr>
                <w:rFonts w:ascii="OpenSans" w:hAnsi="OpenSans" w:eastAsia="OpenSans"/>
                <w:b w:val="0"/>
                <w:i w:val="0"/>
                <w:color w:val="000000"/>
                <w:sz w:val="20"/>
              </w:rPr>
              <w:t xml:space="preserve"> (+91) 7767880235 (Mobile) </w:t>
            </w:r>
          </w:p>
        </w:tc>
      </w:tr>
    </w:tbl>
    <w:p>
      <w:pPr>
        <w:autoSpaceDN w:val="0"/>
        <w:autoSpaceDE w:val="0"/>
        <w:widowControl/>
        <w:spacing w:line="272" w:lineRule="exact" w:before="116" w:after="0"/>
        <w:ind w:left="1750" w:right="0" w:firstLine="0"/>
        <w:jc w:val="left"/>
      </w:pPr>
      <w:r>
        <w:rPr>
          <w:rFonts w:ascii="OpenSans" w:hAnsi="OpenSans" w:eastAsia="OpenSans"/>
          <w:b/>
          <w:i w:val="0"/>
          <w:color w:val="000000"/>
          <w:sz w:val="20"/>
        </w:rPr>
        <w:t>Email address:</w:t>
      </w:r>
      <w:r>
        <w:rPr>
          <w:rFonts w:ascii="OpenSans" w:hAnsi="OpenSans" w:eastAsia="OpenSans"/>
          <w:b w:val="0"/>
          <w:i w:val="0"/>
          <w:color w:val="004494"/>
          <w:sz w:val="20"/>
        </w:rPr>
        <w:hyperlink r:id="rId9" w:history="1">
          <w:r>
            <w:rPr>
              <w:rStyle w:val="Hyperlink"/>
            </w:rPr>
            <w:t>rohitkadam1410@gmail.com</w:t>
          </w:r>
        </w:hyperlink>
      </w:r>
    </w:p>
    <w:p>
      <w:pPr>
        <w:autoSpaceDN w:val="0"/>
        <w:autoSpaceDE w:val="0"/>
        <w:widowControl/>
        <w:spacing w:line="198" w:lineRule="exact" w:before="228" w:after="0"/>
        <w:ind w:left="1750" w:right="2160" w:firstLine="0"/>
        <w:jc w:val="left"/>
      </w:pPr>
      <w:r>
        <w:rPr>
          <w:rFonts w:ascii="OpenSans" w:hAnsi="OpenSans" w:eastAsia="OpenSans"/>
          <w:b/>
          <w:i w:val="0"/>
          <w:color w:val="000000"/>
          <w:sz w:val="20"/>
        </w:rPr>
        <w:t xml:space="preserve">Address: </w:t>
      </w:r>
      <w:r>
        <w:rPr>
          <w:rFonts w:ascii="OpenSans" w:hAnsi="OpenSans" w:eastAsia="OpenSans"/>
          <w:b w:val="0"/>
          <w:i w:val="0"/>
          <w:color w:val="000000"/>
          <w:sz w:val="20"/>
        </w:rPr>
        <w:t xml:space="preserve">Flat No.308, RKL Anand Phase 1,Tathwade, Near Tata Motors Excel </w:t>
      </w:r>
      <w:r>
        <w:rPr>
          <w:rFonts w:ascii="OpenSans" w:hAnsi="OpenSans" w:eastAsia="OpenSans"/>
          <w:b w:val="0"/>
          <w:i w:val="0"/>
          <w:color w:val="000000"/>
          <w:sz w:val="20"/>
        </w:rPr>
        <w:t xml:space="preserve">vehicles Pune, 411033 Pune (India), 411033, Pune, India (Home) </w:t>
      </w:r>
    </w:p>
    <w:p>
      <w:pPr>
        <w:autoSpaceDN w:val="0"/>
        <w:autoSpaceDE w:val="0"/>
        <w:widowControl/>
        <w:spacing w:line="298" w:lineRule="exact" w:before="574" w:after="0"/>
        <w:ind w:left="0" w:right="0" w:firstLine="0"/>
        <w:jc w:val="left"/>
      </w:pPr>
      <w:r>
        <w:rPr>
          <w:rFonts w:ascii="OpenSans" w:hAnsi="OpenSans" w:eastAsia="OpenSans"/>
          <w:b/>
          <w:i w:val="0"/>
          <w:color w:val="000000"/>
          <w:sz w:val="22"/>
        </w:rPr>
        <w:t xml:space="preserve">ABOUT ME </w:t>
      </w:r>
    </w:p>
    <w:p>
      <w:pPr>
        <w:autoSpaceDN w:val="0"/>
        <w:autoSpaceDE w:val="0"/>
        <w:widowControl/>
        <w:spacing w:line="240" w:lineRule="exact" w:before="268" w:after="0"/>
        <w:ind w:left="0" w:right="288" w:firstLine="0"/>
        <w:jc w:val="left"/>
      </w:pPr>
      <w:r>
        <w:rPr>
          <w:rFonts w:ascii="OpenSans" w:hAnsi="OpenSans" w:eastAsia="OpenSans"/>
          <w:b w:val="0"/>
          <w:i w:val="0"/>
          <w:color w:val="000000"/>
          <w:sz w:val="20"/>
        </w:rPr>
        <w:t xml:space="preserve">Data scientist with 4 years building AI systems for healthcare and clinical trials. Patent holder, published researcher, </w:t>
      </w:r>
      <w:r>
        <w:rPr>
          <w:rFonts w:ascii="OpenSans" w:hAnsi="OpenSans" w:eastAsia="OpenSans"/>
          <w:b w:val="0"/>
          <w:i w:val="0"/>
          <w:color w:val="000000"/>
          <w:sz w:val="20"/>
        </w:rPr>
        <w:t>presented at PharmaSUG conferences. Focus on NLP, GenAI, and making clinical workflows faster.</w:t>
      </w:r>
    </w:p>
    <w:p>
      <w:pPr>
        <w:autoSpaceDN w:val="0"/>
        <w:autoSpaceDE w:val="0"/>
        <w:widowControl/>
        <w:spacing w:line="298" w:lineRule="exact" w:before="140" w:after="0"/>
        <w:ind w:left="0" w:right="0" w:firstLine="0"/>
        <w:jc w:val="left"/>
      </w:pPr>
      <w:r>
        <w:rPr>
          <w:rFonts w:ascii="OpenSans" w:hAnsi="OpenSans" w:eastAsia="OpenSans"/>
          <w:b/>
          <w:i w:val="0"/>
          <w:color w:val="000000"/>
          <w:sz w:val="22"/>
        </w:rPr>
        <w:t>WORK EXPERIENCE</w:t>
      </w:r>
    </w:p>
    <w:p>
      <w:pPr>
        <w:autoSpaceDN w:val="0"/>
        <w:autoSpaceDE w:val="0"/>
        <w:widowControl/>
        <w:spacing w:line="272" w:lineRule="exact" w:before="236" w:after="0"/>
        <w:ind w:left="0" w:right="0" w:firstLine="0"/>
        <w:jc w:val="left"/>
      </w:pPr>
      <w:r>
        <w:rPr>
          <w:rFonts w:ascii="FontAwesome5Free" w:hAnsi="FontAwesome5Free" w:eastAsia="FontAwesome5Free"/>
          <w:b w:val="0"/>
          <w:i w:val="0"/>
          <w:color w:val="404040"/>
          <w:sz w:val="20"/>
        </w:rPr>
        <w:t></w:t>
      </w:r>
      <w:r>
        <w:rPr>
          <w:rFonts w:ascii="OpenSans" w:hAnsi="OpenSans" w:eastAsia="OpenSans"/>
          <w:b/>
          <w:i w:val="0"/>
          <w:color w:val="404040"/>
          <w:sz w:val="20"/>
        </w:rPr>
        <w:t xml:space="preserve">TATA CONSULTANCY SERVICES </w:t>
      </w:r>
      <w:r>
        <w:rPr>
          <w:rFonts w:ascii="OpenSans" w:hAnsi="OpenSans" w:eastAsia="OpenSans"/>
          <w:b w:val="0"/>
          <w:i w:val="0"/>
          <w:color w:val="404040"/>
          <w:sz w:val="20"/>
        </w:rPr>
        <w:t>– PUNE, INDIA</w:t>
      </w:r>
    </w:p>
    <w:p>
      <w:pPr>
        <w:autoSpaceDN w:val="0"/>
        <w:autoSpaceDE w:val="0"/>
        <w:widowControl/>
        <w:spacing w:line="300" w:lineRule="exact" w:before="48" w:after="0"/>
        <w:ind w:left="0" w:right="0" w:firstLine="0"/>
        <w:jc w:val="left"/>
      </w:pPr>
      <w:r>
        <w:rPr>
          <w:shd w:val="clear" w:color="auto" w:fill="979797"/>
          <w:rFonts w:ascii="OpenSans" w:hAnsi="OpenSans" w:eastAsia="OpenSans"/>
          <w:b/>
          <w:i w:val="0"/>
          <w:color w:val="404040"/>
          <w:sz w:val="22"/>
        </w:rPr>
        <w:t xml:space="preserve">I.T. ANALYST </w:t>
      </w:r>
      <w:r>
        <w:rPr>
          <w:shd w:val="clear" w:color="auto" w:fill="979797"/>
          <w:rFonts w:ascii="OpenSans" w:hAnsi="OpenSans" w:eastAsia="OpenSans"/>
          <w:b w:val="0"/>
          <w:i w:val="0"/>
          <w:color w:val="404040"/>
          <w:sz w:val="22"/>
        </w:rPr>
        <w:t xml:space="preserve">– </w:t>
      </w:r>
      <w:r>
        <w:rPr>
          <w:shd w:val="clear" w:color="auto" w:fill="979797"/>
          <w:rFonts w:ascii="OpenSans" w:hAnsi="OpenSans" w:eastAsia="OpenSans"/>
          <w:b w:val="0"/>
          <w:i w:val="0"/>
          <w:color w:val="575757"/>
          <w:sz w:val="22"/>
        </w:rPr>
        <w:t>01/01/2024 – CURRENT</w:t>
      </w:r>
      <w:r>
        <w:rPr>
          <w:rFonts w:ascii="OpenSans" w:hAnsi="OpenSans" w:eastAsia="OpenSans"/>
          <w:b w:val="0"/>
          <w:i w:val="0"/>
          <w:color w:val="575757"/>
          <w:sz w:val="22"/>
        </w:rPr>
        <w:t xml:space="preserve"> </w:t>
      </w:r>
    </w:p>
    <w:p>
      <w:pPr>
        <w:autoSpaceDN w:val="0"/>
        <w:tabs>
          <w:tab w:pos="600" w:val="left"/>
        </w:tabs>
        <w:autoSpaceDE w:val="0"/>
        <w:widowControl/>
        <w:spacing w:line="240" w:lineRule="exact" w:before="192" w:after="0"/>
        <w:ind w:left="460" w:right="432" w:firstLine="0"/>
        <w:jc w:val="left"/>
      </w:pPr>
      <w:r>
        <w:rPr>
          <w:rFonts w:ascii="OpenSans" w:hAnsi="OpenSans" w:eastAsia="OpenSans"/>
          <w:b w:val="0"/>
          <w:i w:val="0"/>
          <w:color w:val="000000"/>
          <w:sz w:val="20"/>
        </w:rPr>
        <w:t xml:space="preserve">• Led the development of a GenAI-based medical assistant using Azure OpenAI, improving monitoring process </w:t>
      </w:r>
      <w:r>
        <w:tab/>
      </w:r>
      <w:r>
        <w:rPr>
          <w:rFonts w:ascii="OpenSans" w:hAnsi="OpenSans" w:eastAsia="OpenSans"/>
          <w:b w:val="0"/>
          <w:i w:val="0"/>
          <w:color w:val="000000"/>
          <w:sz w:val="20"/>
        </w:rPr>
        <w:t>efficiency in clinical trials.</w:t>
      </w:r>
    </w:p>
    <w:p>
      <w:pPr>
        <w:autoSpaceDN w:val="0"/>
        <w:tabs>
          <w:tab w:pos="600" w:val="left"/>
        </w:tabs>
        <w:autoSpaceDE w:val="0"/>
        <w:widowControl/>
        <w:spacing w:line="240" w:lineRule="exact" w:before="30" w:after="0"/>
        <w:ind w:left="460" w:right="720" w:firstLine="0"/>
        <w:jc w:val="left"/>
      </w:pPr>
      <w:r>
        <w:rPr>
          <w:rFonts w:ascii="OpenSans" w:hAnsi="OpenSans" w:eastAsia="OpenSans"/>
          <w:b w:val="0"/>
          <w:i w:val="0"/>
          <w:color w:val="000000"/>
          <w:sz w:val="20"/>
        </w:rPr>
        <w:t xml:space="preserve">• Directed a team of 4 in building modular LLM applications with retrieval-augmented generation (RAG) for </w:t>
      </w:r>
      <w:r>
        <w:tab/>
      </w:r>
      <w:r>
        <w:rPr>
          <w:rFonts w:ascii="OpenSans" w:hAnsi="OpenSans" w:eastAsia="OpenSans"/>
          <w:b w:val="0"/>
          <w:i w:val="0"/>
          <w:color w:val="000000"/>
          <w:sz w:val="20"/>
        </w:rPr>
        <w:t>literature management systems.</w:t>
      </w:r>
    </w:p>
    <w:p>
      <w:pPr>
        <w:autoSpaceDN w:val="0"/>
        <w:autoSpaceDE w:val="0"/>
        <w:widowControl/>
        <w:spacing w:line="272" w:lineRule="exact" w:before="0" w:after="0"/>
        <w:ind w:left="460" w:right="0" w:firstLine="0"/>
        <w:jc w:val="left"/>
      </w:pPr>
      <w:r>
        <w:rPr>
          <w:rFonts w:ascii="OpenSans" w:hAnsi="OpenSans"/>
          <w:sz w:val="20"/>
        </w:rPr>
        <w:t>• Communicated project updates as the primary point of contact for stakeholders during pilot solution rollout, ensuring smooth adoption and alignment with business objectives.</w:t>
      </w:r>
    </w:p>
    <w:p>
      <w:pPr>
        <w:autoSpaceDN w:val="0"/>
        <w:tabs>
          <w:tab w:pos="600" w:val="left"/>
        </w:tabs>
        <w:autoSpaceDE w:val="0"/>
        <w:widowControl/>
        <w:spacing w:line="240" w:lineRule="exact" w:before="32" w:after="0"/>
        <w:ind w:left="460" w:right="288" w:firstLine="0"/>
        <w:jc w:val="left"/>
      </w:pPr>
      <w:r>
        <w:rPr>
          <w:rFonts w:ascii="OpenSans" w:hAnsi="OpenSans"/>
          <w:sz w:val="20"/>
        </w:rPr>
        <w:t xml:space="preserve">• Collaborated with cross-functional teams to conduct brainstorming sessions and stakeholder interviews, defining new HealthTech use-cases and project milestones.• Designed and implemented an API-driven platform for real-time medical monitoring and actionable insights in </w:t>
        <w:tab/>
        <w:t>clinical trial decision making.</w:t>
      </w:r>
    </w:p>
    <w:p>
      <w:pPr>
        <w:autoSpaceDN w:val="0"/>
        <w:tabs>
          <w:tab w:pos="600" w:val="left"/>
        </w:tabs>
        <w:autoSpaceDE w:val="0"/>
        <w:widowControl/>
        <w:spacing w:line="238" w:lineRule="exact" w:before="34" w:after="0"/>
        <w:ind w:left="460" w:right="288" w:firstLine="0"/>
        <w:jc w:val="left"/>
      </w:pPr>
      <w:r>
        <w:rPr>
          <w:rFonts w:ascii="OpenSans" w:hAnsi="OpenSans" w:eastAsia="OpenSans"/>
          <w:b w:val="0"/>
          <w:i w:val="0"/>
          <w:color w:val="000000"/>
          <w:sz w:val="20"/>
        </w:rPr>
        <w:t xml:space="preserve">• Facilitated stakeholder engagement as primary contact for pilot rollouts; coordinated feedback and successful </w:t>
      </w:r>
      <w:r>
        <w:tab/>
      </w:r>
      <w:r>
        <w:rPr>
          <w:rFonts w:ascii="OpenSans" w:hAnsi="OpenSans" w:eastAsia="OpenSans"/>
          <w:b w:val="0"/>
          <w:i w:val="0"/>
          <w:color w:val="000000"/>
          <w:sz w:val="20"/>
        </w:rPr>
        <w:t>solution adoption across departments.</w:t>
      </w:r>
    </w:p>
    <w:p>
      <w:pPr>
        <w:autoSpaceDN w:val="0"/>
        <w:autoSpaceDE w:val="0"/>
        <w:widowControl/>
        <w:spacing w:line="270" w:lineRule="exact" w:before="196" w:after="0"/>
        <w:ind w:left="0" w:right="0" w:firstLine="0"/>
        <w:jc w:val="left"/>
      </w:pPr>
      <w:r>
        <w:rPr>
          <w:rFonts w:ascii="FontAwesome5Free" w:hAnsi="FontAwesome5Free" w:eastAsia="FontAwesome5Free"/>
          <w:b w:val="0"/>
          <w:i w:val="0"/>
          <w:color w:val="404040"/>
          <w:sz w:val="20"/>
        </w:rPr>
        <w:t></w:t>
      </w:r>
      <w:r>
        <w:rPr>
          <w:rFonts w:ascii="OpenSans" w:hAnsi="OpenSans" w:eastAsia="OpenSans"/>
          <w:b/>
          <w:i w:val="0"/>
          <w:color w:val="404040"/>
          <w:sz w:val="20"/>
        </w:rPr>
        <w:t xml:space="preserve">TATA CONSULTANCY SERVICES </w:t>
      </w:r>
      <w:r>
        <w:rPr>
          <w:rFonts w:ascii="OpenSans" w:hAnsi="OpenSans" w:eastAsia="OpenSans"/>
          <w:b w:val="0"/>
          <w:i w:val="0"/>
          <w:color w:val="404040"/>
          <w:sz w:val="20"/>
        </w:rPr>
        <w:t>– PUNE, INDIA</w:t>
      </w:r>
    </w:p>
    <w:p>
      <w:pPr>
        <w:autoSpaceDN w:val="0"/>
        <w:autoSpaceDE w:val="0"/>
        <w:widowControl/>
        <w:spacing w:line="300" w:lineRule="exact" w:before="50" w:after="0"/>
        <w:ind w:left="0" w:right="0" w:firstLine="0"/>
        <w:jc w:val="left"/>
      </w:pPr>
      <w:r>
        <w:rPr>
          <w:shd w:val="clear" w:color="auto" w:fill="979797"/>
          <w:rFonts w:ascii="OpenSans" w:hAnsi="OpenSans" w:eastAsia="OpenSans"/>
          <w:b/>
          <w:i w:val="0"/>
          <w:color w:val="404040"/>
          <w:sz w:val="22"/>
        </w:rPr>
        <w:t xml:space="preserve">SYSTEM ENGINEER </w:t>
      </w:r>
      <w:r>
        <w:rPr>
          <w:shd w:val="clear" w:color="auto" w:fill="979797"/>
          <w:rFonts w:ascii="OpenSans" w:hAnsi="OpenSans" w:eastAsia="OpenSans"/>
          <w:b w:val="0"/>
          <w:i w:val="0"/>
          <w:color w:val="404040"/>
          <w:sz w:val="22"/>
        </w:rPr>
        <w:t xml:space="preserve">– </w:t>
      </w:r>
      <w:r>
        <w:rPr>
          <w:shd w:val="clear" w:color="auto" w:fill="979797"/>
          <w:rFonts w:ascii="OpenSans" w:hAnsi="OpenSans" w:eastAsia="OpenSans"/>
          <w:b w:val="0"/>
          <w:i w:val="0"/>
          <w:color w:val="575757"/>
          <w:sz w:val="22"/>
        </w:rPr>
        <w:t>01/07/2021 – 31/12/2023</w:t>
      </w:r>
      <w:r>
        <w:rPr>
          <w:rFonts w:ascii="OpenSans" w:hAnsi="OpenSans" w:eastAsia="OpenSans"/>
          <w:b w:val="0"/>
          <w:i w:val="0"/>
          <w:color w:val="575757"/>
          <w:sz w:val="22"/>
        </w:rPr>
        <w:t xml:space="preserve"> </w:t>
      </w:r>
    </w:p>
    <w:p>
      <w:pPr>
        <w:autoSpaceDN w:val="0"/>
        <w:tabs>
          <w:tab w:pos="600" w:val="left"/>
        </w:tabs>
        <w:autoSpaceDE w:val="0"/>
        <w:widowControl/>
        <w:spacing w:line="240" w:lineRule="exact" w:before="192" w:after="0"/>
        <w:ind w:left="460" w:right="432" w:firstLine="0"/>
        <w:jc w:val="left"/>
      </w:pPr>
      <w:r>
        <w:rPr>
          <w:rFonts w:ascii="OpenSans" w:hAnsi="OpenSans" w:eastAsia="OpenSans"/>
          <w:b w:val="0"/>
          <w:i w:val="0"/>
          <w:color w:val="000000"/>
          <w:sz w:val="20"/>
        </w:rPr>
        <w:t xml:space="preserve">• Developed a regulatory intelligence chatbot using RASA and custom NLP models, reducing regulatory query </w:t>
      </w:r>
      <w:r>
        <w:tab/>
      </w:r>
      <w:r>
        <w:rPr>
          <w:rFonts w:ascii="OpenSans" w:hAnsi="OpenSans" w:eastAsia="OpenSans"/>
          <w:b w:val="0"/>
          <w:i w:val="0"/>
          <w:color w:val="000000"/>
          <w:sz w:val="20"/>
        </w:rPr>
        <w:t>response time for professionals.</w:t>
      </w:r>
    </w:p>
    <w:p>
      <w:pPr>
        <w:autoSpaceDN w:val="0"/>
        <w:tabs>
          <w:tab w:pos="600" w:val="left"/>
        </w:tabs>
        <w:autoSpaceDE w:val="0"/>
        <w:widowControl/>
        <w:spacing w:line="240" w:lineRule="exact" w:before="30" w:after="0"/>
        <w:ind w:left="460" w:right="288" w:firstLine="0"/>
        <w:jc w:val="left"/>
      </w:pPr>
      <w:r>
        <w:rPr>
          <w:rFonts w:ascii="OpenSans" w:hAnsi="OpenSans" w:eastAsia="OpenSans"/>
          <w:b w:val="0"/>
          <w:i w:val="0"/>
          <w:color w:val="000000"/>
          <w:sz w:val="20"/>
        </w:rPr>
        <w:t xml:space="preserve">• Collaborated with subject matter experts and business leads to design AI-driven healthcare pilots for pharma </w:t>
      </w:r>
      <w:r>
        <w:tab/>
      </w:r>
      <w:r>
        <w:rPr>
          <w:rFonts w:ascii="OpenSans" w:hAnsi="OpenSans" w:eastAsia="OpenSans"/>
          <w:b w:val="0"/>
          <w:i w:val="0"/>
          <w:color w:val="000000"/>
          <w:sz w:val="20"/>
        </w:rPr>
        <w:t>clients.</w:t>
      </w:r>
    </w:p>
    <w:p>
      <w:pPr>
        <w:autoSpaceDN w:val="0"/>
        <w:tabs>
          <w:tab w:pos="600" w:val="left"/>
        </w:tabs>
        <w:autoSpaceDE w:val="0"/>
        <w:widowControl/>
        <w:spacing w:line="240" w:lineRule="exact" w:before="32" w:after="0"/>
        <w:ind w:left="460" w:right="288" w:firstLine="0"/>
        <w:jc w:val="left"/>
      </w:pPr>
      <w:r>
        <w:rPr>
          <w:rFonts w:ascii="OpenSans" w:hAnsi="OpenSans" w:eastAsia="OpenSans"/>
          <w:b w:val="0"/>
          <w:i w:val="0"/>
          <w:color w:val="000000"/>
          <w:sz w:val="20"/>
        </w:rPr>
        <w:t>• Served as Innovation Lead during an Incubation Bootcamp, resulting in an award-winning product idea for AI-</w:t>
      </w:r>
      <w:r>
        <w:tab/>
      </w:r>
      <w:r>
        <w:rPr>
          <w:rFonts w:ascii="OpenSans" w:hAnsi="OpenSans" w:eastAsia="OpenSans"/>
          <w:b w:val="0"/>
          <w:i w:val="0"/>
          <w:color w:val="000000"/>
          <w:sz w:val="20"/>
        </w:rPr>
        <w:t>driven healthcare pilots.</w:t>
      </w:r>
    </w:p>
    <w:p>
      <w:pPr>
        <w:autoSpaceDN w:val="0"/>
        <w:tabs>
          <w:tab w:pos="600" w:val="left"/>
        </w:tabs>
        <w:autoSpaceDE w:val="0"/>
        <w:widowControl/>
        <w:spacing w:line="240" w:lineRule="exact" w:before="30" w:after="0"/>
        <w:ind w:left="460" w:right="0" w:firstLine="0"/>
        <w:jc w:val="left"/>
      </w:pPr>
      <w:r>
        <w:rPr>
          <w:rFonts w:ascii="OpenSans" w:hAnsi="OpenSans" w:eastAsia="OpenSans"/>
          <w:b w:val="0"/>
          <w:i w:val="0"/>
          <w:color w:val="000000"/>
          <w:sz w:val="20"/>
        </w:rPr>
        <w:t xml:space="preserve">• Mentored three junior interns in Python, NLP, and AI/ML fundamentals, supporting their proof-of-concept (POC) </w:t>
      </w:r>
      <w:r>
        <w:tab/>
      </w:r>
      <w:r>
        <w:rPr>
          <w:rFonts w:ascii="OpenSans" w:hAnsi="OpenSans" w:eastAsia="OpenSans"/>
          <w:b w:val="0"/>
          <w:i w:val="0"/>
          <w:color w:val="000000"/>
          <w:sz w:val="20"/>
        </w:rPr>
        <w:t>projects.</w:t>
      </w:r>
    </w:p>
    <w:p>
      <w:pPr>
        <w:autoSpaceDN w:val="0"/>
        <w:tabs>
          <w:tab w:pos="600" w:val="left"/>
        </w:tabs>
        <w:autoSpaceDE w:val="0"/>
        <w:widowControl/>
        <w:spacing w:line="238" w:lineRule="exact" w:before="34" w:after="0"/>
        <w:ind w:left="460" w:right="576" w:firstLine="0"/>
        <w:jc w:val="left"/>
      </w:pPr>
      <w:r>
        <w:rPr>
          <w:rFonts w:ascii="OpenSans" w:hAnsi="OpenSans" w:eastAsia="OpenSans"/>
          <w:b w:val="0"/>
          <w:i w:val="0"/>
          <w:color w:val="000000"/>
          <w:sz w:val="20"/>
        </w:rPr>
        <w:t xml:space="preserve">• Initiated and led a knowledge-sharing forum within the Regulatory Intelligence team for accelerating GenAI </w:t>
      </w:r>
      <w:r>
        <w:tab/>
      </w:r>
      <w:r>
        <w:rPr>
          <w:rFonts w:ascii="OpenSans" w:hAnsi="OpenSans" w:eastAsia="OpenSans"/>
          <w:b w:val="0"/>
          <w:i w:val="0"/>
          <w:color w:val="000000"/>
          <w:sz w:val="20"/>
        </w:rPr>
        <w:t>adoption across organizational verticals.</w:t>
      </w:r>
    </w:p>
    <w:p>
      <w:pPr>
        <w:autoSpaceDN w:val="0"/>
        <w:autoSpaceDE w:val="0"/>
        <w:widowControl/>
        <w:spacing w:line="270" w:lineRule="exact" w:before="196" w:after="0"/>
        <w:ind w:left="0" w:right="0" w:firstLine="0"/>
        <w:jc w:val="left"/>
      </w:pPr>
      <w:r>
        <w:rPr>
          <w:rFonts w:ascii="FontAwesome5Free" w:hAnsi="FontAwesome5Free" w:eastAsia="FontAwesome5Free"/>
          <w:b w:val="0"/>
          <w:i w:val="0"/>
          <w:color w:val="404040"/>
          <w:sz w:val="20"/>
        </w:rPr>
        <w:t></w:t>
      </w:r>
      <w:r>
        <w:rPr>
          <w:rFonts w:ascii="OpenSans" w:hAnsi="OpenSans" w:eastAsia="OpenSans"/>
          <w:b/>
          <w:i w:val="0"/>
          <w:color w:val="404040"/>
          <w:sz w:val="20"/>
        </w:rPr>
        <w:t xml:space="preserve">TATA CONSULTANCY SERVICES </w:t>
      </w:r>
      <w:r>
        <w:rPr>
          <w:rFonts w:ascii="OpenSans" w:hAnsi="OpenSans" w:eastAsia="OpenSans"/>
          <w:b w:val="0"/>
          <w:i w:val="0"/>
          <w:color w:val="404040"/>
          <w:sz w:val="20"/>
        </w:rPr>
        <w:t>– PUNE, INDIA</w:t>
      </w:r>
    </w:p>
    <w:p>
      <w:pPr>
        <w:autoSpaceDN w:val="0"/>
        <w:autoSpaceDE w:val="0"/>
        <w:widowControl/>
        <w:spacing w:line="300" w:lineRule="exact" w:before="50" w:after="0"/>
        <w:ind w:left="0" w:right="0" w:firstLine="0"/>
        <w:jc w:val="left"/>
      </w:pPr>
      <w:r>
        <w:rPr>
          <w:shd w:val="clear" w:color="auto" w:fill="979797"/>
          <w:rFonts w:ascii="OpenSans" w:hAnsi="OpenSans" w:eastAsia="OpenSans"/>
          <w:b/>
          <w:i w:val="0"/>
          <w:color w:val="404040"/>
          <w:sz w:val="22"/>
        </w:rPr>
        <w:t xml:space="preserve">ASSISTANT SYSTEM ENGINEER </w:t>
      </w:r>
      <w:r>
        <w:rPr>
          <w:shd w:val="clear" w:color="auto" w:fill="979797"/>
          <w:rFonts w:ascii="OpenSans" w:hAnsi="OpenSans" w:eastAsia="OpenSans"/>
          <w:b w:val="0"/>
          <w:i w:val="0"/>
          <w:color w:val="404040"/>
          <w:sz w:val="22"/>
        </w:rPr>
        <w:t xml:space="preserve">– </w:t>
      </w:r>
      <w:r>
        <w:rPr>
          <w:shd w:val="clear" w:color="auto" w:fill="979797"/>
          <w:rFonts w:ascii="OpenSans" w:hAnsi="OpenSans" w:eastAsia="OpenSans"/>
          <w:b w:val="0"/>
          <w:i w:val="0"/>
          <w:color w:val="575757"/>
          <w:sz w:val="22"/>
        </w:rPr>
        <w:t>14/09/2020 – 30/06/2021</w:t>
      </w:r>
      <w:r>
        <w:rPr>
          <w:rFonts w:ascii="OpenSans" w:hAnsi="OpenSans" w:eastAsia="OpenSans"/>
          <w:b w:val="0"/>
          <w:i w:val="0"/>
          <w:color w:val="575757"/>
          <w:sz w:val="22"/>
        </w:rPr>
        <w:t xml:space="preserve"> </w:t>
      </w:r>
    </w:p>
    <w:p>
      <w:pPr>
        <w:autoSpaceDN w:val="0"/>
        <w:autoSpaceDE w:val="0"/>
        <w:widowControl/>
        <w:spacing w:line="272" w:lineRule="exact" w:before="160" w:after="0"/>
        <w:ind w:left="460" w:right="0" w:firstLine="0"/>
        <w:jc w:val="left"/>
      </w:pPr>
      <w:r>
        <w:rPr>
          <w:rFonts w:ascii="OpenSans" w:hAnsi="OpenSans"/>
          <w:sz w:val="20"/>
        </w:rPr>
        <w:t>• Contributed to data analysis and dashboard creation for EHR analytics platforms using Python, improving data-driven decision-making.</w:t>
      </w:r>
    </w:p>
    <w:p>
      <w:pPr>
        <w:autoSpaceDN w:val="0"/>
        <w:autoSpaceDE w:val="0"/>
        <w:widowControl/>
        <w:spacing w:line="238" w:lineRule="exact" w:before="34" w:after="0"/>
        <w:ind w:left="460" w:right="864" w:firstLine="0"/>
        <w:jc w:val="left"/>
      </w:pPr>
      <w:r>
        <w:rPr>
          <w:rFonts w:ascii="OpenSans" w:hAnsi="OpenSans"/>
          <w:sz w:val="20"/>
        </w:rPr>
        <w:t>• Supported initial experiments with NLP applied to medical writing and document summarization, advancing NLP techniques in healthcare documentation.• Acted as primary contact for POC development, streamlining the transition from EHR data to EDC systems and enhancing data integration processes.</w:t>
      </w:r>
    </w:p>
    <w:p>
      <w:pPr>
        <w:autoSpaceDN w:val="0"/>
        <w:autoSpaceDE w:val="0"/>
        <w:widowControl/>
        <w:spacing w:line="270" w:lineRule="exact" w:before="196" w:after="0"/>
        <w:ind w:left="0" w:right="0" w:firstLine="0"/>
        <w:jc w:val="left"/>
      </w:pPr>
      <w:r>
        <w:rPr>
          <w:rFonts w:ascii="FontAwesome5Free" w:hAnsi="FontAwesome5Free" w:eastAsia="FontAwesome5Free"/>
          <w:b w:val="0"/>
          <w:i w:val="0"/>
          <w:color w:val="404040"/>
          <w:sz w:val="20"/>
        </w:rPr>
        <w:t></w:t>
      </w:r>
      <w:r>
        <w:rPr>
          <w:rFonts w:ascii="OpenSans" w:hAnsi="OpenSans" w:eastAsia="OpenSans"/>
          <w:b/>
          <w:i w:val="0"/>
          <w:color w:val="404040"/>
          <w:sz w:val="20"/>
        </w:rPr>
        <w:t xml:space="preserve">WAKIDOK INNOVATIVE SOLUTIONS </w:t>
      </w:r>
      <w:r>
        <w:rPr>
          <w:rFonts w:ascii="OpenSans" w:hAnsi="OpenSans" w:eastAsia="OpenSans"/>
          <w:b w:val="0"/>
          <w:i w:val="0"/>
          <w:color w:val="404040"/>
          <w:sz w:val="20"/>
        </w:rPr>
        <w:t>– PUNE, INDIA</w:t>
      </w:r>
    </w:p>
    <w:p>
      <w:pPr>
        <w:sectPr>
          <w:pgSz w:w="11900" w:h="16820"/>
          <w:pgMar w:top="456" w:right="258" w:bottom="1342" w:left="566" w:header="720" w:footer="720" w:gutter="0"/>
          <w:cols/>
          <w:docGrid w:linePitch="360"/>
        </w:sectPr>
      </w:pPr>
    </w:p>
    <w:p>
      <w:pPr>
        <w:autoSpaceDN w:val="0"/>
        <w:autoSpaceDE w:val="0"/>
        <w:widowControl/>
        <w:spacing w:line="298" w:lineRule="exact" w:before="266" w:after="0"/>
        <w:ind w:left="566" w:right="0" w:firstLine="0"/>
        <w:jc w:val="left"/>
      </w:pPr>
      <w:r>
        <w:rPr>
          <w:rFonts w:ascii="OpenSans" w:hAnsi="OpenSans" w:eastAsia="OpenSans"/>
          <w:b/>
          <w:i w:val="0"/>
          <w:color w:val="404040"/>
          <w:sz w:val="22"/>
        </w:rPr>
        <w:t xml:space="preserve">BUSINESS DEVELOPMENT EXECUTIVE </w:t>
      </w:r>
      <w:r>
        <w:rPr>
          <w:rFonts w:ascii="OpenSans" w:hAnsi="OpenSans" w:eastAsia="OpenSans"/>
          <w:b w:val="0"/>
          <w:i w:val="0"/>
          <w:color w:val="404040"/>
          <w:sz w:val="22"/>
        </w:rPr>
        <w:t xml:space="preserve">– </w:t>
      </w:r>
      <w:r>
        <w:rPr>
          <w:rFonts w:ascii="OpenSans" w:hAnsi="OpenSans" w:eastAsia="OpenSans"/>
          <w:b w:val="0"/>
          <w:i w:val="0"/>
          <w:color w:val="575757"/>
          <w:sz w:val="22"/>
        </w:rPr>
        <w:t xml:space="preserve">01/11/2018 – 31/03/2019 </w:t>
      </w:r>
    </w:p>
    <w:p>
      <w:pPr>
        <w:autoSpaceDN w:val="0"/>
        <w:autoSpaceDE w:val="0"/>
        <w:widowControl/>
        <w:spacing w:line="238" w:lineRule="exact" w:before="196" w:after="0"/>
        <w:ind w:left="1026" w:right="432" w:firstLine="0"/>
        <w:jc w:val="left"/>
      </w:pPr>
      <w:r>
        <w:rPr>
          <w:rFonts w:ascii="OpenSans" w:hAnsi="OpenSans" w:eastAsia="OpenSans"/>
          <w:b w:val="0"/>
          <w:i w:val="0"/>
          <w:color w:val="000000"/>
          <w:sz w:val="20"/>
        </w:rPr>
        <w:t>• Actively Conducting Market Research</w:t>
      </w:r>
      <w:r>
        <w:br/>
      </w:r>
      <w:r>
        <w:rPr>
          <w:rFonts w:ascii="OpenSans" w:hAnsi="OpenSans" w:eastAsia="OpenSans"/>
          <w:b w:val="0"/>
          <w:i w:val="0"/>
          <w:color w:val="000000"/>
          <w:sz w:val="20"/>
        </w:rPr>
        <w:t>• Creating and implementing actionable business strategies to expand the customer base and increase revenue</w:t>
      </w:r>
    </w:p>
    <w:p>
      <w:pPr>
        <w:autoSpaceDN w:val="0"/>
        <w:autoSpaceDE w:val="0"/>
        <w:widowControl/>
        <w:spacing w:line="298" w:lineRule="exact" w:before="172" w:after="198"/>
        <w:ind w:left="566" w:right="0" w:firstLine="0"/>
        <w:jc w:val="left"/>
      </w:pPr>
      <w:r>
        <w:rPr>
          <w:rFonts w:ascii="OpenSans" w:hAnsi="OpenSans" w:eastAsia="OpenSans"/>
          <w:b/>
          <w:i w:val="0"/>
          <w:color w:val="000000"/>
          <w:sz w:val="22"/>
        </w:rPr>
        <w:t xml:space="preserve">PROJECTS </w:t>
      </w:r>
    </w:p>
    <w:tbl>
      <w:tblPr>
        <w:tblW w:type="auto" w:w="0"/>
        <w:tblLayout w:type="fixed"/>
        <w:tblLook w:firstColumn="1" w:firstRow="1" w:lastColumn="0" w:lastRow="0" w:noHBand="0" w:noVBand="1" w:val="04A0"/>
        <w:tblInd w:w="568.0" w:type="dxa"/>
      </w:tblPr>
      <w:tblGrid>
        <w:gridCol w:w="9020"/>
      </w:tblGrid>
      <w:tr>
        <w:trPr>
          <w:trHeight w:hRule="exact" w:val="630"/>
        </w:trPr>
        <w:tc>
          <w:tcPr>
            <w:tcW w:type="dxa" w:w="11054"/>
            <w:tcBorders>
              <w:bottom w:sz="12.0" w:val="single" w:color="#AAAAAA"/>
            </w:tcBorders>
            <w:tcMar>
              <w:start w:w="0" w:type="dxa"/>
              <w:end w:w="0" w:type="dxa"/>
            </w:tcMar>
          </w:tcPr>
          <w:p>
            <w:pPr>
              <w:autoSpaceDN w:val="0"/>
              <w:autoSpaceDE w:val="0"/>
              <w:widowControl/>
              <w:spacing w:line="270" w:lineRule="exact" w:before="34" w:after="0"/>
              <w:ind w:left="0" w:right="7488" w:firstLine="0"/>
              <w:jc w:val="left"/>
            </w:pPr>
            <w:r>
              <w:rPr>
                <w:rFonts w:ascii="OpenSans" w:hAnsi="OpenSans" w:eastAsia="OpenSans"/>
                <w:b w:val="0"/>
                <w:i w:val="0"/>
                <w:color w:val="575757"/>
                <w:sz w:val="18"/>
              </w:rPr>
              <w:t xml:space="preserve">2025 </w:t>
            </w:r>
            <w:r>
              <w:br/>
            </w:r>
            <w:r>
              <w:rPr>
                <w:rFonts w:ascii="OpenSans" w:hAnsi="OpenSans" w:eastAsia="OpenSans"/>
                <w:b/>
                <w:i w:val="0"/>
                <w:color w:val="404040"/>
                <w:sz w:val="22"/>
              </w:rPr>
              <w:t xml:space="preserve">Literature Intelligence Platform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1004"/>
        </w:trPr>
        <w:tc>
          <w:tcPr>
            <w:tcW w:type="dxa" w:w="11054"/>
            <w:tcBorders>
              <w:top w:sz="12.0" w:val="single" w:color="#555555"/>
            </w:tcBorders>
            <w:tcMar>
              <w:start w:w="0" w:type="dxa"/>
              <w:end w:w="0" w:type="dxa"/>
            </w:tcMar>
          </w:tcPr>
          <w:p>
            <w:pPr>
              <w:autoSpaceDN w:val="0"/>
              <w:autoSpaceDE w:val="0"/>
              <w:widowControl/>
              <w:spacing w:line="240" w:lineRule="exact" w:before="208" w:after="0"/>
              <w:ind w:left="458" w:right="2448" w:firstLine="0"/>
              <w:jc w:val="left"/>
            </w:pPr>
            <w:r>
              <w:rPr>
                <w:rFonts w:ascii="OpenSans" w:hAnsi="OpenSans" w:eastAsia="OpenSans"/>
                <w:b w:val="0"/>
                <w:i w:val="0"/>
                <w:color w:val="000000"/>
                <w:sz w:val="20"/>
              </w:rPr>
              <w:t>• Automated analysis of 1000+ medical publications for pharmacovigilance applications</w:t>
            </w:r>
            <w:r>
              <w:rPr>
                <w:rFonts w:ascii="OpenSans" w:hAnsi="OpenSans" w:eastAsia="OpenSans"/>
                <w:b w:val="0"/>
                <w:i w:val="0"/>
                <w:color w:val="000000"/>
                <w:sz w:val="20"/>
              </w:rPr>
              <w:t>• Achieved 60% precision in safety report detection, saving in manual review costs</w:t>
            </w:r>
            <w:r>
              <w:rPr>
                <w:rFonts w:ascii="OpenSans" w:hAnsi="OpenSans" w:eastAsia="OpenSans"/>
                <w:b w:val="0"/>
                <w:i w:val="0"/>
                <w:color w:val="000000"/>
                <w:sz w:val="20"/>
              </w:rPr>
              <w:t>• Demonstrated clear business value proposition for pharmaceutical safety operations</w:t>
            </w:r>
          </w:p>
        </w:tc>
      </w:tr>
    </w:tbl>
    <w:p>
      <w:pPr>
        <w:autoSpaceDN w:val="0"/>
        <w:autoSpaceDE w:val="0"/>
        <w:widowControl/>
        <w:spacing w:line="48"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630"/>
        </w:trPr>
        <w:tc>
          <w:tcPr>
            <w:tcW w:type="dxa" w:w="11054"/>
            <w:tcBorders>
              <w:bottom w:sz="12.0" w:val="single" w:color="#AAAAAA"/>
            </w:tcBorders>
            <w:tcMar>
              <w:start w:w="0" w:type="dxa"/>
              <w:end w:w="0" w:type="dxa"/>
            </w:tcMar>
          </w:tcPr>
          <w:p>
            <w:pPr>
              <w:autoSpaceDN w:val="0"/>
              <w:autoSpaceDE w:val="0"/>
              <w:widowControl/>
              <w:spacing w:line="270" w:lineRule="exact" w:before="34" w:after="0"/>
              <w:ind w:left="0" w:right="7056" w:firstLine="0"/>
              <w:jc w:val="left"/>
            </w:pPr>
            <w:r>
              <w:rPr>
                <w:rFonts w:ascii="OpenSans" w:hAnsi="OpenSans" w:eastAsia="OpenSans"/>
                <w:b w:val="0"/>
                <w:i w:val="0"/>
                <w:color w:val="575757"/>
                <w:sz w:val="18"/>
              </w:rPr>
              <w:t xml:space="preserve">2024 </w:t>
            </w:r>
            <w:r>
              <w:br/>
            </w:r>
            <w:r>
              <w:rPr>
                <w:rFonts w:ascii="OpenSans" w:hAnsi="OpenSans" w:eastAsia="OpenSans"/>
                <w:b/>
                <w:i w:val="0"/>
                <w:color w:val="404040"/>
                <w:sz w:val="22"/>
              </w:rPr>
              <w:t xml:space="preserve">GenAI Medical Monitoring Assistant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1002"/>
        </w:trPr>
        <w:tc>
          <w:tcPr>
            <w:tcW w:type="dxa" w:w="11054"/>
            <w:tcBorders>
              <w:top w:sz="12.0" w:val="single" w:color="#555555"/>
            </w:tcBorders>
            <w:tcMar>
              <w:start w:w="0" w:type="dxa"/>
              <w:end w:w="0" w:type="dxa"/>
            </w:tcMar>
          </w:tcPr>
          <w:p>
            <w:pPr>
              <w:autoSpaceDN w:val="0"/>
              <w:autoSpaceDE w:val="0"/>
              <w:widowControl/>
              <w:spacing w:line="238" w:lineRule="exact" w:before="212" w:after="0"/>
              <w:ind w:left="458" w:right="1152" w:firstLine="0"/>
              <w:jc w:val="left"/>
            </w:pPr>
            <w:r>
              <w:rPr>
                <w:rFonts w:ascii="OpenSans" w:hAnsi="OpenSans" w:eastAsia="OpenSans"/>
                <w:b w:val="0"/>
                <w:i w:val="0"/>
                <w:color w:val="000000"/>
                <w:sz w:val="20"/>
              </w:rPr>
              <w:t>• Production system supporting clinical trials with measurable efficiency gains in safety monitoring</w:t>
            </w:r>
            <w:r>
              <w:rPr>
                <w:rFonts w:ascii="OpenSans" w:hAnsi="OpenSans" w:eastAsia="OpenSans"/>
                <w:b w:val="0"/>
                <w:i w:val="0"/>
                <w:color w:val="000000"/>
                <w:sz w:val="20"/>
              </w:rPr>
              <w:t>• Reduced safety signal detection time by 35%, directly impacting trial timelines and operational costs</w:t>
            </w:r>
            <w:r>
              <w:rPr>
                <w:rFonts w:ascii="OpenSans" w:hAnsi="OpenSans" w:eastAsia="OpenSans"/>
                <w:b w:val="0"/>
                <w:i w:val="0"/>
                <w:color w:val="000000"/>
                <w:sz w:val="20"/>
              </w:rPr>
              <w:t>• API-based architecture enabling scalability across multiple functions</w:t>
            </w:r>
          </w:p>
        </w:tc>
      </w:tr>
    </w:tbl>
    <w:p>
      <w:pPr>
        <w:autoSpaceDN w:val="0"/>
        <w:autoSpaceDE w:val="0"/>
        <w:widowControl/>
        <w:spacing w:line="298" w:lineRule="exact" w:before="64" w:after="198"/>
        <w:ind w:left="566" w:right="0" w:firstLine="0"/>
        <w:jc w:val="left"/>
      </w:pPr>
      <w:r>
        <w:rPr>
          <w:rFonts w:ascii="OpenSans" w:hAnsi="OpenSans" w:eastAsia="OpenSans"/>
          <w:b/>
          <w:i w:val="0"/>
          <w:color w:val="000000"/>
          <w:sz w:val="22"/>
        </w:rPr>
        <w:t xml:space="preserve">CONFERENCES AND SEMINARS </w:t>
      </w:r>
    </w:p>
    <w:tbl>
      <w:tblPr>
        <w:tblW w:type="auto" w:w="0"/>
        <w:tblLayout w:type="fixed"/>
        <w:tblLook w:firstColumn="1" w:firstRow="1" w:lastColumn="0" w:lastRow="0" w:noHBand="0" w:noVBand="1" w:val="04A0"/>
        <w:tblInd w:w="568.0" w:type="dxa"/>
      </w:tblPr>
      <w:tblGrid>
        <w:gridCol w:w="9020"/>
      </w:tblGrid>
      <w:tr>
        <w:trPr>
          <w:trHeight w:hRule="exact" w:val="628"/>
        </w:trPr>
        <w:tc>
          <w:tcPr>
            <w:tcW w:type="dxa" w:w="11054"/>
            <w:tcBorders>
              <w:bottom w:sz="12.0" w:val="single" w:color="#AAAAAA"/>
            </w:tcBorders>
            <w:tcMar>
              <w:start w:w="0" w:type="dxa"/>
              <w:end w:w="0" w:type="dxa"/>
            </w:tcMar>
          </w:tcPr>
          <w:p>
            <w:pPr>
              <w:autoSpaceDN w:val="0"/>
              <w:autoSpaceDE w:val="0"/>
              <w:widowControl/>
              <w:spacing w:line="272" w:lineRule="exact" w:before="32" w:after="0"/>
              <w:ind w:left="0" w:right="7056" w:firstLine="0"/>
              <w:jc w:val="left"/>
            </w:pPr>
            <w:r>
              <w:rPr>
                <w:rFonts w:ascii="OpenSans" w:hAnsi="OpenSans" w:eastAsia="OpenSans"/>
                <w:b w:val="0"/>
                <w:i w:val="0"/>
                <w:color w:val="575757"/>
                <w:sz w:val="18"/>
              </w:rPr>
              <w:t xml:space="preserve">31/05/2025 – 04/06/2025 San Diego, California </w:t>
            </w:r>
            <w:r>
              <w:br/>
            </w:r>
            <w:r>
              <w:rPr>
                <w:rFonts w:ascii="OpenSans" w:hAnsi="OpenSans" w:eastAsia="OpenSans"/>
                <w:b/>
                <w:i w:val="0"/>
                <w:color w:val="404040"/>
                <w:sz w:val="22"/>
              </w:rPr>
              <w:t xml:space="preserve">PharmaSUG 2025 U.S.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766"/>
        </w:trPr>
        <w:tc>
          <w:tcPr>
            <w:tcW w:type="dxa" w:w="11054"/>
            <w:tcBorders>
              <w:top w:sz="12.0" w:val="single" w:color="#555555"/>
            </w:tcBorders>
            <w:tcMar>
              <w:start w:w="0" w:type="dxa"/>
              <w:end w:w="0" w:type="dxa"/>
            </w:tcMar>
          </w:tcPr>
          <w:p>
            <w:pPr>
              <w:autoSpaceDN w:val="0"/>
              <w:autoSpaceDE w:val="0"/>
              <w:widowControl/>
              <w:spacing w:line="240" w:lineRule="exact" w:before="212" w:after="0"/>
              <w:ind w:left="0" w:right="0" w:firstLine="0"/>
              <w:jc w:val="left"/>
            </w:pPr>
            <w:r>
              <w:rPr>
                <w:rFonts w:ascii="OpenSans" w:hAnsi="OpenSans" w:eastAsia="OpenSans"/>
                <w:b w:val="0"/>
                <w:i w:val="0"/>
                <w:color w:val="000000"/>
                <w:sz w:val="20"/>
              </w:rPr>
              <w:t xml:space="preserve">"Leveraging Generative AI for signal detection, safety reviews, and evidence gathering in Medical Literature" - explored </w:t>
            </w:r>
            <w:r>
              <w:rPr>
                <w:rFonts w:ascii="OpenSans" w:hAnsi="OpenSans" w:eastAsia="OpenSans"/>
                <w:b w:val="0"/>
                <w:i w:val="0"/>
                <w:color w:val="000000"/>
                <w:sz w:val="20"/>
              </w:rPr>
              <w:t>business and operational implications of AI in pharmacovigilance workflows</w:t>
            </w:r>
          </w:p>
        </w:tc>
      </w:tr>
    </w:tbl>
    <w:p>
      <w:pPr>
        <w:autoSpaceDN w:val="0"/>
        <w:autoSpaceDE w:val="0"/>
        <w:widowControl/>
        <w:spacing w:line="244" w:lineRule="exact" w:before="74" w:after="198"/>
        <w:ind w:left="566" w:right="0" w:firstLine="0"/>
        <w:jc w:val="left"/>
      </w:pPr>
      <w:r>
        <w:rPr>
          <w:rFonts w:ascii="OpenSans" w:hAnsi="OpenSans" w:eastAsia="OpenSans"/>
          <w:b/>
          <w:i w:val="0"/>
          <w:color w:val="000000"/>
          <w:sz w:val="18"/>
        </w:rPr>
        <w:t>Link</w:t>
      </w:r>
      <w:r>
        <w:rPr>
          <w:u w:val="single" w:color="004493"/>
          <w:rFonts w:ascii="OpenSans" w:hAnsi="OpenSans" w:eastAsia="OpenSans"/>
          <w:b w:val="0"/>
          <w:i w:val="0"/>
          <w:color w:val="004494"/>
          <w:sz w:val="18"/>
        </w:rPr>
        <w:hyperlink r:id="rId13" w:history="1">
          <w:r>
            <w:rPr>
              <w:rStyle w:val="Hyperlink"/>
            </w:rPr>
            <w:t>https://pharmasug.org/proceedings/2025/AI/PharmaSUG-2025-AI-331.pdf</w:t>
          </w:r>
        </w:hyperlink>
      </w:r>
    </w:p>
    <w:tbl>
      <w:tblPr>
        <w:tblW w:type="auto" w:w="0"/>
        <w:tblLayout w:type="fixed"/>
        <w:tblLook w:firstColumn="1" w:firstRow="1" w:lastColumn="0" w:lastRow="0" w:noHBand="0" w:noVBand="1" w:val="04A0"/>
        <w:tblInd w:w="568.0" w:type="dxa"/>
      </w:tblPr>
      <w:tblGrid>
        <w:gridCol w:w="9020"/>
      </w:tblGrid>
      <w:tr>
        <w:trPr>
          <w:trHeight w:hRule="exact" w:val="628"/>
        </w:trPr>
        <w:tc>
          <w:tcPr>
            <w:tcW w:type="dxa" w:w="11054"/>
            <w:tcBorders>
              <w:bottom w:sz="12.0" w:val="single" w:color="#AAAAAA"/>
            </w:tcBorders>
            <w:tcMar>
              <w:start w:w="0" w:type="dxa"/>
              <w:end w:w="0" w:type="dxa"/>
            </w:tcMar>
          </w:tcPr>
          <w:p>
            <w:pPr>
              <w:autoSpaceDN w:val="0"/>
              <w:autoSpaceDE w:val="0"/>
              <w:widowControl/>
              <w:spacing w:line="270" w:lineRule="exact" w:before="34" w:after="0"/>
              <w:ind w:left="0" w:right="7632" w:firstLine="0"/>
              <w:jc w:val="left"/>
            </w:pPr>
            <w:r>
              <w:rPr>
                <w:rFonts w:ascii="OpenSans" w:hAnsi="OpenSans" w:eastAsia="OpenSans"/>
                <w:b w:val="0"/>
                <w:i w:val="0"/>
                <w:color w:val="575757"/>
                <w:sz w:val="18"/>
              </w:rPr>
              <w:t xml:space="preserve">19/05/2024 – 22/05/2024 Baltimore, MD </w:t>
            </w:r>
            <w:r>
              <w:br/>
            </w:r>
            <w:r>
              <w:rPr>
                <w:rFonts w:ascii="OpenSans" w:hAnsi="OpenSans" w:eastAsia="OpenSans"/>
                <w:b/>
                <w:i w:val="0"/>
                <w:color w:val="404040"/>
                <w:sz w:val="22"/>
              </w:rPr>
              <w:t xml:space="preserve">PharmaSUG 2024 U.S.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764"/>
        </w:trPr>
        <w:tc>
          <w:tcPr>
            <w:tcW w:type="dxa" w:w="11054"/>
            <w:tcBorders>
              <w:top w:sz="12.0" w:val="single" w:color="#555555"/>
            </w:tcBorders>
            <w:tcMar>
              <w:start w:w="0" w:type="dxa"/>
              <w:end w:w="0" w:type="dxa"/>
            </w:tcMar>
          </w:tcPr>
          <w:p>
            <w:pPr>
              <w:autoSpaceDN w:val="0"/>
              <w:autoSpaceDE w:val="0"/>
              <w:widowControl/>
              <w:spacing w:line="238" w:lineRule="exact" w:before="212" w:after="0"/>
              <w:ind w:left="0" w:right="432" w:firstLine="0"/>
              <w:jc w:val="left"/>
            </w:pPr>
            <w:r>
              <w:rPr>
                <w:rFonts w:ascii="OpenSans" w:hAnsi="OpenSans" w:eastAsia="OpenSans"/>
                <w:b w:val="0"/>
                <w:i w:val="0"/>
                <w:color w:val="000000"/>
                <w:sz w:val="20"/>
              </w:rPr>
              <w:t xml:space="preserve">"LLM-Powered Regulatory Intelligence Platforms" - discussed technology convergence and its impact on regulatory </w:t>
            </w:r>
            <w:r>
              <w:rPr>
                <w:rFonts w:ascii="OpenSans" w:hAnsi="OpenSans" w:eastAsia="OpenSans"/>
                <w:b w:val="0"/>
                <w:i w:val="0"/>
                <w:color w:val="000000"/>
                <w:sz w:val="20"/>
              </w:rPr>
              <w:t>business processes.</w:t>
            </w:r>
          </w:p>
        </w:tc>
      </w:tr>
    </w:tbl>
    <w:p>
      <w:pPr>
        <w:autoSpaceDN w:val="0"/>
        <w:autoSpaceDE w:val="0"/>
        <w:widowControl/>
        <w:spacing w:line="244" w:lineRule="exact" w:before="72" w:after="0"/>
        <w:ind w:left="566" w:right="0" w:firstLine="0"/>
        <w:jc w:val="left"/>
      </w:pPr>
      <w:r>
        <w:rPr>
          <w:rFonts w:ascii="OpenSans" w:hAnsi="OpenSans" w:eastAsia="OpenSans"/>
          <w:b/>
          <w:i w:val="0"/>
          <w:color w:val="000000"/>
          <w:sz w:val="18"/>
        </w:rPr>
        <w:t>Link</w:t>
      </w:r>
      <w:r>
        <w:rPr>
          <w:u w:val="single" w:color="004493"/>
          <w:rFonts w:ascii="OpenSans" w:hAnsi="OpenSans" w:eastAsia="OpenSans"/>
          <w:b w:val="0"/>
          <w:i w:val="0"/>
          <w:color w:val="004494"/>
          <w:sz w:val="18"/>
        </w:rPr>
        <w:hyperlink r:id="rId14" w:history="1">
          <w:r>
            <w:rPr>
              <w:rStyle w:val="Hyperlink"/>
            </w:rPr>
            <w:t>https://pharmasug.org/proceedings/2024/SD/PharmaSUG-2024-SD-397.pdf</w:t>
          </w:r>
        </w:hyperlink>
      </w:r>
    </w:p>
    <w:p>
      <w:pPr>
        <w:autoSpaceDN w:val="0"/>
        <w:autoSpaceDE w:val="0"/>
        <w:widowControl/>
        <w:spacing w:line="300" w:lineRule="exact" w:before="212" w:after="178"/>
        <w:ind w:left="566" w:right="0" w:firstLine="0"/>
        <w:jc w:val="left"/>
      </w:pPr>
      <w:r>
        <w:rPr>
          <w:rFonts w:ascii="OpenSans" w:hAnsi="OpenSans" w:eastAsia="OpenSans"/>
          <w:b/>
          <w:i w:val="0"/>
          <w:color w:val="000000"/>
          <w:sz w:val="22"/>
        </w:rPr>
        <w:t xml:space="preserve">PUBLICATIONS </w:t>
      </w:r>
    </w:p>
    <w:tbl>
      <w:tblPr>
        <w:tblW w:type="auto" w:w="0"/>
        <w:tblLayout w:type="fixed"/>
        <w:tblLook w:firstColumn="1" w:firstRow="1" w:lastColumn="0" w:lastRow="0" w:noHBand="0" w:noVBand="1" w:val="04A0"/>
        <w:tblInd w:w="568.0" w:type="dxa"/>
      </w:tblPr>
      <w:tblGrid>
        <w:gridCol w:w="9020"/>
      </w:tblGrid>
      <w:tr>
        <w:trPr>
          <w:trHeight w:hRule="exact" w:val="624"/>
        </w:trPr>
        <w:tc>
          <w:tcPr>
            <w:tcW w:type="dxa" w:w="11054"/>
            <w:tcBorders>
              <w:bottom w:sz="12.0" w:val="single" w:color="#AAAAAA"/>
            </w:tcBorders>
            <w:tcMar>
              <w:start w:w="0" w:type="dxa"/>
              <w:end w:w="0" w:type="dxa"/>
            </w:tcMar>
          </w:tcPr>
          <w:p>
            <w:pPr>
              <w:autoSpaceDN w:val="0"/>
              <w:autoSpaceDE w:val="0"/>
              <w:widowControl/>
              <w:spacing w:line="266" w:lineRule="exact" w:before="38" w:after="0"/>
              <w:ind w:left="0" w:right="4320" w:firstLine="0"/>
              <w:jc w:val="left"/>
            </w:pPr>
            <w:r>
              <w:rPr>
                <w:rFonts w:ascii="OpenSans" w:hAnsi="OpenSans" w:eastAsia="OpenSans"/>
                <w:b w:val="0"/>
                <w:i w:val="0"/>
                <w:color w:val="575757"/>
                <w:sz w:val="18"/>
              </w:rPr>
              <w:t xml:space="preserve">2022 </w:t>
            </w:r>
            <w:r>
              <w:br/>
            </w:r>
            <w:r>
              <w:rPr>
                <w:rFonts w:ascii="OpenSans" w:hAnsi="OpenSans" w:eastAsia="OpenSans"/>
                <w:b/>
                <w:i w:val="0"/>
                <w:color w:val="004494"/>
                <w:sz w:val="22"/>
              </w:rPr>
              <w:t>The Future of Regulatory Intelligence With Conversational AI</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764"/>
        </w:trPr>
        <w:tc>
          <w:tcPr>
            <w:tcW w:type="dxa" w:w="11054"/>
            <w:tcBorders>
              <w:top w:sz="12.0" w:val="single" w:color="#555555"/>
            </w:tcBorders>
            <w:tcMar>
              <w:start w:w="0" w:type="dxa"/>
              <w:end w:w="0" w:type="dxa"/>
            </w:tcMar>
          </w:tcPr>
          <w:p>
            <w:pPr>
              <w:autoSpaceDN w:val="0"/>
              <w:autoSpaceDE w:val="0"/>
              <w:widowControl/>
              <w:spacing w:line="238" w:lineRule="exact" w:before="212" w:after="0"/>
              <w:ind w:left="0" w:right="288" w:firstLine="0"/>
              <w:jc w:val="center"/>
            </w:pPr>
            <w:r>
              <w:rPr>
                <w:rFonts w:ascii="OpenSans" w:hAnsi="OpenSans" w:eastAsia="OpenSans"/>
                <w:b w:val="0"/>
                <w:i w:val="0"/>
                <w:color w:val="000000"/>
                <w:sz w:val="20"/>
              </w:rPr>
              <w:t xml:space="preserve">The articles discussed how the regulatory chatbot efficiently bridges the gap between users and vast regulatory data </w:t>
            </w:r>
            <w:r>
              <w:rPr>
                <w:rFonts w:ascii="OpenSans" w:hAnsi="OpenSans" w:eastAsia="OpenSans"/>
                <w:b w:val="0"/>
                <w:i w:val="0"/>
                <w:color w:val="000000"/>
                <w:sz w:val="20"/>
              </w:rPr>
              <w:t>worldwide, offering user-friendly and easy-to-understand responses, increasing usability in the life sciences domain.</w:t>
            </w:r>
          </w:p>
        </w:tc>
      </w:tr>
    </w:tbl>
    <w:p>
      <w:pPr>
        <w:autoSpaceDN w:val="0"/>
        <w:autoSpaceDE w:val="0"/>
        <w:widowControl/>
        <w:spacing w:line="224"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624"/>
        </w:trPr>
        <w:tc>
          <w:tcPr>
            <w:tcW w:type="dxa" w:w="11054"/>
            <w:tcBorders>
              <w:bottom w:sz="12.0" w:val="single" w:color="#AAAAAA"/>
            </w:tcBorders>
            <w:tcMar>
              <w:start w:w="0" w:type="dxa"/>
              <w:end w:w="0" w:type="dxa"/>
            </w:tcMar>
          </w:tcPr>
          <w:p>
            <w:pPr>
              <w:autoSpaceDN w:val="0"/>
              <w:autoSpaceDE w:val="0"/>
              <w:widowControl/>
              <w:spacing w:line="268" w:lineRule="exact" w:before="36" w:after="0"/>
              <w:ind w:left="0" w:right="3600" w:firstLine="0"/>
              <w:jc w:val="left"/>
            </w:pPr>
            <w:r>
              <w:rPr>
                <w:rFonts w:ascii="OpenSans" w:hAnsi="OpenSans" w:eastAsia="OpenSans"/>
                <w:b w:val="0"/>
                <w:i w:val="0"/>
                <w:color w:val="575757"/>
                <w:sz w:val="18"/>
              </w:rPr>
              <w:t xml:space="preserve">2022 </w:t>
            </w:r>
            <w:r>
              <w:br/>
            </w:r>
            <w:r>
              <w:rPr>
                <w:rFonts w:ascii="OpenSans" w:hAnsi="OpenSans" w:eastAsia="OpenSans"/>
                <w:b/>
                <w:i w:val="0"/>
                <w:color w:val="004494"/>
                <w:sz w:val="22"/>
              </w:rPr>
              <w:t>AI/ML Approaches to Assisted Medical Writing—Part 1 - Jun 21, 2022</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526"/>
        </w:trPr>
        <w:tc>
          <w:tcPr>
            <w:tcW w:type="dxa" w:w="11054"/>
            <w:tcBorders>
              <w:top w:sz="12.0" w:val="single" w:color="#555555"/>
            </w:tcBorders>
            <w:tcMar>
              <w:start w:w="0" w:type="dxa"/>
              <w:end w:w="0" w:type="dxa"/>
            </w:tcMar>
          </w:tcPr>
          <w:p>
            <w:pPr>
              <w:autoSpaceDN w:val="0"/>
              <w:autoSpaceDE w:val="0"/>
              <w:widowControl/>
              <w:spacing w:line="270" w:lineRule="exact" w:before="180" w:after="0"/>
              <w:ind w:left="0" w:right="0" w:firstLine="0"/>
              <w:jc w:val="left"/>
            </w:pPr>
            <w:r>
              <w:rPr>
                <w:rFonts w:ascii="OpenSans" w:hAnsi="OpenSans" w:eastAsia="OpenSans"/>
                <w:b w:val="0"/>
                <w:i w:val="0"/>
                <w:color w:val="000000"/>
                <w:sz w:val="20"/>
              </w:rPr>
              <w:t>Explored the approach of Abstractive and extractive summarization for medical writing.</w:t>
            </w:r>
          </w:p>
        </w:tc>
      </w:tr>
    </w:tbl>
    <w:p>
      <w:pPr>
        <w:autoSpaceDN w:val="0"/>
        <w:autoSpaceDE w:val="0"/>
        <w:widowControl/>
        <w:spacing w:line="224"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624"/>
        </w:trPr>
        <w:tc>
          <w:tcPr>
            <w:tcW w:type="dxa" w:w="11054"/>
            <w:tcBorders>
              <w:bottom w:sz="12.0" w:val="single" w:color="#AAAAAA"/>
            </w:tcBorders>
            <w:tcMar>
              <w:start w:w="0" w:type="dxa"/>
              <w:end w:w="0" w:type="dxa"/>
            </w:tcMar>
          </w:tcPr>
          <w:p>
            <w:pPr>
              <w:autoSpaceDN w:val="0"/>
              <w:autoSpaceDE w:val="0"/>
              <w:widowControl/>
              <w:spacing w:line="268" w:lineRule="exact" w:before="36" w:after="0"/>
              <w:ind w:left="0" w:right="5040" w:firstLine="0"/>
              <w:jc w:val="left"/>
            </w:pPr>
            <w:r>
              <w:rPr>
                <w:rFonts w:ascii="OpenSans" w:hAnsi="OpenSans" w:eastAsia="OpenSans"/>
                <w:b w:val="0"/>
                <w:i w:val="0"/>
                <w:color w:val="575757"/>
                <w:sz w:val="18"/>
              </w:rPr>
              <w:t xml:space="preserve">2022 </w:t>
            </w:r>
            <w:r>
              <w:br/>
            </w:r>
            <w:r>
              <w:rPr>
                <w:rFonts w:ascii="OpenSans" w:hAnsi="OpenSans" w:eastAsia="OpenSans"/>
                <w:b/>
                <w:i w:val="0"/>
                <w:color w:val="004494"/>
                <w:sz w:val="22"/>
              </w:rPr>
              <w:t xml:space="preserve">AI/ML Approaches to Assisted Medical Writing—Part 2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526"/>
        </w:trPr>
        <w:tc>
          <w:tcPr>
            <w:tcW w:type="dxa" w:w="11054"/>
            <w:tcBorders>
              <w:top w:sz="12.0" w:val="single" w:color="#555555"/>
            </w:tcBorders>
            <w:tcMar>
              <w:start w:w="0" w:type="dxa"/>
              <w:end w:w="0" w:type="dxa"/>
            </w:tcMar>
          </w:tcPr>
          <w:p>
            <w:pPr>
              <w:autoSpaceDN w:val="0"/>
              <w:autoSpaceDE w:val="0"/>
              <w:widowControl/>
              <w:spacing w:line="270" w:lineRule="exact" w:before="182" w:after="0"/>
              <w:ind w:left="0" w:right="0" w:firstLine="0"/>
              <w:jc w:val="left"/>
            </w:pPr>
            <w:r>
              <w:rPr>
                <w:rFonts w:ascii="OpenSans" w:hAnsi="OpenSans" w:eastAsia="OpenSans"/>
                <w:b w:val="0"/>
                <w:i w:val="0"/>
                <w:color w:val="000000"/>
                <w:sz w:val="20"/>
              </w:rPr>
              <w:t>Discusses the method of pure abstraction in light of recent advances in deep learning and AI.</w:t>
            </w:r>
          </w:p>
        </w:tc>
      </w:tr>
    </w:tbl>
    <w:p>
      <w:pPr>
        <w:autoSpaceDN w:val="0"/>
        <w:autoSpaceDE w:val="0"/>
        <w:widowControl/>
        <w:spacing w:line="224"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624"/>
        </w:trPr>
        <w:tc>
          <w:tcPr>
            <w:tcW w:type="dxa" w:w="11054"/>
            <w:tcBorders>
              <w:bottom w:sz="12.0" w:val="single" w:color="#AAAAAA"/>
            </w:tcBorders>
            <w:tcMar>
              <w:start w:w="0" w:type="dxa"/>
              <w:end w:w="0" w:type="dxa"/>
            </w:tcMar>
          </w:tcPr>
          <w:p>
            <w:pPr>
              <w:autoSpaceDN w:val="0"/>
              <w:autoSpaceDE w:val="0"/>
              <w:widowControl/>
              <w:spacing w:line="268" w:lineRule="exact" w:before="36" w:after="0"/>
              <w:ind w:left="0" w:right="1584" w:firstLine="0"/>
              <w:jc w:val="left"/>
            </w:pPr>
            <w:r>
              <w:rPr>
                <w:rFonts w:ascii="OpenSans" w:hAnsi="OpenSans" w:eastAsia="OpenSans"/>
                <w:b w:val="0"/>
                <w:i w:val="0"/>
                <w:color w:val="575757"/>
                <w:sz w:val="18"/>
              </w:rPr>
              <w:t xml:space="preserve">2021 </w:t>
            </w:r>
            <w:r>
              <w:br/>
            </w:r>
            <w:r>
              <w:rPr>
                <w:rFonts w:ascii="OpenSans" w:hAnsi="OpenSans" w:eastAsia="OpenSans"/>
                <w:b/>
                <w:i w:val="0"/>
                <w:color w:val="004494"/>
                <w:sz w:val="22"/>
              </w:rPr>
              <w:t>Future of Clinical Trial Documentation Management: eTMF Integrated with Blockchain</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1620"/>
        </w:trPr>
        <w:tc>
          <w:tcPr>
            <w:tcW w:type="dxa" w:w="11054"/>
            <w:tcBorders>
              <w:top w:sz="12.0" w:val="single" w:color="#555555"/>
            </w:tcBorders>
            <w:shd w:fill="979797"/>
            <w:tcMar>
              <w:start w:w="0" w:type="dxa"/>
              <w:end w:w="0" w:type="dxa"/>
            </w:tcMar>
          </w:tcPr>
          <w:p>
            <w:pPr>
              <w:autoSpaceDN w:val="0"/>
              <w:autoSpaceDE w:val="0"/>
              <w:widowControl/>
              <w:spacing w:line="270" w:lineRule="exact" w:before="180" w:after="0"/>
              <w:ind w:left="0" w:right="0" w:firstLine="0"/>
              <w:jc w:val="left"/>
            </w:pPr>
            <w:r>
              <w:rPr>
                <w:rFonts w:ascii="OpenSans" w:hAnsi="OpenSans" w:eastAsia="OpenSans"/>
                <w:b w:val="0"/>
                <w:i w:val="0"/>
                <w:color w:val="000000"/>
                <w:sz w:val="20"/>
              </w:rPr>
              <w:t>The article discusses how use of blockchain will help in the digitization of eTMF.</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0" w:h="16820"/>
          <w:pgMar w:top="0" w:right="0" w:bottom="0" w:left="0" w:header="720" w:footer="720" w:gutter="0"/>
          <w:cols/>
          <w:docGrid w:linePitch="360"/>
        </w:sectPr>
      </w:pPr>
    </w:p>
    <w:p>
      <w:pPr>
        <w:autoSpaceDN w:val="0"/>
        <w:autoSpaceDE w:val="0"/>
        <w:widowControl/>
        <w:spacing w:line="298" w:lineRule="exact" w:before="244" w:after="198"/>
        <w:ind w:left="566" w:right="0" w:firstLine="0"/>
        <w:jc w:val="left"/>
      </w:pPr>
      <w:r>
        <w:rPr>
          <w:shd w:val="clear" w:color="auto" w:fill="000000"/>
          <w:rFonts w:ascii="OpenSans" w:hAnsi="OpenSans" w:eastAsia="OpenSans"/>
          <w:b/>
          <w:i w:val="0"/>
          <w:color w:val="000000"/>
          <w:sz w:val="22"/>
        </w:rPr>
        <w:t>EDUCATION AND TRAINING</w:t>
      </w:r>
    </w:p>
    <w:tbl>
      <w:tblPr>
        <w:tblW w:type="auto" w:w="0"/>
        <w:tblLayout w:type="fixed"/>
        <w:tblLook w:firstColumn="1" w:firstRow="1" w:lastColumn="0" w:lastRow="0" w:noHBand="0" w:noVBand="1" w:val="04A0"/>
        <w:tblInd w:w="568.0" w:type="dxa"/>
      </w:tblPr>
      <w:tblGrid>
        <w:gridCol w:w="9020"/>
      </w:tblGrid>
      <w:tr>
        <w:trPr>
          <w:trHeight w:hRule="exact" w:val="630"/>
        </w:trPr>
        <w:tc>
          <w:tcPr>
            <w:tcW w:type="dxa" w:w="11054"/>
            <w:tcBorders>
              <w:bottom w:sz="12.0" w:val="single" w:color="#AAAAAA"/>
            </w:tcBorders>
            <w:tcMar>
              <w:start w:w="0" w:type="dxa"/>
              <w:end w:w="0" w:type="dxa"/>
            </w:tcMar>
          </w:tcPr>
          <w:p>
            <w:pPr>
              <w:autoSpaceDN w:val="0"/>
              <w:autoSpaceDE w:val="0"/>
              <w:widowControl/>
              <w:spacing w:line="270" w:lineRule="exact" w:before="34" w:after="0"/>
              <w:ind w:left="0" w:right="576" w:firstLine="0"/>
              <w:jc w:val="left"/>
            </w:pPr>
            <w:r>
              <w:rPr>
                <w:rFonts w:ascii="OpenSans" w:hAnsi="OpenSans" w:eastAsia="OpenSans"/>
                <w:b w:val="0"/>
                <w:i w:val="0"/>
                <w:color w:val="575757"/>
                <w:sz w:val="18"/>
              </w:rPr>
              <w:t xml:space="preserve">01/07/2014 – 29/05/2018 Sangli, India </w:t>
            </w:r>
            <w:r>
              <w:br/>
            </w:r>
            <w:r>
              <w:rPr>
                <w:rFonts w:ascii="OpenSans" w:hAnsi="OpenSans" w:eastAsia="OpenSans"/>
                <w:b/>
                <w:i w:val="0"/>
                <w:color w:val="404040"/>
                <w:sz w:val="22"/>
              </w:rPr>
              <w:t xml:space="preserve">BACHELOR OF TECHNOLOGY </w:t>
            </w:r>
            <w:r>
              <w:rPr>
                <w:rFonts w:ascii="OpenSans" w:hAnsi="OpenSans" w:eastAsia="OpenSans"/>
                <w:b w:val="0"/>
                <w:i w:val="0"/>
                <w:color w:val="404040"/>
                <w:sz w:val="22"/>
              </w:rPr>
              <w:t xml:space="preserve">Rajarambapu Institute of Technology, Rajaramnagar (Shivaji University)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814"/>
        </w:trPr>
        <w:tc>
          <w:tcPr>
            <w:tcW w:type="dxa" w:w="11054"/>
            <w:tcBorders>
              <w:top w:sz="12.0" w:val="single" w:color="#555555"/>
              <w:bottom w:sz="12.0" w:val="single" w:color="#AAAAAA"/>
            </w:tcBorders>
            <w:tcMar>
              <w:start w:w="0" w:type="dxa"/>
              <w:end w:w="0" w:type="dxa"/>
            </w:tcMar>
          </w:tcPr>
          <w:p>
            <w:pPr>
              <w:autoSpaceDN w:val="0"/>
              <w:autoSpaceDE w:val="0"/>
              <w:widowControl/>
              <w:spacing w:line="272" w:lineRule="exact" w:before="204" w:after="0"/>
              <w:ind w:left="0" w:right="5328" w:firstLine="0"/>
              <w:jc w:val="left"/>
            </w:pPr>
            <w:r>
              <w:rPr>
                <w:rFonts w:ascii="OpenSans" w:hAnsi="OpenSans" w:eastAsia="OpenSans"/>
                <w:b w:val="0"/>
                <w:i w:val="0"/>
                <w:color w:val="575757"/>
                <w:sz w:val="18"/>
              </w:rPr>
              <w:t xml:space="preserve">01/06/2012 – 15/05/2014 Satara , India </w:t>
            </w:r>
            <w:r>
              <w:br/>
            </w:r>
            <w:r>
              <w:rPr>
                <w:rFonts w:ascii="OpenSans" w:hAnsi="OpenSans" w:eastAsia="OpenSans"/>
                <w:b/>
                <w:i w:val="0"/>
                <w:color w:val="404040"/>
                <w:sz w:val="22"/>
              </w:rPr>
              <w:t xml:space="preserve">H.S.C </w:t>
            </w:r>
            <w:r>
              <w:rPr>
                <w:rFonts w:ascii="OpenSans" w:hAnsi="OpenSans" w:eastAsia="OpenSans"/>
                <w:b w:val="0"/>
                <w:i w:val="0"/>
                <w:color w:val="404040"/>
                <w:sz w:val="22"/>
              </w:rPr>
              <w:t xml:space="preserve">Yashawantrao Chavan Institute of Science, Satara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818"/>
        </w:trPr>
        <w:tc>
          <w:tcPr>
            <w:tcW w:type="dxa" w:w="11054"/>
            <w:tcBorders>
              <w:top w:sz="12.0" w:val="single" w:color="#555555"/>
              <w:bottom w:sz="12.0" w:val="single" w:color="#AAAAAA"/>
            </w:tcBorders>
            <w:tcMar>
              <w:start w:w="0" w:type="dxa"/>
              <w:end w:w="0" w:type="dxa"/>
            </w:tcMar>
          </w:tcPr>
          <w:p>
            <w:pPr>
              <w:autoSpaceDN w:val="0"/>
              <w:autoSpaceDE w:val="0"/>
              <w:widowControl/>
              <w:spacing w:line="272" w:lineRule="exact" w:before="204" w:after="0"/>
              <w:ind w:left="0" w:right="6624" w:firstLine="0"/>
              <w:jc w:val="left"/>
            </w:pPr>
            <w:r>
              <w:rPr>
                <w:rFonts w:ascii="OpenSans" w:hAnsi="OpenSans" w:eastAsia="OpenSans"/>
                <w:b w:val="0"/>
                <w:i w:val="0"/>
                <w:color w:val="575757"/>
                <w:sz w:val="18"/>
              </w:rPr>
              <w:t xml:space="preserve">01/06/2011 – 15/05/2012 Satara , India </w:t>
            </w:r>
            <w:r>
              <w:br/>
            </w:r>
            <w:r>
              <w:rPr>
                <w:rFonts w:ascii="OpenSans" w:hAnsi="OpenSans" w:eastAsia="OpenSans"/>
                <w:b/>
                <w:i w:val="0"/>
                <w:color w:val="404040"/>
                <w:sz w:val="22"/>
              </w:rPr>
              <w:t xml:space="preserve">S.S.C </w:t>
            </w:r>
            <w:r>
              <w:rPr>
                <w:rFonts w:ascii="OpenSans" w:hAnsi="OpenSans" w:eastAsia="OpenSans"/>
                <w:b w:val="0"/>
                <w:i w:val="0"/>
                <w:color w:val="404040"/>
                <w:sz w:val="22"/>
              </w:rPr>
              <w:t xml:space="preserve">Maharaja Sayajirao Vidyalaya, Satara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1002"/>
        <w:gridCol w:w="1002"/>
        <w:gridCol w:w="1002"/>
        <w:gridCol w:w="1002"/>
        <w:gridCol w:w="1002"/>
        <w:gridCol w:w="1002"/>
        <w:gridCol w:w="1002"/>
        <w:gridCol w:w="1002"/>
        <w:gridCol w:w="1002"/>
      </w:tblGrid>
      <w:tr>
        <w:trPr>
          <w:trHeight w:hRule="exact" w:val="618"/>
        </w:trPr>
        <w:tc>
          <w:tcPr>
            <w:tcW w:type="dxa" w:w="832"/>
            <w:tcBorders>
              <w:top w:sz="12.0" w:val="single" w:color="#555555"/>
            </w:tcBorders>
            <w:tcMar>
              <w:start w:w="0" w:type="dxa"/>
              <w:end w:w="0" w:type="dxa"/>
            </w:tcMar>
          </w:tcPr>
          <w:p>
            <w:pPr>
              <w:autoSpaceDN w:val="0"/>
              <w:autoSpaceDE w:val="0"/>
              <w:widowControl/>
              <w:spacing w:line="298" w:lineRule="exact" w:before="188" w:after="0"/>
              <w:ind w:left="0" w:right="0" w:firstLine="0"/>
              <w:jc w:val="center"/>
            </w:pPr>
            <w:r>
              <w:rPr>
                <w:rFonts w:ascii="OpenSans" w:hAnsi="OpenSans" w:eastAsia="OpenSans"/>
                <w:b/>
                <w:i w:val="0"/>
                <w:color w:val="000000"/>
                <w:sz w:val="22"/>
              </w:rPr>
              <w:t xml:space="preserve">SKILLS </w:t>
            </w:r>
          </w:p>
        </w:tc>
        <w:tc>
          <w:tcPr>
            <w:tcW w:type="dxa" w:w="78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Azure</w:t>
            </w:r>
          </w:p>
        </w:tc>
        <w:tc>
          <w:tcPr>
            <w:tcW w:type="dxa" w:w="70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AWS</w:t>
            </w:r>
          </w:p>
        </w:tc>
        <w:tc>
          <w:tcPr>
            <w:tcW w:type="dxa" w:w="150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Data Science</w:t>
            </w:r>
          </w:p>
        </w:tc>
        <w:tc>
          <w:tcPr>
            <w:tcW w:type="dxa" w:w="78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RASA</w:t>
            </w:r>
          </w:p>
        </w:tc>
        <w:tc>
          <w:tcPr>
            <w:tcW w:type="dxa" w:w="242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Machine Learning, NLP</w:t>
            </w:r>
          </w:p>
        </w:tc>
        <w:tc>
          <w:tcPr>
            <w:tcW w:type="dxa" w:w="100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OpenAI</w:t>
            </w:r>
          </w:p>
        </w:tc>
        <w:tc>
          <w:tcPr>
            <w:tcW w:type="dxa" w:w="1100"/>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REST API</w:t>
            </w:r>
          </w:p>
        </w:tc>
        <w:tc>
          <w:tcPr>
            <w:tcW w:type="dxa" w:w="1942"/>
            <w:vMerge w:val="restart"/>
            <w:tcBorders>
              <w:top w:sz="12.0" w:val="single" w:color="#555555"/>
            </w:tcBorders>
            <w:tcMar>
              <w:start w:w="0" w:type="dxa"/>
              <w:end w:w="0" w:type="dxa"/>
            </w:tcMar>
            <w:tcMar>
              <w:start w:w="0" w:type="dxa"/>
              <w:end w:w="0" w:type="dxa"/>
            </w:tcMar>
          </w:tcPr>
          <w:p>
            <w:pPr>
              <w:autoSpaceDN w:val="0"/>
              <w:autoSpaceDE w:val="0"/>
              <w:widowControl/>
              <w:spacing w:line="272" w:lineRule="exact" w:before="722" w:after="0"/>
              <w:ind w:left="0" w:right="0" w:firstLine="0"/>
              <w:jc w:val="center"/>
            </w:pPr>
            <w:r>
              <w:rPr>
                <w:rFonts w:ascii="OpenSans" w:hAnsi="OpenSans" w:eastAsia="OpenSans"/>
                <w:b w:val="0"/>
                <w:i w:val="0"/>
                <w:color w:val="000000"/>
                <w:sz w:val="20"/>
              </w:rPr>
              <w:t xml:space="preserve"> AWS (BEDROCK) </w:t>
            </w:r>
          </w:p>
        </w:tc>
      </w:tr>
      <w:tr>
        <w:trPr>
          <w:trHeight w:hRule="exact" w:val="450"/>
        </w:trPr>
        <w:tc>
          <w:tcPr>
            <w:tcW w:type="dxa" w:w="832"/>
            <w:tcBorders/>
            <w:tcMar>
              <w:start w:w="0" w:type="dxa"/>
              <w:end w:w="0" w:type="dxa"/>
            </w:tcMar>
          </w:tcPr>
          <w:p>
            <w:pPr>
              <w:autoSpaceDN w:val="0"/>
              <w:autoSpaceDE w:val="0"/>
              <w:widowControl/>
              <w:spacing w:line="272" w:lineRule="exact" w:before="118" w:after="0"/>
              <w:ind w:left="0" w:right="0" w:firstLine="0"/>
              <w:jc w:val="left"/>
            </w:pPr>
            <w:r>
              <w:rPr>
                <w:rFonts w:ascii="OpenSans" w:hAnsi="OpenSans" w:eastAsia="OpenSans"/>
                <w:b w:val="0"/>
                <w:i w:val="0"/>
                <w:color w:val="000000"/>
                <w:sz w:val="20"/>
              </w:rPr>
              <w:t>Python</w:t>
            </w:r>
          </w:p>
        </w:tc>
        <w:tc>
          <w:tcPr>
            <w:tcW w:type="dxa" w:w="1002"/>
            <w:vMerge/>
            <w:tcBorders>
              <w:top w:sz="12.0" w:val="single" w:color="#555555"/>
            </w:tcBorders>
          </w:tcPr>
          <w:p/>
        </w:tc>
        <w:tc>
          <w:tcPr>
            <w:tcW w:type="dxa" w:w="1002"/>
            <w:vMerge/>
            <w:tcBorders>
              <w:top w:sz="12.0" w:val="single" w:color="#555555"/>
            </w:tcBorders>
          </w:tcPr>
          <w:p/>
        </w:tc>
        <w:tc>
          <w:tcPr>
            <w:tcW w:type="dxa" w:w="1002"/>
            <w:vMerge/>
            <w:tcBorders>
              <w:top w:sz="12.0" w:val="single" w:color="#555555"/>
            </w:tcBorders>
          </w:tcPr>
          <w:p/>
        </w:tc>
        <w:tc>
          <w:tcPr>
            <w:tcW w:type="dxa" w:w="1002"/>
            <w:vMerge/>
            <w:tcBorders>
              <w:top w:sz="12.0" w:val="single" w:color="#555555"/>
            </w:tcBorders>
          </w:tcPr>
          <w:p/>
        </w:tc>
        <w:tc>
          <w:tcPr>
            <w:tcW w:type="dxa" w:w="1002"/>
            <w:vMerge/>
            <w:tcBorders>
              <w:top w:sz="12.0" w:val="single" w:color="#555555"/>
            </w:tcBorders>
          </w:tcPr>
          <w:p/>
        </w:tc>
        <w:tc>
          <w:tcPr>
            <w:tcW w:type="dxa" w:w="1002"/>
            <w:vMerge/>
            <w:tcBorders>
              <w:top w:sz="12.0" w:val="single" w:color="#555555"/>
            </w:tcBorders>
          </w:tcPr>
          <w:p/>
        </w:tc>
        <w:tc>
          <w:tcPr>
            <w:tcW w:type="dxa" w:w="1002"/>
            <w:vMerge/>
            <w:tcBorders>
              <w:top w:sz="12.0" w:val="single" w:color="#555555"/>
            </w:tcBorders>
          </w:tcPr>
          <w:p/>
        </w:tc>
        <w:tc>
          <w:tcPr>
            <w:tcW w:type="dxa" w:w="1002"/>
            <w:vMerge/>
            <w:tcBorders>
              <w:top w:sz="12.0" w:val="single" w:color="#555555"/>
            </w:tcBorders>
          </w:tcPr>
          <w:p/>
        </w:tc>
      </w:tr>
    </w:tbl>
    <w:p>
      <w:pPr>
        <w:autoSpaceDN w:val="0"/>
        <w:autoSpaceDE w:val="0"/>
        <w:widowControl/>
        <w:spacing w:line="298" w:lineRule="exact" w:before="64" w:after="0"/>
        <w:ind w:left="566" w:right="0" w:firstLine="0"/>
        <w:jc w:val="left"/>
      </w:pPr>
      <w:r>
        <w:rPr>
          <w:rFonts w:ascii="OpenSans" w:hAnsi="OpenSans" w:eastAsia="OpenSans"/>
          <w:b/>
          <w:i w:val="0"/>
          <w:color w:val="000000"/>
          <w:sz w:val="22"/>
        </w:rPr>
        <w:t xml:space="preserve">LANGUAGE SKILLS </w:t>
      </w:r>
    </w:p>
    <w:p>
      <w:pPr>
        <w:autoSpaceDN w:val="0"/>
        <w:autoSpaceDE w:val="0"/>
        <w:widowControl/>
        <w:spacing w:line="272" w:lineRule="exact" w:before="296" w:after="52"/>
        <w:ind w:left="566" w:right="0" w:firstLine="0"/>
        <w:jc w:val="left"/>
      </w:pPr>
      <w:r>
        <w:rPr>
          <w:rFonts w:ascii="OpenSans" w:hAnsi="OpenSans" w:eastAsia="OpenSans"/>
          <w:b w:val="0"/>
          <w:i w:val="0"/>
          <w:color w:val="000000"/>
          <w:sz w:val="20"/>
        </w:rPr>
        <w:t xml:space="preserve">Mother tongue(s):  </w:t>
      </w:r>
      <w:r>
        <w:rPr>
          <w:rFonts w:ascii="OpenSans" w:hAnsi="OpenSans" w:eastAsia="OpenSans"/>
          <w:b/>
          <w:i w:val="0"/>
          <w:color w:val="000000"/>
          <w:sz w:val="20"/>
        </w:rPr>
        <w:t xml:space="preserve">MARATHI </w:t>
      </w:r>
    </w:p>
    <w:tbl>
      <w:tblPr>
        <w:tblW w:type="auto" w:w="0"/>
        <w:tblLayout w:type="fixed"/>
        <w:tblLook w:firstColumn="1" w:firstRow="1" w:lastColumn="0" w:lastRow="0" w:noHBand="0" w:noVBand="1" w:val="04A0"/>
        <w:tblInd w:w="568.0" w:type="dxa"/>
      </w:tblPr>
      <w:tblGrid>
        <w:gridCol w:w="1503"/>
        <w:gridCol w:w="1503"/>
        <w:gridCol w:w="1503"/>
        <w:gridCol w:w="1503"/>
        <w:gridCol w:w="1503"/>
        <w:gridCol w:w="1503"/>
      </w:tblGrid>
      <w:tr>
        <w:trPr>
          <w:trHeight w:hRule="exact" w:val="926"/>
        </w:trPr>
        <w:tc>
          <w:tcPr>
            <w:tcW w:type="dxa" w:w="2032"/>
            <w:tcBorders>
              <w:bottom w:sz="8.0" w:val="single" w:color="#E1E1E1"/>
            </w:tcBorders>
            <w:shd w:fill="979797"/>
            <w:tcMar>
              <w:start w:w="0" w:type="dxa"/>
              <w:end w:w="0" w:type="dxa"/>
            </w:tcMar>
          </w:tcPr>
          <w:p>
            <w:pPr>
              <w:autoSpaceDN w:val="0"/>
              <w:autoSpaceDE w:val="0"/>
              <w:widowControl/>
              <w:spacing w:line="272" w:lineRule="exact" w:before="52" w:after="0"/>
              <w:ind w:left="18" w:right="0" w:firstLine="0"/>
              <w:jc w:val="left"/>
            </w:pPr>
            <w:r>
              <w:rPr>
                <w:rFonts w:ascii="OpenSans" w:hAnsi="OpenSans" w:eastAsia="OpenSans"/>
                <w:b w:val="0"/>
                <w:i w:val="0"/>
                <w:color w:val="000000"/>
                <w:sz w:val="20"/>
              </w:rPr>
              <w:t>Other language(s):</w:t>
            </w:r>
          </w:p>
        </w:tc>
        <w:tc>
          <w:tcPr>
            <w:tcW w:type="dxa" w:w="3220"/>
            <w:gridSpan w:val="2"/>
            <w:tcBorders>
              <w:bottom w:sz="8.0" w:val="single" w:color="#E1E1E1"/>
            </w:tcBorders>
            <w:shd w:fill="979797"/>
            <w:tcMar>
              <w:start w:w="0" w:type="dxa"/>
              <w:end w:w="0" w:type="dxa"/>
            </w:tcMar>
            <w:tcMar>
              <w:start w:w="0" w:type="dxa"/>
              <w:end w:w="0" w:type="dxa"/>
            </w:tcMar>
          </w:tcPr>
          <w:p>
            <w:pPr>
              <w:autoSpaceDN w:val="0"/>
              <w:autoSpaceDE w:val="0"/>
              <w:widowControl/>
              <w:spacing w:line="270" w:lineRule="exact" w:before="586" w:after="0"/>
              <w:ind w:left="778" w:right="0" w:firstLine="0"/>
              <w:jc w:val="left"/>
            </w:pPr>
            <w:r>
              <w:rPr>
                <w:rFonts w:ascii="OpenSans" w:hAnsi="OpenSans" w:eastAsia="OpenSans"/>
                <w:b/>
                <w:i w:val="0"/>
                <w:color w:val="000000"/>
                <w:sz w:val="20"/>
              </w:rPr>
              <w:t>UNDERSTANDING</w:t>
            </w:r>
          </w:p>
        </w:tc>
        <w:tc>
          <w:tcPr>
            <w:tcW w:type="dxa" w:w="4160"/>
            <w:gridSpan w:val="2"/>
            <w:tcBorders>
              <w:bottom w:sz="8.0" w:val="single" w:color="#E1E1E1"/>
            </w:tcBorders>
            <w:shd w:fill="979797"/>
            <w:tcMar>
              <w:start w:w="0" w:type="dxa"/>
              <w:end w:w="0" w:type="dxa"/>
            </w:tcMar>
            <w:tcMar>
              <w:start w:w="0" w:type="dxa"/>
              <w:end w:w="0" w:type="dxa"/>
            </w:tcMar>
          </w:tcPr>
          <w:p>
            <w:pPr>
              <w:autoSpaceDN w:val="0"/>
              <w:autoSpaceDE w:val="0"/>
              <w:widowControl/>
              <w:spacing w:line="270" w:lineRule="exact" w:before="586" w:after="0"/>
              <w:ind w:left="0" w:right="0" w:firstLine="0"/>
              <w:jc w:val="center"/>
            </w:pPr>
            <w:r>
              <w:rPr>
                <w:rFonts w:ascii="OpenSans" w:hAnsi="OpenSans" w:eastAsia="OpenSans"/>
                <w:b/>
                <w:i w:val="0"/>
                <w:color w:val="000000"/>
                <w:sz w:val="20"/>
              </w:rPr>
              <w:t>SPEAKING</w:t>
            </w:r>
          </w:p>
        </w:tc>
        <w:tc>
          <w:tcPr>
            <w:tcW w:type="dxa" w:w="1642"/>
            <w:tcBorders>
              <w:bottom w:sz="8.0" w:val="single" w:color="#E1E1E1"/>
            </w:tcBorders>
            <w:shd w:fill="979797"/>
            <w:tcMar>
              <w:start w:w="0" w:type="dxa"/>
              <w:end w:w="0" w:type="dxa"/>
            </w:tcMar>
          </w:tcPr>
          <w:p>
            <w:pPr>
              <w:autoSpaceDN w:val="0"/>
              <w:autoSpaceDE w:val="0"/>
              <w:widowControl/>
              <w:spacing w:line="270" w:lineRule="exact" w:before="586" w:after="0"/>
              <w:ind w:left="280" w:right="0" w:firstLine="0"/>
              <w:jc w:val="left"/>
            </w:pPr>
            <w:r>
              <w:rPr>
                <w:rFonts w:ascii="OpenSans" w:hAnsi="OpenSans" w:eastAsia="OpenSans"/>
                <w:b/>
                <w:i w:val="0"/>
                <w:color w:val="000000"/>
                <w:sz w:val="20"/>
              </w:rPr>
              <w:t>WRITING</w:t>
            </w:r>
          </w:p>
        </w:tc>
      </w:tr>
      <w:tr>
        <w:trPr>
          <w:trHeight w:hRule="exact" w:val="398"/>
        </w:trPr>
        <w:tc>
          <w:tcPr>
            <w:tcW w:type="dxa" w:w="2032"/>
            <w:tcBorders>
              <w:top w:sz="8.0" w:val="single" w:color="#E1E1E1"/>
              <w:bottom w:sz="8.0" w:val="single" w:color="#E1E1E1"/>
            </w:tcBorders>
            <w:shd w:fill="979797"/>
            <w:tcMar>
              <w:start w:w="0" w:type="dxa"/>
              <w:end w:w="0" w:type="dxa"/>
            </w:tcMar>
          </w:tcPr>
          <w:p/>
        </w:tc>
        <w:tc>
          <w:tcPr>
            <w:tcW w:type="dxa" w:w="1660"/>
            <w:tcBorders>
              <w:top w:sz="8.0" w:val="single" w:color="#E1E1E1"/>
              <w:bottom w:sz="8.0" w:val="single" w:color="#E1E1E1"/>
            </w:tcBorders>
            <w:shd w:fill="979797"/>
            <w:tcMar>
              <w:start w:w="0" w:type="dxa"/>
              <w:end w:w="0" w:type="dxa"/>
            </w:tcMar>
          </w:tcPr>
          <w:p>
            <w:pPr>
              <w:autoSpaceDN w:val="0"/>
              <w:autoSpaceDE w:val="0"/>
              <w:widowControl/>
              <w:spacing w:line="270" w:lineRule="exact" w:before="54" w:after="0"/>
              <w:ind w:left="312" w:right="0" w:firstLine="0"/>
              <w:jc w:val="left"/>
            </w:pPr>
            <w:r>
              <w:rPr>
                <w:rFonts w:ascii="OpenSans" w:hAnsi="OpenSans" w:eastAsia="OpenSans"/>
                <w:b w:val="0"/>
                <w:i w:val="0"/>
                <w:color w:val="000000"/>
                <w:sz w:val="20"/>
              </w:rPr>
              <w:t>Listening</w:t>
            </w:r>
          </w:p>
        </w:tc>
        <w:tc>
          <w:tcPr>
            <w:tcW w:type="dxa" w:w="1560"/>
            <w:tcBorders>
              <w:top w:sz="8.0" w:val="single" w:color="#E1E1E1"/>
              <w:bottom w:sz="8.0" w:val="single" w:color="#E1E1E1"/>
            </w:tcBorders>
            <w:shd w:fill="979797"/>
            <w:tcMar>
              <w:start w:w="0" w:type="dxa"/>
              <w:end w:w="0" w:type="dxa"/>
            </w:tcMar>
          </w:tcPr>
          <w:p>
            <w:pPr>
              <w:autoSpaceDN w:val="0"/>
              <w:autoSpaceDE w:val="0"/>
              <w:widowControl/>
              <w:spacing w:line="270" w:lineRule="exact" w:before="54" w:after="0"/>
              <w:ind w:left="0" w:right="274" w:firstLine="0"/>
              <w:jc w:val="right"/>
            </w:pPr>
            <w:r>
              <w:rPr>
                <w:rFonts w:ascii="OpenSans" w:hAnsi="OpenSans" w:eastAsia="OpenSans"/>
                <w:b w:val="0"/>
                <w:i w:val="0"/>
                <w:color w:val="000000"/>
                <w:sz w:val="20"/>
              </w:rPr>
              <w:t>Reading</w:t>
            </w:r>
          </w:p>
        </w:tc>
        <w:tc>
          <w:tcPr>
            <w:tcW w:type="dxa" w:w="4160"/>
            <w:gridSpan w:val="2"/>
            <w:tcBorders>
              <w:top w:sz="8.0" w:val="single" w:color="#E1E1E1"/>
              <w:bottom w:sz="8.0" w:val="single" w:color="#E1E1E1"/>
            </w:tcBorders>
            <w:shd w:fill="979797"/>
            <w:tcMar>
              <w:start w:w="0" w:type="dxa"/>
              <w:end w:w="0" w:type="dxa"/>
            </w:tcMar>
            <w:tcMar>
              <w:start w:w="0" w:type="dxa"/>
              <w:end w:w="0" w:type="dxa"/>
            </w:tcMar>
          </w:tcPr>
          <w:p>
            <w:pPr>
              <w:autoSpaceDN w:val="0"/>
              <w:autoSpaceDE w:val="0"/>
              <w:widowControl/>
              <w:spacing w:line="270" w:lineRule="exact" w:before="54" w:after="0"/>
              <w:ind w:left="0" w:right="0" w:firstLine="0"/>
              <w:jc w:val="center"/>
            </w:pPr>
            <w:r>
              <w:rPr>
                <w:rFonts w:ascii="OpenSans" w:hAnsi="OpenSans" w:eastAsia="OpenSans"/>
                <w:b w:val="0"/>
                <w:i w:val="0"/>
                <w:color w:val="000000"/>
                <w:sz w:val="20"/>
              </w:rPr>
              <w:t>Spoken production Spoken interaction</w:t>
            </w:r>
          </w:p>
        </w:tc>
        <w:tc>
          <w:tcPr>
            <w:tcW w:type="dxa" w:w="1642"/>
            <w:tcBorders>
              <w:top w:sz="8.0" w:val="single" w:color="#E1E1E1"/>
              <w:bottom w:sz="8.0" w:val="single" w:color="#E1E1E1"/>
            </w:tcBorders>
            <w:shd w:fill="979797"/>
            <w:tcMar>
              <w:start w:w="0" w:type="dxa"/>
              <w:end w:w="0" w:type="dxa"/>
            </w:tcMar>
          </w:tcPr>
          <w:p/>
        </w:tc>
      </w:tr>
      <w:tr>
        <w:trPr>
          <w:trHeight w:hRule="exact" w:val="486"/>
        </w:trPr>
        <w:tc>
          <w:tcPr>
            <w:tcW w:type="dxa" w:w="2032"/>
            <w:tcBorders>
              <w:top w:sz="8.0" w:val="single" w:color="#E1E1E1"/>
              <w:bottom w:sz="8.0" w:val="single" w:color="#E1E1E1"/>
            </w:tcBorders>
            <w:shd w:fill="979797"/>
            <w:tcMar>
              <w:start w:w="0" w:type="dxa"/>
              <w:end w:w="0" w:type="dxa"/>
            </w:tcMar>
          </w:tcPr>
          <w:p>
            <w:pPr>
              <w:autoSpaceDN w:val="0"/>
              <w:autoSpaceDE w:val="0"/>
              <w:widowControl/>
              <w:spacing w:line="272" w:lineRule="exact" w:before="98" w:after="0"/>
              <w:ind w:left="112" w:right="0" w:firstLine="0"/>
              <w:jc w:val="left"/>
            </w:pPr>
            <w:r>
              <w:rPr>
                <w:rFonts w:ascii="OpenSans" w:hAnsi="OpenSans" w:eastAsia="OpenSans"/>
                <w:b/>
                <w:i w:val="0"/>
                <w:color w:val="000000"/>
                <w:sz w:val="20"/>
              </w:rPr>
              <w:t xml:space="preserve">ENGLISH </w:t>
            </w:r>
          </w:p>
        </w:tc>
        <w:tc>
          <w:tcPr>
            <w:tcW w:type="dxa" w:w="1660"/>
            <w:tcBorders>
              <w:top w:sz="8.0" w:val="single" w:color="#E1E1E1"/>
              <w:bottom w:sz="8.0" w:val="single" w:color="#E1E1E1"/>
            </w:tcBorders>
            <w:shd w:fill="979797"/>
            <w:tcMar>
              <w:start w:w="0" w:type="dxa"/>
              <w:end w:w="0" w:type="dxa"/>
            </w:tcMar>
          </w:tcPr>
          <w:p>
            <w:pPr>
              <w:autoSpaceDN w:val="0"/>
              <w:autoSpaceDE w:val="0"/>
              <w:widowControl/>
              <w:spacing w:line="272" w:lineRule="exact" w:before="98" w:after="0"/>
              <w:ind w:left="0" w:right="810" w:firstLine="0"/>
              <w:jc w:val="right"/>
            </w:pPr>
            <w:r>
              <w:rPr>
                <w:rFonts w:ascii="OpenSans" w:hAnsi="OpenSans" w:eastAsia="OpenSans"/>
                <w:b w:val="0"/>
                <w:i w:val="0"/>
                <w:color w:val="000000"/>
                <w:sz w:val="20"/>
              </w:rPr>
              <w:t>C1</w:t>
            </w:r>
          </w:p>
        </w:tc>
        <w:tc>
          <w:tcPr>
            <w:tcW w:type="dxa" w:w="1560"/>
            <w:tcBorders>
              <w:top w:sz="8.0" w:val="single" w:color="#E1E1E1"/>
            </w:tcBorders>
            <w:shd w:fill="979797"/>
            <w:tcMar>
              <w:start w:w="0" w:type="dxa"/>
              <w:end w:w="0" w:type="dxa"/>
            </w:tcMar>
          </w:tcPr>
          <w:p>
            <w:pPr>
              <w:autoSpaceDN w:val="0"/>
              <w:autoSpaceDE w:val="0"/>
              <w:widowControl/>
              <w:spacing w:line="272" w:lineRule="exact" w:before="98" w:after="0"/>
              <w:ind w:left="0" w:right="528" w:firstLine="0"/>
              <w:jc w:val="right"/>
            </w:pPr>
            <w:r>
              <w:rPr>
                <w:rFonts w:ascii="OpenSans" w:hAnsi="OpenSans" w:eastAsia="OpenSans"/>
                <w:b w:val="0"/>
                <w:i w:val="0"/>
                <w:color w:val="000000"/>
                <w:sz w:val="20"/>
              </w:rPr>
              <w:t>C2</w:t>
            </w:r>
          </w:p>
        </w:tc>
        <w:tc>
          <w:tcPr>
            <w:tcW w:type="dxa" w:w="2100"/>
            <w:tcBorders>
              <w:top w:sz="8.0" w:val="single" w:color="#E1E1E1"/>
              <w:bottom w:sz="8.0" w:val="single" w:color="#E1E1E1"/>
            </w:tcBorders>
            <w:shd w:fill="979797"/>
            <w:tcMar>
              <w:start w:w="0" w:type="dxa"/>
              <w:end w:w="0" w:type="dxa"/>
            </w:tcMar>
          </w:tcPr>
          <w:p>
            <w:pPr>
              <w:autoSpaceDN w:val="0"/>
              <w:autoSpaceDE w:val="0"/>
              <w:widowControl/>
              <w:spacing w:line="272" w:lineRule="exact" w:before="98" w:after="0"/>
              <w:ind w:left="0" w:right="786" w:firstLine="0"/>
              <w:jc w:val="right"/>
            </w:pPr>
            <w:r>
              <w:rPr>
                <w:rFonts w:ascii="OpenSans" w:hAnsi="OpenSans" w:eastAsia="OpenSans"/>
                <w:b w:val="0"/>
                <w:i w:val="0"/>
                <w:color w:val="000000"/>
                <w:sz w:val="20"/>
              </w:rPr>
              <w:t>C1</w:t>
            </w:r>
          </w:p>
        </w:tc>
        <w:tc>
          <w:tcPr>
            <w:tcW w:type="dxa" w:w="2060"/>
            <w:tcBorders>
              <w:top w:sz="8.0" w:val="single" w:color="#E1E1E1"/>
              <w:bottom w:sz="8.0" w:val="single" w:color="#E1E1E1"/>
            </w:tcBorders>
            <w:shd w:fill="979797"/>
            <w:tcMar>
              <w:start w:w="0" w:type="dxa"/>
              <w:end w:w="0" w:type="dxa"/>
            </w:tcMar>
          </w:tcPr>
          <w:p>
            <w:pPr>
              <w:autoSpaceDN w:val="0"/>
              <w:autoSpaceDE w:val="0"/>
              <w:widowControl/>
              <w:spacing w:line="272" w:lineRule="exact" w:before="98" w:after="0"/>
              <w:ind w:left="0" w:right="1002" w:firstLine="0"/>
              <w:jc w:val="right"/>
            </w:pPr>
            <w:r>
              <w:rPr>
                <w:rFonts w:ascii="OpenSans" w:hAnsi="OpenSans" w:eastAsia="OpenSans"/>
                <w:b w:val="0"/>
                <w:i w:val="0"/>
                <w:color w:val="000000"/>
                <w:sz w:val="20"/>
              </w:rPr>
              <w:t>C1</w:t>
            </w:r>
          </w:p>
        </w:tc>
        <w:tc>
          <w:tcPr>
            <w:tcW w:type="dxa" w:w="1642"/>
            <w:tcBorders>
              <w:top w:sz="8.0" w:val="single" w:color="#E1E1E1"/>
              <w:bottom w:sz="8.0" w:val="single" w:color="#E1E1E1"/>
            </w:tcBorders>
            <w:shd w:fill="979797"/>
            <w:tcMar>
              <w:start w:w="0" w:type="dxa"/>
              <w:end w:w="0" w:type="dxa"/>
            </w:tcMar>
          </w:tcPr>
          <w:p>
            <w:pPr>
              <w:autoSpaceDN w:val="0"/>
              <w:autoSpaceDE w:val="0"/>
              <w:widowControl/>
              <w:spacing w:line="272" w:lineRule="exact" w:before="98" w:after="0"/>
              <w:ind w:left="0" w:right="800" w:firstLine="0"/>
              <w:jc w:val="right"/>
            </w:pPr>
            <w:r>
              <w:rPr>
                <w:rFonts w:ascii="OpenSans" w:hAnsi="OpenSans" w:eastAsia="OpenSans"/>
                <w:b w:val="0"/>
                <w:i w:val="0"/>
                <w:color w:val="000000"/>
                <w:sz w:val="20"/>
              </w:rPr>
              <w:t>B2</w:t>
            </w:r>
          </w:p>
        </w:tc>
      </w:tr>
    </w:tbl>
    <w:p>
      <w:pPr>
        <w:autoSpaceDN w:val="0"/>
        <w:autoSpaceDE w:val="0"/>
        <w:widowControl/>
        <w:spacing w:line="26" w:lineRule="exact" w:before="0" w:after="0"/>
        <w:ind w:left="0" w:right="0"/>
      </w:pPr>
    </w:p>
    <w:tbl>
      <w:tblPr>
        <w:tblW w:type="auto" w:w="0"/>
        <w:tblLayout w:type="fixed"/>
        <w:tblLook w:firstColumn="1" w:firstRow="1" w:lastColumn="0" w:lastRow="0" w:noHBand="0" w:noVBand="1" w:val="04A0"/>
        <w:tblInd w:w="280.0" w:type="dxa"/>
      </w:tblPr>
      <w:tblGrid>
        <w:gridCol w:w="9020"/>
      </w:tblGrid>
      <w:tr>
        <w:trPr>
          <w:trHeight w:hRule="exact" w:val="364"/>
        </w:trPr>
        <w:tc>
          <w:tcPr>
            <w:tcW w:type="dxa" w:w="9320"/>
            <w:tcBorders/>
            <w:tcMar>
              <w:start w:w="0" w:type="dxa"/>
              <w:end w:w="0" w:type="dxa"/>
            </w:tcMar>
          </w:tcPr>
          <w:p>
            <w:pPr>
              <w:autoSpaceDN w:val="0"/>
              <w:autoSpaceDE w:val="0"/>
              <w:widowControl/>
              <w:spacing w:line="244" w:lineRule="exact" w:before="60" w:after="0"/>
              <w:ind w:left="286" w:right="0" w:firstLine="0"/>
              <w:jc w:val="left"/>
            </w:pPr>
            <w:r>
              <w:rPr>
                <w:rFonts w:ascii="OpenSans" w:hAnsi="OpenSans" w:eastAsia="OpenSans"/>
                <w:b w:val="0"/>
                <w:i/>
                <w:color w:val="555555"/>
                <w:sz w:val="18"/>
              </w:rPr>
              <w:t>Levels: A1 and A2: Basic user; B1 and B2: Independent user; C1 and C2: Proficient user</w:t>
            </w:r>
          </w:p>
        </w:tc>
      </w:tr>
    </w:tbl>
    <w:p>
      <w:pPr>
        <w:autoSpaceDN w:val="0"/>
        <w:autoSpaceDE w:val="0"/>
        <w:widowControl/>
        <w:spacing w:line="298" w:lineRule="exact" w:before="82" w:after="198"/>
        <w:ind w:left="566" w:right="0" w:firstLine="0"/>
        <w:jc w:val="left"/>
      </w:pPr>
      <w:r>
        <w:rPr>
          <w:rFonts w:ascii="OpenSans" w:hAnsi="OpenSans" w:eastAsia="OpenSans"/>
          <w:b/>
          <w:i w:val="0"/>
          <w:color w:val="000000"/>
          <w:sz w:val="22"/>
        </w:rPr>
        <w:t xml:space="preserve">PATENT </w:t>
      </w:r>
    </w:p>
    <w:tbl>
      <w:tblPr>
        <w:tblW w:type="auto" w:w="0"/>
        <w:tblLayout w:type="fixed"/>
        <w:tblLook w:firstColumn="1" w:firstRow="1" w:lastColumn="0" w:lastRow="0" w:noHBand="0" w:noVBand="1" w:val="04A0"/>
        <w:tblInd w:w="568.0" w:type="dxa"/>
      </w:tblPr>
      <w:tblGrid>
        <w:gridCol w:w="9020"/>
      </w:tblGrid>
      <w:tr>
        <w:trPr>
          <w:trHeight w:hRule="exact" w:val="892"/>
        </w:trPr>
        <w:tc>
          <w:tcPr>
            <w:tcW w:type="dxa" w:w="11054"/>
            <w:tcBorders>
              <w:bottom w:sz="12.0" w:val="single" w:color="#AAAAAA"/>
            </w:tcBorders>
            <w:tcMar>
              <w:start w:w="0" w:type="dxa"/>
              <w:end w:w="0" w:type="dxa"/>
            </w:tcMar>
          </w:tcPr>
          <w:p>
            <w:pPr>
              <w:autoSpaceDN w:val="0"/>
              <w:autoSpaceDE w:val="0"/>
              <w:widowControl/>
              <w:spacing w:line="266" w:lineRule="exact" w:before="36" w:after="0"/>
              <w:ind w:left="0" w:right="0" w:firstLine="0"/>
              <w:jc w:val="left"/>
            </w:pPr>
            <w:r>
              <w:rPr>
                <w:rFonts w:ascii="OpenSans" w:hAnsi="OpenSans" w:eastAsia="OpenSans"/>
                <w:b w:val="0"/>
                <w:i w:val="0"/>
                <w:color w:val="575757"/>
                <w:sz w:val="18"/>
              </w:rPr>
              <w:t xml:space="preserve">2023 </w:t>
            </w:r>
            <w:r>
              <w:br/>
            </w:r>
            <w:r>
              <w:rPr>
                <w:rFonts w:ascii="OpenSans" w:hAnsi="OpenSans" w:eastAsia="OpenSans"/>
                <w:b/>
                <w:i w:val="0"/>
                <w:color w:val="404040"/>
                <w:sz w:val="22"/>
              </w:rPr>
              <w:t xml:space="preserve">Patent Grant: Automated continuous validation for regulatory compliance of a computer system (cs) </w:t>
            </w:r>
            <w:r>
              <w:rPr>
                <w:rFonts w:ascii="OpenSans" w:hAnsi="OpenSans" w:eastAsia="OpenSans"/>
                <w:b/>
                <w:i w:val="0"/>
                <w:color w:val="404040"/>
                <w:sz w:val="22"/>
              </w:rPr>
              <w:t xml:space="preserve">comprising a dynamic component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1244"/>
        </w:trPr>
        <w:tc>
          <w:tcPr>
            <w:tcW w:type="dxa" w:w="11054"/>
            <w:tcBorders>
              <w:top w:sz="12.0" w:val="single" w:color="#555555"/>
            </w:tcBorders>
            <w:tcMar>
              <w:start w:w="0" w:type="dxa"/>
              <w:end w:w="0" w:type="dxa"/>
            </w:tcMar>
          </w:tcPr>
          <w:p>
            <w:pPr>
              <w:autoSpaceDN w:val="0"/>
              <w:autoSpaceDE w:val="0"/>
              <w:widowControl/>
              <w:spacing w:line="240" w:lineRule="exact" w:before="212" w:after="0"/>
              <w:ind w:left="0" w:right="288" w:firstLine="0"/>
              <w:jc w:val="left"/>
            </w:pPr>
            <w:r>
              <w:rPr>
                <w:rFonts w:ascii="OpenSans" w:hAnsi="OpenSans" w:eastAsia="OpenSans"/>
                <w:b w:val="0"/>
                <w:i w:val="0"/>
                <w:color w:val="000000"/>
                <w:sz w:val="20"/>
              </w:rPr>
              <w:t xml:space="preserve">The innovative approach to address the challenge of validating Computer Systems (CS) with dynamic components. It </w:t>
            </w:r>
            <w:r>
              <w:rPr>
                <w:rFonts w:ascii="OpenSans" w:hAnsi="OpenSans" w:eastAsia="OpenSans"/>
                <w:b w:val="0"/>
                <w:i w:val="0"/>
                <w:color w:val="000000"/>
                <w:sz w:val="20"/>
              </w:rPr>
              <w:t xml:space="preserve">introduces an automated continuous validation method for regulatory compliance, incorporating User Acceptance </w:t>
            </w:r>
            <w:r>
              <w:rPr>
                <w:rFonts w:ascii="OpenSans" w:hAnsi="OpenSans" w:eastAsia="OpenSans"/>
                <w:b w:val="0"/>
                <w:i w:val="0"/>
                <w:color w:val="000000"/>
                <w:sz w:val="20"/>
              </w:rPr>
              <w:t xml:space="preserve">Testing (UAT) with varying test cases and synthetic data. The process includes base validation testing with clean and </w:t>
            </w:r>
            <w:r>
              <w:rPr>
                <w:rFonts w:ascii="OpenSans" w:hAnsi="OpenSans" w:eastAsia="OpenSans"/>
                <w:b w:val="0"/>
                <w:i w:val="0"/>
                <w:color w:val="000000"/>
                <w:sz w:val="20"/>
              </w:rPr>
              <w:t>dirty data, followed by learning saturation testing for dynamic component rollout in the production environment.</w:t>
            </w:r>
          </w:p>
        </w:tc>
      </w:tr>
    </w:tbl>
    <w:p>
      <w:pPr>
        <w:autoSpaceDN w:val="0"/>
        <w:autoSpaceDE w:val="0"/>
        <w:widowControl/>
        <w:spacing w:line="244" w:lineRule="exact" w:before="70" w:after="198"/>
        <w:ind w:left="566" w:right="0" w:firstLine="0"/>
        <w:jc w:val="left"/>
      </w:pPr>
      <w:r>
        <w:rPr>
          <w:rFonts w:ascii="OpenSans" w:hAnsi="OpenSans" w:eastAsia="OpenSans"/>
          <w:b/>
          <w:i w:val="0"/>
          <w:color w:val="000000"/>
          <w:sz w:val="18"/>
        </w:rPr>
        <w:t>Link</w:t>
      </w:r>
      <w:r>
        <w:rPr>
          <w:u w:val="single" w:color="004493"/>
          <w:rFonts w:ascii="OpenSans" w:hAnsi="OpenSans" w:eastAsia="OpenSans"/>
          <w:b w:val="0"/>
          <w:i w:val="0"/>
          <w:color w:val="004494"/>
          <w:sz w:val="18"/>
        </w:rPr>
        <w:hyperlink r:id="rId15" w:history="1">
          <w:r>
            <w:rPr>
              <w:rStyle w:val="Hyperlink"/>
            </w:rPr>
            <w:t>https://patents.google.com/patent/EP4141753A1</w:t>
          </w:r>
        </w:hyperlink>
      </w:r>
    </w:p>
    <w:tbl>
      <w:tblPr>
        <w:tblW w:type="auto" w:w="0"/>
        <w:tblLayout w:type="fixed"/>
        <w:tblLook w:firstColumn="1" w:firstRow="1" w:lastColumn="0" w:lastRow="0" w:noHBand="0" w:noVBand="1" w:val="04A0"/>
        <w:tblInd w:w="568.0" w:type="dxa"/>
      </w:tblPr>
      <w:tblGrid>
        <w:gridCol w:w="9020"/>
      </w:tblGrid>
      <w:tr>
        <w:trPr>
          <w:trHeight w:hRule="exact" w:val="630"/>
        </w:trPr>
        <w:tc>
          <w:tcPr>
            <w:tcW w:type="dxa" w:w="11054"/>
            <w:tcBorders>
              <w:bottom w:sz="12.0" w:val="single" w:color="#AAAAAA"/>
            </w:tcBorders>
            <w:tcMar>
              <w:start w:w="0" w:type="dxa"/>
              <w:end w:w="0" w:type="dxa"/>
            </w:tcMar>
          </w:tcPr>
          <w:p>
            <w:pPr>
              <w:autoSpaceDN w:val="0"/>
              <w:autoSpaceDE w:val="0"/>
              <w:widowControl/>
              <w:spacing w:line="272" w:lineRule="exact" w:before="32" w:after="0"/>
              <w:ind w:left="0" w:right="4320" w:firstLine="0"/>
              <w:jc w:val="left"/>
            </w:pPr>
            <w:r>
              <w:rPr>
                <w:rFonts w:ascii="OpenSans" w:hAnsi="OpenSans" w:eastAsia="OpenSans"/>
                <w:b w:val="0"/>
                <w:i w:val="0"/>
                <w:color w:val="575757"/>
                <w:sz w:val="18"/>
              </w:rPr>
              <w:t xml:space="preserve">2024 </w:t>
            </w:r>
            <w:r>
              <w:br/>
            </w:r>
            <w:r>
              <w:rPr>
                <w:rFonts w:ascii="OpenSans" w:hAnsi="OpenSans" w:eastAsia="OpenSans"/>
                <w:b/>
                <w:i w:val="0"/>
                <w:color w:val="404040"/>
                <w:sz w:val="22"/>
              </w:rPr>
              <w:t xml:space="preserve">Automated Clinical Event and Endpoint Adjudication System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68.0" w:type="dxa"/>
      </w:tblPr>
      <w:tblGrid>
        <w:gridCol w:w="9020"/>
      </w:tblGrid>
      <w:tr>
        <w:trPr>
          <w:trHeight w:hRule="exact" w:val="764"/>
        </w:trPr>
        <w:tc>
          <w:tcPr>
            <w:tcW w:type="dxa" w:w="11054"/>
            <w:tcBorders>
              <w:top w:sz="12.0" w:val="single" w:color="#555555"/>
            </w:tcBorders>
            <w:tcMar>
              <w:start w:w="0" w:type="dxa"/>
              <w:end w:w="0" w:type="dxa"/>
            </w:tcMar>
          </w:tcPr>
          <w:p>
            <w:pPr>
              <w:autoSpaceDN w:val="0"/>
              <w:autoSpaceDE w:val="0"/>
              <w:widowControl/>
              <w:spacing w:line="240" w:lineRule="exact" w:before="208" w:after="0"/>
              <w:ind w:left="0" w:right="288" w:firstLine="0"/>
              <w:jc w:val="left"/>
            </w:pPr>
            <w:r>
              <w:rPr>
                <w:rFonts w:ascii="OpenSans" w:hAnsi="OpenSans" w:eastAsia="OpenSans"/>
                <w:b w:val="0"/>
                <w:i w:val="0"/>
                <w:color w:val="000000"/>
                <w:sz w:val="20"/>
              </w:rPr>
              <w:t xml:space="preserve">Contributed to the development of a novel system and method for automating clinical event adjudication in clinical </w:t>
            </w:r>
            <w:r>
              <w:rPr>
                <w:rFonts w:ascii="OpenSans" w:hAnsi="OpenSans" w:eastAsia="OpenSans"/>
                <w:b w:val="0"/>
                <w:i w:val="0"/>
                <w:color w:val="000000"/>
                <w:sz w:val="20"/>
              </w:rPr>
              <w:t>trials.</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9020"/>
      </w:tblGrid>
      <w:tr>
        <w:trPr>
          <w:trHeight w:hRule="exact" w:val="4870"/>
        </w:trPr>
        <w:tc>
          <w:tcPr>
            <w:tcW w:type="dxa" w:w="11900"/>
            <w:tcBorders/>
            <w:shd w:fill="979797"/>
            <w:tcMar>
              <w:start w:w="0" w:type="dxa"/>
              <w:end w:w="0" w:type="dxa"/>
            </w:tcMar>
          </w:tcPr>
          <w:p>
            <w:pPr>
              <w:autoSpaceDN w:val="0"/>
              <w:autoSpaceDE w:val="0"/>
              <w:widowControl/>
              <w:spacing w:line="246" w:lineRule="exact" w:before="60" w:after="0"/>
              <w:ind w:left="566" w:right="0" w:firstLine="0"/>
              <w:jc w:val="left"/>
            </w:pPr>
            <w:r>
              <w:rPr>
                <w:rFonts w:ascii="OpenSans" w:hAnsi="OpenSans" w:eastAsia="OpenSans"/>
                <w:b/>
                <w:i w:val="0"/>
                <w:color w:val="000000"/>
                <w:sz w:val="18"/>
              </w:rPr>
              <w:t>Link</w:t>
            </w:r>
            <w:r>
              <w:rPr>
                <w:u w:val="single" w:color="004493"/>
                <w:rFonts w:ascii="OpenSans" w:hAnsi="OpenSans" w:eastAsia="OpenSans"/>
                <w:b w:val="0"/>
                <w:i w:val="0"/>
                <w:color w:val="004494"/>
                <w:sz w:val="18"/>
              </w:rPr>
              <w:hyperlink r:id="rId16" w:history="1">
                <w:r>
                  <w:rPr>
                    <w:rStyle w:val="Hyperlink"/>
                  </w:rPr>
                  <w:t>https://patents.google.com/patent/US20250232850A1</w:t>
                </w:r>
              </w:hyperlink>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sectPr w:rsidR="00FC693F" w:rsidRPr="0006063C" w:rsidSect="00034616">
      <w:pgSz w:w="11900" w:h="16820"/>
      <w:pgMar w:top="0" w:right="0" w:bottom="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rohitkadam1410@gmail.com"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pharmasug.org/proceedings/2025/AI/PharmaSUG-2025-AI-331.pdf" TargetMode="External"/><Relationship Id="rId14" Type="http://schemas.openxmlformats.org/officeDocument/2006/relationships/hyperlink" Target="https://pharmasug.org/proceedings/2024/SD/PharmaSUG-2024-SD-397.pdf" TargetMode="External"/><Relationship Id="rId15" Type="http://schemas.openxmlformats.org/officeDocument/2006/relationships/hyperlink" Target="https://patents.google.com/patent/EP4141753A1" TargetMode="External"/><Relationship Id="rId16" Type="http://schemas.openxmlformats.org/officeDocument/2006/relationships/hyperlink" Target="https://patents.google.com/patent/US20250232850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