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00"/>
        <w:jc w:val="center"/>
      </w:pPr>
      <w:r>
        <w:rPr>
          <w:b/>
          <w:color w:val="187C78"/>
          <w:sz w:val="22"/>
        </w:rPr>
        <w:t>PR12  |  AI/ML BASED REAL-WORLD APPLICATION</w:t>
      </w:r>
    </w:p>
    <w:p>
      <w:pPr>
        <w:pStyle w:val="Title"/>
        <w:spacing w:after="260"/>
        <w:jc w:val="center"/>
      </w:pPr>
      <w:r>
        <w:t>Electricity Consumption</w:t>
        <w:br/>
        <w:t>and Bill Prediction System</w:t>
      </w:r>
    </w:p>
    <w:p>
      <w:pPr>
        <w:widowControl/>
        <w:jc w:val="center"/>
      </w:pPr>
      <w:r>
        <w:rPr>
          <w:rFonts w:ascii="Calibri" w:hAnsi="Calibri"/>
          <w:sz w:val="28"/>
        </w:rPr>
        <w:t>Model development, evaluation, optimization and result analysis</w:t>
      </w:r>
    </w:p>
    <w:p>
      <w:pPr>
        <w:widowControl/>
        <w:jc w:val="center"/>
      </w:pPr>
      <w:r>
        <w:rPr>
          <w:rFonts w:ascii="Calibri" w:hAnsi="Calibri"/>
          <w:sz w:val="21"/>
        </w:rPr>
        <w:t>Linear Regression and Ridge Regression with a React and Express application</w:t>
      </w:r>
    </w:p>
    <w:p/>
    <w:p/>
    <w:p/>
    <w:p>
      <w:pPr>
        <w:widowControl/>
        <w:jc w:val="center"/>
      </w:pPr>
      <w:r>
        <w:rPr>
          <w:rFonts w:ascii="Calibri" w:hAnsi="Calibri"/>
          <w:sz w:val="21"/>
        </w:rPr>
        <w:t>Course project report</w:t>
      </w:r>
    </w:p>
    <w:p>
      <w:pPr>
        <w:widowControl/>
        <w:jc w:val="center"/>
      </w:pPr>
      <w:r>
        <w:rPr>
          <w:rFonts w:ascii="Calibri" w:hAnsi="Calibri"/>
          <w:sz w:val="21"/>
        </w:rPr>
        <w:t>PR12  •  CO1–CO5</w:t>
      </w:r>
    </w:p>
    <w:p>
      <w:pPr>
        <w:widowControl/>
        <w:jc w:val="center"/>
      </w:pPr>
      <w:r>
        <w:rPr>
          <w:rFonts w:ascii="Calibri" w:hAnsi="Calibri"/>
          <w:sz w:val="21"/>
        </w:rPr>
        <w:t>Prepared 23 October 2026</w:t>
      </w:r>
    </w:p>
    <w:p>
      <w:pPr>
        <w:widowControl/>
        <w:jc w:val="center"/>
      </w:pPr>
      <w:r>
        <w:rPr>
          <w:rFonts w:ascii="Calibri" w:hAnsi="Calibri"/>
          <w:i/>
          <w:sz w:val="18"/>
        </w:rPr>
        <w:t>The model estimates monthly household energy use in kWh. The application multiplies this estimate by a user-entered tariff to show an indicative bill.</w:t>
      </w:r>
    </w:p>
    <w:p>
      <w:r>
        <w:br w:type="page"/>
      </w:r>
    </w:p>
    <w:p>
      <w:pPr>
        <w:pStyle w:val="Heading1"/>
      </w:pPr>
      <w:r>
        <w:rPr>
          <w:color w:val="000000"/>
        </w:rPr>
        <w:t>Executive Summary</w:t>
      </w:r>
    </w:p>
    <w:p>
      <w:pPr>
        <w:widowControl/>
      </w:pPr>
      <w:r>
        <w:rPr>
          <w:rFonts w:ascii="Calibri" w:hAnsi="Calibri"/>
        </w:rPr>
        <w:t>This project builds a small end-to-end household electricity estimator. A scikit-learn regression pipeline uses family size, rooms, appliance counts, area type, temperature and optional previous-month usage to estimate monthly consumption. A React interface calls an Express API; a Python bridge loads the fitted pipeline. SQLite stores each signed-in user's estimates separately.</w:t>
      </w:r>
    </w:p>
    <w:p>
      <w:pPr>
        <w:widowControl/>
      </w:pPr>
      <w:r>
        <w:rPr>
          <w:rFonts w:ascii="Calibri" w:hAnsi="Calibri"/>
        </w:rPr>
        <w:t>The supplied Kaggle CSV contains 1,000 records and 19 columns. The model uses 12 predictors and Monthly_Usage_kWh as its continuous target. An 80:20 split leaves 800 rows for training and 200 for final testing. Five-fold cross-validation compares ordinary least-squares Linear Regression with Ridge candidates. Ridge alpha 1.0 wins by a very small margin.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59"/>
        <w:gridCol w:w="2459"/>
        <w:gridCol w:w="2459"/>
        <w:gridCol w:w="2459"/>
      </w:tblGrid>
      <w:tr>
        <w:trPr>
          <w:tblHeader w:val="true"/>
        </w:trPr>
        <w:tc>
          <w:tcPr>
            <w:tcW w:type="dxa" w:w="4680"/>
            <w:vAlign w:val="center"/>
            <w:shd w:fill="163446"/>
            <w:tcMar>
              <w:top w:w="85" w:type="dxa"/>
              <w:start w:w="100" w:type="dxa"/>
              <w:bottom w:w="85" w:type="dxa"/>
              <w:end w:w="100" w:type="dxa"/>
            </w:tcMar>
          </w:tcPr>
          <w:p>
            <w:pPr>
              <w:spacing w:after="0"/>
            </w:pPr>
            <w:r>
              <w:rPr>
                <w:rFonts w:ascii="Calibri" w:hAnsi="Calibri"/>
                <w:b/>
                <w:color w:val="FFFFFF"/>
                <w:sz w:val="17"/>
              </w:rPr>
              <w:t>Evaluation case</w:t>
            </w:r>
          </w:p>
        </w:tc>
        <w:tc>
          <w:tcPr>
            <w:tcW w:type="dxa" w:w="1584"/>
            <w:vAlign w:val="center"/>
            <w:shd w:fill="163446"/>
            <w:tcMar>
              <w:top w:w="85" w:type="dxa"/>
              <w:start w:w="100" w:type="dxa"/>
              <w:bottom w:w="85" w:type="dxa"/>
              <w:end w:w="100" w:type="dxa"/>
            </w:tcMar>
          </w:tcPr>
          <w:p>
            <w:pPr>
              <w:spacing w:after="0"/>
              <w:jc w:val="center"/>
            </w:pPr>
            <w:r>
              <w:rPr>
                <w:rFonts w:ascii="Calibri" w:hAnsi="Calibri"/>
                <w:b/>
                <w:color w:val="FFFFFF"/>
                <w:sz w:val="17"/>
              </w:rPr>
              <w:t>MAE</w:t>
            </w:r>
          </w:p>
        </w:tc>
        <w:tc>
          <w:tcPr>
            <w:tcW w:type="dxa" w:w="1656"/>
            <w:vAlign w:val="center"/>
            <w:shd w:fill="163446"/>
            <w:tcMar>
              <w:top w:w="85" w:type="dxa"/>
              <w:start w:w="100" w:type="dxa"/>
              <w:bottom w:w="85" w:type="dxa"/>
              <w:end w:w="100" w:type="dxa"/>
            </w:tcMar>
          </w:tcPr>
          <w:p>
            <w:pPr>
              <w:spacing w:after="0"/>
              <w:jc w:val="center"/>
            </w:pPr>
            <w:r>
              <w:rPr>
                <w:rFonts w:ascii="Calibri" w:hAnsi="Calibri"/>
                <w:b/>
                <w:color w:val="FFFFFF"/>
                <w:sz w:val="17"/>
              </w:rPr>
              <w:t>RMSE</w:t>
            </w:r>
          </w:p>
        </w:tc>
        <w:tc>
          <w:tcPr>
            <w:tcW w:type="dxa" w:w="1224"/>
            <w:vAlign w:val="center"/>
            <w:shd w:fill="163446"/>
            <w:tcMar>
              <w:top w:w="85" w:type="dxa"/>
              <w:start w:w="100" w:type="dxa"/>
              <w:bottom w:w="85" w:type="dxa"/>
              <w:end w:w="100" w:type="dxa"/>
            </w:tcMar>
          </w:tcPr>
          <w:p>
            <w:pPr>
              <w:spacing w:after="0"/>
              <w:jc w:val="center"/>
            </w:pPr>
            <w:r>
              <w:rPr>
                <w:rFonts w:ascii="Calibri" w:hAnsi="Calibri"/>
                <w:b/>
                <w:color w:val="FFFFFF"/>
                <w:sz w:val="17"/>
              </w:rPr>
              <w:t>R²</w:t>
            </w:r>
          </w:p>
        </w:tc>
      </w:tr>
      <w:tr>
        <w:tc>
          <w:tcPr>
            <w:tcW w:type="dxa" w:w="4680"/>
            <w:vAlign w:val="center"/>
            <w:tcMar>
              <w:top w:w="85" w:type="dxa"/>
              <w:start w:w="100" w:type="dxa"/>
              <w:bottom w:w="85" w:type="dxa"/>
              <w:end w:w="100" w:type="dxa"/>
            </w:tcMar>
          </w:tcPr>
          <w:p>
            <w:pPr>
              <w:spacing w:after="0" w:line="240" w:lineRule="auto"/>
            </w:pPr>
            <w:r>
              <w:rPr>
                <w:rFonts w:ascii="Calibri" w:hAnsi="Calibri"/>
                <w:color w:val="17232B"/>
                <w:sz w:val="17"/>
              </w:rPr>
              <w:t>Held-out test with all predictors</w:t>
            </w:r>
          </w:p>
        </w:tc>
        <w:tc>
          <w:tcPr>
            <w:tcW w:type="dxa" w:w="1584"/>
            <w:vAlign w:val="center"/>
            <w:tcMar>
              <w:top w:w="85" w:type="dxa"/>
              <w:start w:w="100" w:type="dxa"/>
              <w:bottom w:w="85" w:type="dxa"/>
              <w:end w:w="100" w:type="dxa"/>
            </w:tcMar>
          </w:tcPr>
          <w:p>
            <w:pPr>
              <w:spacing w:after="0" w:line="240" w:lineRule="auto"/>
              <w:jc w:val="center"/>
            </w:pPr>
            <w:r>
              <w:rPr>
                <w:rFonts w:ascii="Calibri" w:hAnsi="Calibri"/>
                <w:color w:val="17232B"/>
                <w:sz w:val="17"/>
              </w:rPr>
              <w:t>15.918 kWh</w:t>
            </w:r>
          </w:p>
        </w:tc>
        <w:tc>
          <w:tcPr>
            <w:tcW w:type="dxa" w:w="1656"/>
            <w:vAlign w:val="center"/>
            <w:tcMar>
              <w:top w:w="85" w:type="dxa"/>
              <w:start w:w="100" w:type="dxa"/>
              <w:bottom w:w="85" w:type="dxa"/>
              <w:end w:w="100" w:type="dxa"/>
            </w:tcMar>
          </w:tcPr>
          <w:p>
            <w:pPr>
              <w:spacing w:after="0" w:line="240" w:lineRule="auto"/>
              <w:jc w:val="center"/>
            </w:pPr>
            <w:r>
              <w:rPr>
                <w:rFonts w:ascii="Calibri" w:hAnsi="Calibri"/>
                <w:color w:val="17232B"/>
                <w:sz w:val="17"/>
              </w:rPr>
              <w:t>20.946 kWh</w:t>
            </w:r>
          </w:p>
        </w:tc>
        <w:tc>
          <w:tcPr>
            <w:tcW w:type="dxa" w:w="1224"/>
            <w:vAlign w:val="center"/>
            <w:tcMar>
              <w:top w:w="85" w:type="dxa"/>
              <w:start w:w="100" w:type="dxa"/>
              <w:bottom w:w="85" w:type="dxa"/>
              <w:end w:w="100" w:type="dxa"/>
            </w:tcMar>
          </w:tcPr>
          <w:p>
            <w:pPr>
              <w:spacing w:after="0" w:line="240" w:lineRule="auto"/>
              <w:jc w:val="center"/>
            </w:pPr>
            <w:r>
              <w:rPr>
                <w:rFonts w:ascii="Calibri" w:hAnsi="Calibri"/>
                <w:color w:val="17232B"/>
                <w:sz w:val="17"/>
              </w:rPr>
              <w:t>0.9656</w:t>
            </w:r>
          </w:p>
        </w:tc>
      </w:tr>
      <w:tr>
        <w:tc>
          <w:tcPr>
            <w:tcW w:type="dxa" w:w="4680"/>
            <w:vAlign w:val="center"/>
            <w:tcMar>
              <w:top w:w="85" w:type="dxa"/>
              <w:start w:w="100" w:type="dxa"/>
              <w:bottom w:w="85" w:type="dxa"/>
              <w:end w:w="100" w:type="dxa"/>
            </w:tcMar>
            <w:shd w:fill="F1F6F7"/>
          </w:tcPr>
          <w:p>
            <w:pPr>
              <w:spacing w:after="0" w:line="240" w:lineRule="auto"/>
            </w:pPr>
            <w:r>
              <w:rPr>
                <w:rFonts w:ascii="Calibri" w:hAnsi="Calibri"/>
                <w:color w:val="17232B"/>
                <w:sz w:val="17"/>
              </w:rPr>
              <w:t>Held-out test with prior usage hidden</w:t>
            </w:r>
          </w:p>
        </w:tc>
        <w:tc>
          <w:tcPr>
            <w:tcW w:type="dxa" w:w="158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36.039 kWh</w:t>
            </w:r>
          </w:p>
        </w:tc>
        <w:tc>
          <w:tcPr>
            <w:tcW w:type="dxa" w:w="1656"/>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45.613 kWh</w:t>
            </w:r>
          </w:p>
        </w:tc>
        <w:tc>
          <w:tcPr>
            <w:tcW w:type="dxa" w:w="122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0.8367</w:t>
            </w:r>
          </w:p>
        </w:tc>
      </w:tr>
    </w:tbl>
    <w:p>
      <w:pPr>
        <w:spacing w:after="0"/>
      </w:pPr>
    </w:p>
    <w:p>
      <w:pPr>
        <w:widowControl/>
      </w:pPr>
      <w:r>
        <w:rPr>
          <w:rFonts w:ascii="Calibri" w:hAnsi="Calibri"/>
        </w:rPr>
        <w:t>The full-feature R² is not a percent-accuracy claim. Prior-month use is strongly correlated with the target, and the no-history test is substantially harder.</w:t>
      </w:r>
    </w:p>
    <w:p>
      <w:pPr>
        <w:pStyle w:val="Heading2"/>
      </w:pPr>
      <w:r>
        <w:rPr>
          <w:color w:val="000000"/>
        </w:rPr>
        <w:t>Report guide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1440"/>
            <w:vAlign w:val="center"/>
            <w:shd w:fill="163446"/>
            <w:tcMar>
              <w:top w:w="85" w:type="dxa"/>
              <w:start w:w="100" w:type="dxa"/>
              <w:bottom w:w="85" w:type="dxa"/>
              <w:end w:w="100" w:type="dxa"/>
            </w:tcMar>
          </w:tcPr>
          <w:p>
            <w:pPr>
              <w:spacing w:after="0"/>
              <w:jc w:val="center"/>
            </w:pPr>
            <w:r>
              <w:rPr>
                <w:rFonts w:ascii="Calibri" w:hAnsi="Calibri"/>
                <w:b/>
                <w:color w:val="FFFFFF"/>
                <w:sz w:val="17"/>
              </w:rPr>
              <w:t>Pages</w:t>
            </w:r>
          </w:p>
        </w:tc>
        <w:tc>
          <w:tcPr>
            <w:tcW w:type="dxa" w:w="7560"/>
            <w:vAlign w:val="center"/>
            <w:shd w:fill="163446"/>
            <w:tcMar>
              <w:top w:w="85" w:type="dxa"/>
              <w:start w:w="100" w:type="dxa"/>
              <w:bottom w:w="85" w:type="dxa"/>
              <w:end w:w="100" w:type="dxa"/>
            </w:tcMar>
          </w:tcPr>
          <w:p>
            <w:pPr>
              <w:spacing w:after="0"/>
            </w:pPr>
            <w:r>
              <w:rPr>
                <w:rFonts w:ascii="Calibri" w:hAnsi="Calibri"/>
                <w:b/>
                <w:color w:val="FFFFFF"/>
                <w:sz w:val="17"/>
              </w:rPr>
              <w:t>Sections</w:t>
            </w:r>
          </w:p>
        </w:tc>
      </w:tr>
      <w:tr>
        <w:tc>
          <w:tcPr>
            <w:tcW w:type="dxa" w:w="1440"/>
            <w:vAlign w:val="center"/>
            <w:tcMar>
              <w:top w:w="85" w:type="dxa"/>
              <w:start w:w="100" w:type="dxa"/>
              <w:bottom w:w="85" w:type="dxa"/>
              <w:end w:w="100" w:type="dxa"/>
            </w:tcMar>
          </w:tcPr>
          <w:p>
            <w:pPr>
              <w:spacing w:after="0" w:line="240" w:lineRule="auto"/>
              <w:jc w:val="center"/>
            </w:pPr>
            <w:r>
              <w:rPr>
                <w:rFonts w:ascii="Calibri" w:hAnsi="Calibri"/>
                <w:color w:val="17232B"/>
                <w:sz w:val="17"/>
              </w:rPr>
              <w:t>3–4</w:t>
            </w:r>
          </w:p>
        </w:tc>
        <w:tc>
          <w:tcPr>
            <w:tcW w:type="dxa" w:w="7560"/>
            <w:vAlign w:val="center"/>
            <w:tcMar>
              <w:top w:w="85" w:type="dxa"/>
              <w:start w:w="100" w:type="dxa"/>
              <w:bottom w:w="85" w:type="dxa"/>
              <w:end w:w="100" w:type="dxa"/>
            </w:tcMar>
          </w:tcPr>
          <w:p>
            <w:pPr>
              <w:spacing w:after="0" w:line="240" w:lineRule="auto"/>
            </w:pPr>
            <w:r>
              <w:rPr>
                <w:rFonts w:ascii="Calibri" w:hAnsi="Calibri"/>
                <w:color w:val="17232B"/>
                <w:sz w:val="17"/>
              </w:rPr>
              <w:t>Problem definition, objectives and scope</w:t>
            </w:r>
          </w:p>
        </w:tc>
      </w:tr>
      <w:tr>
        <w:tc>
          <w:tcPr>
            <w:tcW w:type="dxa" w:w="144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5–8</w:t>
            </w:r>
          </w:p>
        </w:tc>
        <w:tc>
          <w:tcPr>
            <w:tcW w:type="dxa" w:w="7560"/>
            <w:vAlign w:val="center"/>
            <w:tcMar>
              <w:top w:w="85" w:type="dxa"/>
              <w:start w:w="100" w:type="dxa"/>
              <w:bottom w:w="85" w:type="dxa"/>
              <w:end w:w="100" w:type="dxa"/>
            </w:tcMar>
            <w:shd w:fill="F1F6F7"/>
          </w:tcPr>
          <w:p>
            <w:pPr>
              <w:spacing w:after="0" w:line="240" w:lineRule="auto"/>
            </w:pPr>
            <w:r>
              <w:rPr>
                <w:rFonts w:ascii="Calibri" w:hAnsi="Calibri"/>
                <w:color w:val="17232B"/>
                <w:sz w:val="17"/>
              </w:rPr>
              <w:t>Dataset, preprocessing and ML pipeline</w:t>
            </w:r>
          </w:p>
        </w:tc>
      </w:tr>
      <w:tr>
        <w:tc>
          <w:tcPr>
            <w:tcW w:type="dxa" w:w="1440"/>
            <w:vAlign w:val="center"/>
            <w:tcMar>
              <w:top w:w="85" w:type="dxa"/>
              <w:start w:w="100" w:type="dxa"/>
              <w:bottom w:w="85" w:type="dxa"/>
              <w:end w:w="100" w:type="dxa"/>
            </w:tcMar>
          </w:tcPr>
          <w:p>
            <w:pPr>
              <w:spacing w:after="0" w:line="240" w:lineRule="auto"/>
              <w:jc w:val="center"/>
            </w:pPr>
            <w:r>
              <w:rPr>
                <w:rFonts w:ascii="Calibri" w:hAnsi="Calibri"/>
                <w:color w:val="17232B"/>
                <w:sz w:val="17"/>
              </w:rPr>
              <w:t>9–11</w:t>
            </w:r>
          </w:p>
        </w:tc>
        <w:tc>
          <w:tcPr>
            <w:tcW w:type="dxa" w:w="7560"/>
            <w:vAlign w:val="center"/>
            <w:tcMar>
              <w:top w:w="85" w:type="dxa"/>
              <w:start w:w="100" w:type="dxa"/>
              <w:bottom w:w="85" w:type="dxa"/>
              <w:end w:w="100" w:type="dxa"/>
            </w:tcMar>
          </w:tcPr>
          <w:p>
            <w:pPr>
              <w:spacing w:after="0" w:line="240" w:lineRule="auto"/>
            </w:pPr>
            <w:r>
              <w:rPr>
                <w:rFonts w:ascii="Calibri" w:hAnsi="Calibri"/>
                <w:color w:val="17232B"/>
                <w:sz w:val="17"/>
              </w:rPr>
              <w:t>Linear Regression, Ridge tuning and evaluation design</w:t>
            </w:r>
          </w:p>
        </w:tc>
      </w:tr>
      <w:tr>
        <w:tc>
          <w:tcPr>
            <w:tcW w:type="dxa" w:w="144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12–15</w:t>
            </w:r>
          </w:p>
        </w:tc>
        <w:tc>
          <w:tcPr>
            <w:tcW w:type="dxa" w:w="7560"/>
            <w:vAlign w:val="center"/>
            <w:tcMar>
              <w:top w:w="85" w:type="dxa"/>
              <w:start w:w="100" w:type="dxa"/>
              <w:bottom w:w="85" w:type="dxa"/>
              <w:end w:w="100" w:type="dxa"/>
            </w:tcMar>
            <w:shd w:fill="F1F6F7"/>
          </w:tcPr>
          <w:p>
            <w:pPr>
              <w:spacing w:after="0" w:line="240" w:lineRule="auto"/>
            </w:pPr>
            <w:r>
              <w:rPr>
                <w:rFonts w:ascii="Calibri" w:hAnsi="Calibri"/>
                <w:color w:val="17232B"/>
                <w:sz w:val="17"/>
              </w:rPr>
              <w:t>Metrics, results, errors and model coefficients</w:t>
            </w:r>
          </w:p>
        </w:tc>
      </w:tr>
      <w:tr>
        <w:tc>
          <w:tcPr>
            <w:tcW w:type="dxa" w:w="1440"/>
            <w:vAlign w:val="center"/>
            <w:tcMar>
              <w:top w:w="85" w:type="dxa"/>
              <w:start w:w="100" w:type="dxa"/>
              <w:bottom w:w="85" w:type="dxa"/>
              <w:end w:w="100" w:type="dxa"/>
            </w:tcMar>
          </w:tcPr>
          <w:p>
            <w:pPr>
              <w:spacing w:after="0" w:line="240" w:lineRule="auto"/>
              <w:jc w:val="center"/>
            </w:pPr>
            <w:r>
              <w:rPr>
                <w:rFonts w:ascii="Calibri" w:hAnsi="Calibri"/>
                <w:color w:val="17232B"/>
                <w:sz w:val="17"/>
              </w:rPr>
              <w:t>16–17</w:t>
            </w:r>
          </w:p>
        </w:tc>
        <w:tc>
          <w:tcPr>
            <w:tcW w:type="dxa" w:w="7560"/>
            <w:vAlign w:val="center"/>
            <w:tcMar>
              <w:top w:w="85" w:type="dxa"/>
              <w:start w:w="100" w:type="dxa"/>
              <w:bottom w:w="85" w:type="dxa"/>
              <w:end w:w="100" w:type="dxa"/>
            </w:tcMar>
          </w:tcPr>
          <w:p>
            <w:pPr>
              <w:spacing w:after="0" w:line="240" w:lineRule="auto"/>
            </w:pPr>
            <w:r>
              <w:rPr>
                <w:rFonts w:ascii="Calibri" w:hAnsi="Calibri"/>
                <w:color w:val="17232B"/>
                <w:sz w:val="17"/>
              </w:rPr>
              <w:t>Web application architecture and workflow</w:t>
            </w:r>
          </w:p>
        </w:tc>
      </w:tr>
      <w:tr>
        <w:tc>
          <w:tcPr>
            <w:tcW w:type="dxa" w:w="144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18–19</w:t>
            </w:r>
          </w:p>
        </w:tc>
        <w:tc>
          <w:tcPr>
            <w:tcW w:type="dxa" w:w="7560"/>
            <w:vAlign w:val="center"/>
            <w:tcMar>
              <w:top w:w="85" w:type="dxa"/>
              <w:start w:w="100" w:type="dxa"/>
              <w:bottom w:w="85" w:type="dxa"/>
              <w:end w:w="100" w:type="dxa"/>
            </w:tcMar>
            <w:shd w:fill="F1F6F7"/>
          </w:tcPr>
          <w:p>
            <w:pPr>
              <w:spacing w:after="0" w:line="240" w:lineRule="auto"/>
            </w:pPr>
            <w:r>
              <w:rPr>
                <w:rFonts w:ascii="Calibri" w:hAnsi="Calibri"/>
                <w:color w:val="17232B"/>
                <w:sz w:val="17"/>
              </w:rPr>
              <w:t>Model considerations, reproducibility, CO mapping and sources</w:t>
            </w:r>
          </w:p>
        </w:tc>
      </w:tr>
    </w:tbl>
    <w:p>
      <w:pPr>
        <w:spacing w:after="0"/>
      </w:pPr>
    </w:p>
    <w:p>
      <w:r>
        <w:br w:type="page"/>
      </w:r>
    </w:p>
    <w:p>
      <w:pPr>
        <w:pStyle w:val="Heading1"/>
      </w:pPr>
      <w:r>
        <w:rPr>
          <w:color w:val="000000"/>
        </w:rPr>
        <w:t>1  Problem Definition</w:t>
      </w:r>
    </w:p>
    <w:p>
      <w:pPr>
        <w:widowControl/>
      </w:pPr>
      <w:r>
        <w:rPr>
          <w:rFonts w:ascii="Calibri" w:hAnsi="Calibri"/>
        </w:rPr>
        <w:t>Households often want a rough sense of next month's electricity requirement before a utility bill arrives. Appliance counts and household composition are informative, but they do not directly state monthly kilowatt-hours. This project frames the task as supervised regression: learn a mapping from household attributes to a continuous target, Monthly_Usage_kWh.</w:t>
      </w:r>
    </w:p>
    <w:p>
      <w:pPr>
        <w:pStyle w:val="Heading2"/>
      </w:pPr>
      <w:r>
        <w:rPr>
          <w:color w:val="000000"/>
        </w:rPr>
        <w:t>Problem statement</w:t>
      </w:r>
    </w:p>
    <w:p>
      <w:pPr>
        <w:widowControl/>
      </w:pPr>
      <w:r>
        <w:rPr>
          <w:rFonts w:ascii="Calibri" w:hAnsi="Calibri"/>
        </w:rPr>
        <w:t>Given a household profile x with 12 available predictors, estimate y = Monthly_Usage_kWh. The model returns a non-negative monthly kWh estimate. The web application then computes an indicative bill as predicted kWh multiplied by the user's tariff per kWh.</w:t>
      </w:r>
    </w:p>
    <w:p>
      <w:pPr>
        <w:pStyle w:val="Heading2"/>
      </w:pPr>
      <w:r>
        <w:rPr>
          <w:color w:val="000000"/>
        </w:rPr>
        <w:t>Why regression</w:t>
      </w:r>
    </w:p>
    <w:p>
      <w:pPr>
        <w:widowControl/>
      </w:pPr>
      <w:r>
        <w:rPr>
          <w:rFonts w:ascii="Calibri" w:hAnsi="Calibri"/>
        </w:rPr>
        <w:t>The target is numerical and ordered. A classifier would require artificial consumption bands and discard the size of the difference between estimates. Regression preserves the target's unit, so an absolute error can be discussed directly as kWh.</w:t>
      </w:r>
    </w:p>
    <w:p>
      <w:pPr>
        <w:pStyle w:val="Heading2"/>
      </w:pPr>
      <w:r>
        <w:rPr>
          <w:color w:val="000000"/>
        </w:rPr>
        <w:t>Project objectives</w:t>
      </w:r>
    </w:p>
    <w:p>
      <w:pPr>
        <w:pStyle w:val="ListBullet"/>
        <w:spacing w:after="40" w:line="240" w:lineRule="auto"/>
        <w:ind w:left="360" w:hanging="173"/>
      </w:pPr>
      <w:r>
        <w:rPr>
          <w:rFonts w:ascii="Calibri" w:hAnsi="Calibri"/>
          <w:sz w:val="18"/>
        </w:rPr>
        <w:t>Define a measurable target and household input set.</w:t>
      </w:r>
    </w:p>
    <w:p>
      <w:pPr>
        <w:pStyle w:val="ListBullet"/>
        <w:spacing w:after="40" w:line="240" w:lineRule="auto"/>
        <w:ind w:left="360" w:hanging="173"/>
      </w:pPr>
      <w:r>
        <w:rPr>
          <w:rFonts w:ascii="Calibri" w:hAnsi="Calibri"/>
          <w:sz w:val="18"/>
        </w:rPr>
        <w:t>Clean and split the dataset, fitting all preprocessing only on training data.</w:t>
      </w:r>
    </w:p>
    <w:p>
      <w:pPr>
        <w:pStyle w:val="ListBullet"/>
        <w:spacing w:after="40" w:line="240" w:lineRule="auto"/>
        <w:ind w:left="360" w:hanging="173"/>
      </w:pPr>
      <w:r>
        <w:rPr>
          <w:rFonts w:ascii="Calibri" w:hAnsi="Calibri"/>
          <w:sz w:val="18"/>
        </w:rPr>
        <w:t>Train Linear Regression as a baseline and Ridge as a regularized candidate.</w:t>
      </w:r>
    </w:p>
    <w:p>
      <w:pPr>
        <w:pStyle w:val="ListBullet"/>
        <w:spacing w:after="40" w:line="240" w:lineRule="auto"/>
        <w:ind w:left="360" w:hanging="173"/>
      </w:pPr>
      <w:r>
        <w:rPr>
          <w:rFonts w:ascii="Calibri" w:hAnsi="Calibri"/>
          <w:sz w:val="18"/>
        </w:rPr>
        <w:t>Tune Ridge with training-only five-fold CV and evaluate on a held-out test set.</w:t>
      </w:r>
    </w:p>
    <w:p>
      <w:pPr>
        <w:pStyle w:val="ListBullet"/>
        <w:spacing w:after="40" w:line="240" w:lineRule="auto"/>
        <w:ind w:left="360" w:hanging="173"/>
      </w:pPr>
      <w:r>
        <w:rPr>
          <w:rFonts w:ascii="Calibri" w:hAnsi="Calibri"/>
          <w:sz w:val="18"/>
        </w:rPr>
        <w:t>Analyze overall, subgroup, residual and cold-start errors.</w:t>
      </w:r>
    </w:p>
    <w:p>
      <w:pPr>
        <w:pStyle w:val="ListBullet"/>
        <w:spacing w:after="40" w:line="240" w:lineRule="auto"/>
        <w:ind w:left="360" w:hanging="173"/>
      </w:pPr>
      <w:r>
        <w:rPr>
          <w:rFonts w:ascii="Calibri" w:hAnsi="Calibri"/>
          <w:sz w:val="18"/>
        </w:rPr>
        <w:t>Connect the model to an authenticated web app and document limits.</w:t>
      </w:r>
    </w:p>
    <w:p>
      <w:pPr>
        <w:widowControl/>
      </w:pPr>
      <w:r>
        <w:rPr>
          <w:rFonts w:ascii="Calibri" w:hAnsi="Calibri"/>
        </w:rPr>
        <w:t>The system presents a monthly estimate in kWh and computes a corresponding bill estimate from the tariff entered by the user.</w:t>
      </w:r>
    </w:p>
    <w:p>
      <w:r>
        <w:br w:type="page"/>
      </w:r>
    </w:p>
    <w:p>
      <w:pPr>
        <w:pStyle w:val="Heading1"/>
      </w:pPr>
      <w:r>
        <w:rPr>
          <w:color w:val="000000"/>
        </w:rPr>
        <w:t>2  Objectives and System Scope</w:t>
      </w:r>
    </w:p>
    <w:p>
      <w:pPr>
        <w:widowControl/>
      </w:pPr>
      <w:r>
        <w:rPr>
          <w:rFonts w:ascii="Calibri" w:hAnsi="Calibri"/>
        </w:rPr>
        <w:t>The application turns the model into a household workflow. A new user registers with an empty history, enters home details and requests an estimate. Returning users sign in, inspect recent estimates and can begin with the latest estimate as an editable previous-month value.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val="true"/>
        </w:trPr>
        <w:tc>
          <w:tcPr>
            <w:tcW w:type="dxa" w:w="1512"/>
            <w:vAlign w:val="center"/>
            <w:shd w:fill="163446"/>
            <w:tcMar>
              <w:top w:w="85" w:type="dxa"/>
              <w:start w:w="100" w:type="dxa"/>
              <w:bottom w:w="85" w:type="dxa"/>
              <w:end w:w="100" w:type="dxa"/>
            </w:tcMar>
          </w:tcPr>
          <w:p>
            <w:pPr>
              <w:spacing w:after="0"/>
            </w:pPr>
            <w:r>
              <w:rPr>
                <w:rFonts w:ascii="Calibri" w:hAnsi="Calibri"/>
                <w:b/>
                <w:color w:val="FFFFFF"/>
                <w:sz w:val="16"/>
              </w:rPr>
              <w:t>Layer</w:t>
            </w:r>
          </w:p>
        </w:tc>
        <w:tc>
          <w:tcPr>
            <w:tcW w:type="dxa" w:w="3312"/>
            <w:vAlign w:val="center"/>
            <w:shd w:fill="163446"/>
            <w:tcMar>
              <w:top w:w="85" w:type="dxa"/>
              <w:start w:w="100" w:type="dxa"/>
              <w:bottom w:w="85" w:type="dxa"/>
              <w:end w:w="100" w:type="dxa"/>
            </w:tcMar>
          </w:tcPr>
          <w:p>
            <w:pPr>
              <w:spacing w:after="0"/>
            </w:pPr>
            <w:r>
              <w:rPr>
                <w:rFonts w:ascii="Calibri" w:hAnsi="Calibri"/>
                <w:b/>
                <w:color w:val="FFFFFF"/>
                <w:sz w:val="16"/>
              </w:rPr>
              <w:t>Responsibility</w:t>
            </w:r>
          </w:p>
        </w:tc>
        <w:tc>
          <w:tcPr>
            <w:tcW w:type="dxa" w:w="4968"/>
            <w:vAlign w:val="center"/>
            <w:shd w:fill="163446"/>
            <w:tcMar>
              <w:top w:w="85" w:type="dxa"/>
              <w:start w:w="100" w:type="dxa"/>
              <w:bottom w:w="85" w:type="dxa"/>
              <w:end w:w="100" w:type="dxa"/>
            </w:tcMar>
          </w:tcPr>
          <w:p>
            <w:pPr>
              <w:spacing w:after="0"/>
            </w:pPr>
            <w:r>
              <w:rPr>
                <w:rFonts w:ascii="Calibri" w:hAnsi="Calibri"/>
                <w:b/>
                <w:color w:val="FFFFFF"/>
                <w:sz w:val="16"/>
              </w:rPr>
              <w:t>Implementation</w:t>
            </w:r>
          </w:p>
        </w:tc>
      </w:tr>
      <w:tr>
        <w:tc>
          <w:tcPr>
            <w:tcW w:type="dxa" w:w="1512"/>
            <w:vAlign w:val="center"/>
            <w:tcMar>
              <w:top w:w="85" w:type="dxa"/>
              <w:start w:w="100" w:type="dxa"/>
              <w:bottom w:w="85" w:type="dxa"/>
              <w:end w:w="100" w:type="dxa"/>
            </w:tcMar>
          </w:tcPr>
          <w:p>
            <w:pPr>
              <w:spacing w:after="0" w:line="240" w:lineRule="auto"/>
            </w:pPr>
            <w:r>
              <w:rPr>
                <w:rFonts w:ascii="Calibri" w:hAnsi="Calibri"/>
                <w:color w:val="17232B"/>
                <w:sz w:val="16"/>
              </w:rPr>
              <w:t>Frontend</w:t>
            </w:r>
          </w:p>
        </w:tc>
        <w:tc>
          <w:tcPr>
            <w:tcW w:type="dxa" w:w="3312"/>
            <w:vAlign w:val="center"/>
            <w:tcMar>
              <w:top w:w="85" w:type="dxa"/>
              <w:start w:w="100" w:type="dxa"/>
              <w:bottom w:w="85" w:type="dxa"/>
              <w:end w:w="100" w:type="dxa"/>
            </w:tcMar>
          </w:tcPr>
          <w:p>
            <w:pPr>
              <w:spacing w:after="0" w:line="240" w:lineRule="auto"/>
            </w:pPr>
            <w:r>
              <w:rPr>
                <w:rFonts w:ascii="Calibri" w:hAnsi="Calibri"/>
                <w:color w:val="17232B"/>
                <w:sz w:val="16"/>
              </w:rPr>
              <w:t>Collect inputs; display kWh, bill and activity</w:t>
            </w:r>
          </w:p>
        </w:tc>
        <w:tc>
          <w:tcPr>
            <w:tcW w:type="dxa" w:w="4968"/>
            <w:vAlign w:val="center"/>
            <w:tcMar>
              <w:top w:w="85" w:type="dxa"/>
              <w:start w:w="100" w:type="dxa"/>
              <w:bottom w:w="85" w:type="dxa"/>
              <w:end w:w="100" w:type="dxa"/>
            </w:tcMar>
          </w:tcPr>
          <w:p>
            <w:pPr>
              <w:spacing w:after="0" w:line="240" w:lineRule="auto"/>
            </w:pPr>
            <w:r>
              <w:rPr>
                <w:rFonts w:ascii="Calibri" w:hAnsi="Calibri"/>
                <w:color w:val="17232B"/>
                <w:sz w:val="16"/>
              </w:rPr>
              <w:t>React 19 dashboard</w:t>
            </w:r>
          </w:p>
        </w:tc>
      </w:tr>
      <w:tr>
        <w:tc>
          <w:tcPr>
            <w:tcW w:type="dxa" w:w="1512"/>
            <w:vAlign w:val="center"/>
            <w:tcMar>
              <w:top w:w="85" w:type="dxa"/>
              <w:start w:w="100" w:type="dxa"/>
              <w:bottom w:w="85" w:type="dxa"/>
              <w:end w:w="100" w:type="dxa"/>
            </w:tcMar>
            <w:shd w:fill="F1F6F7"/>
          </w:tcPr>
          <w:p>
            <w:pPr>
              <w:spacing w:after="0" w:line="240" w:lineRule="auto"/>
            </w:pPr>
            <w:r>
              <w:rPr>
                <w:rFonts w:ascii="Calibri" w:hAnsi="Calibri"/>
                <w:color w:val="17232B"/>
                <w:sz w:val="16"/>
              </w:rPr>
              <w:t>API</w:t>
            </w:r>
          </w:p>
        </w:tc>
        <w:tc>
          <w:tcPr>
            <w:tcW w:type="dxa" w:w="3312"/>
            <w:vAlign w:val="center"/>
            <w:tcMar>
              <w:top w:w="85" w:type="dxa"/>
              <w:start w:w="100" w:type="dxa"/>
              <w:bottom w:w="85" w:type="dxa"/>
              <w:end w:w="100" w:type="dxa"/>
            </w:tcMar>
            <w:shd w:fill="F1F6F7"/>
          </w:tcPr>
          <w:p>
            <w:pPr>
              <w:spacing w:after="0" w:line="240" w:lineRule="auto"/>
            </w:pPr>
            <w:r>
              <w:rPr>
                <w:rFonts w:ascii="Calibri" w:hAnsi="Calibri"/>
                <w:color w:val="17232B"/>
                <w:sz w:val="16"/>
              </w:rPr>
              <w:t>Validate, authenticate, predict, calculate bill</w:t>
            </w:r>
          </w:p>
        </w:tc>
        <w:tc>
          <w:tcPr>
            <w:tcW w:type="dxa" w:w="4968"/>
            <w:vAlign w:val="center"/>
            <w:tcMar>
              <w:top w:w="85" w:type="dxa"/>
              <w:start w:w="100" w:type="dxa"/>
              <w:bottom w:w="85" w:type="dxa"/>
              <w:end w:w="100" w:type="dxa"/>
            </w:tcMar>
            <w:shd w:fill="F1F6F7"/>
          </w:tcPr>
          <w:p>
            <w:pPr>
              <w:spacing w:after="0" w:line="240" w:lineRule="auto"/>
            </w:pPr>
            <w:r>
              <w:rPr>
                <w:rFonts w:ascii="Calibri" w:hAnsi="Calibri"/>
                <w:color w:val="17232B"/>
                <w:sz w:val="16"/>
              </w:rPr>
              <w:t>Express 5 JSON routes</w:t>
            </w:r>
          </w:p>
        </w:tc>
      </w:tr>
      <w:tr>
        <w:tc>
          <w:tcPr>
            <w:tcW w:type="dxa" w:w="1512"/>
            <w:vAlign w:val="center"/>
            <w:tcMar>
              <w:top w:w="85" w:type="dxa"/>
              <w:start w:w="100" w:type="dxa"/>
              <w:bottom w:w="85" w:type="dxa"/>
              <w:end w:w="100" w:type="dxa"/>
            </w:tcMar>
          </w:tcPr>
          <w:p>
            <w:pPr>
              <w:spacing w:after="0" w:line="240" w:lineRule="auto"/>
            </w:pPr>
            <w:r>
              <w:rPr>
                <w:rFonts w:ascii="Calibri" w:hAnsi="Calibri"/>
                <w:color w:val="17232B"/>
                <w:sz w:val="16"/>
              </w:rPr>
              <w:t>Model bridge</w:t>
            </w:r>
          </w:p>
        </w:tc>
        <w:tc>
          <w:tcPr>
            <w:tcW w:type="dxa" w:w="3312"/>
            <w:vAlign w:val="center"/>
            <w:tcMar>
              <w:top w:w="85" w:type="dxa"/>
              <w:start w:w="100" w:type="dxa"/>
              <w:bottom w:w="85" w:type="dxa"/>
              <w:end w:w="100" w:type="dxa"/>
            </w:tcMar>
          </w:tcPr>
          <w:p>
            <w:pPr>
              <w:spacing w:after="0" w:line="240" w:lineRule="auto"/>
            </w:pPr>
            <w:r>
              <w:rPr>
                <w:rFonts w:ascii="Calibri" w:hAnsi="Calibri"/>
                <w:color w:val="17232B"/>
                <w:sz w:val="16"/>
              </w:rPr>
              <w:t>Convert JSON to features and invoke model</w:t>
            </w:r>
          </w:p>
        </w:tc>
        <w:tc>
          <w:tcPr>
            <w:tcW w:type="dxa" w:w="4968"/>
            <w:vAlign w:val="center"/>
            <w:tcMar>
              <w:top w:w="85" w:type="dxa"/>
              <w:start w:w="100" w:type="dxa"/>
              <w:bottom w:w="85" w:type="dxa"/>
              <w:end w:w="100" w:type="dxa"/>
            </w:tcMar>
          </w:tcPr>
          <w:p>
            <w:pPr>
              <w:spacing w:after="0" w:line="240" w:lineRule="auto"/>
            </w:pPr>
            <w:r>
              <w:rPr>
                <w:rFonts w:ascii="Calibri" w:hAnsi="Calibri"/>
                <w:color w:val="17232B"/>
                <w:sz w:val="16"/>
              </w:rPr>
              <w:t>Python, pandas and joblib</w:t>
            </w:r>
          </w:p>
        </w:tc>
      </w:tr>
      <w:tr>
        <w:tc>
          <w:tcPr>
            <w:tcW w:type="dxa" w:w="1512"/>
            <w:vAlign w:val="center"/>
            <w:tcMar>
              <w:top w:w="85" w:type="dxa"/>
              <w:start w:w="100" w:type="dxa"/>
              <w:bottom w:w="85" w:type="dxa"/>
              <w:end w:w="100" w:type="dxa"/>
            </w:tcMar>
            <w:shd w:fill="F1F6F7"/>
          </w:tcPr>
          <w:p>
            <w:pPr>
              <w:spacing w:after="0" w:line="240" w:lineRule="auto"/>
            </w:pPr>
            <w:r>
              <w:rPr>
                <w:rFonts w:ascii="Calibri" w:hAnsi="Calibri"/>
                <w:color w:val="17232B"/>
                <w:sz w:val="16"/>
              </w:rPr>
              <w:t>Estimator</w:t>
            </w:r>
          </w:p>
        </w:tc>
        <w:tc>
          <w:tcPr>
            <w:tcW w:type="dxa" w:w="3312"/>
            <w:vAlign w:val="center"/>
            <w:tcMar>
              <w:top w:w="85" w:type="dxa"/>
              <w:start w:w="100" w:type="dxa"/>
              <w:bottom w:w="85" w:type="dxa"/>
              <w:end w:w="100" w:type="dxa"/>
            </w:tcMar>
            <w:shd w:fill="F1F6F7"/>
          </w:tcPr>
          <w:p>
            <w:pPr>
              <w:spacing w:after="0" w:line="240" w:lineRule="auto"/>
            </w:pPr>
            <w:r>
              <w:rPr>
                <w:rFonts w:ascii="Calibri" w:hAnsi="Calibri"/>
                <w:color w:val="17232B"/>
                <w:sz w:val="16"/>
              </w:rPr>
              <w:t>Transform household data and predict kWh</w:t>
            </w:r>
          </w:p>
        </w:tc>
        <w:tc>
          <w:tcPr>
            <w:tcW w:type="dxa" w:w="4968"/>
            <w:vAlign w:val="center"/>
            <w:tcMar>
              <w:top w:w="85" w:type="dxa"/>
              <w:start w:w="100" w:type="dxa"/>
              <w:bottom w:w="85" w:type="dxa"/>
              <w:end w:w="100" w:type="dxa"/>
            </w:tcMar>
            <w:shd w:fill="F1F6F7"/>
          </w:tcPr>
          <w:p>
            <w:pPr>
              <w:spacing w:after="0" w:line="240" w:lineRule="auto"/>
            </w:pPr>
            <w:r>
              <w:rPr>
                <w:rFonts w:ascii="Calibri" w:hAnsi="Calibri"/>
                <w:color w:val="17232B"/>
                <w:sz w:val="16"/>
              </w:rPr>
              <w:t>scikit-learn Ridge pipeline</w:t>
            </w:r>
          </w:p>
        </w:tc>
      </w:tr>
      <w:tr>
        <w:tc>
          <w:tcPr>
            <w:tcW w:type="dxa" w:w="1512"/>
            <w:vAlign w:val="center"/>
            <w:tcMar>
              <w:top w:w="85" w:type="dxa"/>
              <w:start w:w="100" w:type="dxa"/>
              <w:bottom w:w="85" w:type="dxa"/>
              <w:end w:w="100" w:type="dxa"/>
            </w:tcMar>
          </w:tcPr>
          <w:p>
            <w:pPr>
              <w:spacing w:after="0" w:line="240" w:lineRule="auto"/>
            </w:pPr>
            <w:r>
              <w:rPr>
                <w:rFonts w:ascii="Calibri" w:hAnsi="Calibri"/>
                <w:color w:val="17232B"/>
                <w:sz w:val="16"/>
              </w:rPr>
              <w:t>Persistence</w:t>
            </w:r>
          </w:p>
        </w:tc>
        <w:tc>
          <w:tcPr>
            <w:tcW w:type="dxa" w:w="3312"/>
            <w:vAlign w:val="center"/>
            <w:tcMar>
              <w:top w:w="85" w:type="dxa"/>
              <w:start w:w="100" w:type="dxa"/>
              <w:bottom w:w="85" w:type="dxa"/>
              <w:end w:w="100" w:type="dxa"/>
            </w:tcMar>
          </w:tcPr>
          <w:p>
            <w:pPr>
              <w:spacing w:after="0" w:line="240" w:lineRule="auto"/>
            </w:pPr>
            <w:r>
              <w:rPr>
                <w:rFonts w:ascii="Calibri" w:hAnsi="Calibri"/>
                <w:color w:val="17232B"/>
                <w:sz w:val="16"/>
              </w:rPr>
              <w:t>Keep accounts, sessions and estimates</w:t>
            </w:r>
          </w:p>
        </w:tc>
        <w:tc>
          <w:tcPr>
            <w:tcW w:type="dxa" w:w="4968"/>
            <w:vAlign w:val="center"/>
            <w:tcMar>
              <w:top w:w="85" w:type="dxa"/>
              <w:start w:w="100" w:type="dxa"/>
              <w:bottom w:w="85" w:type="dxa"/>
              <w:end w:w="100" w:type="dxa"/>
            </w:tcMar>
          </w:tcPr>
          <w:p>
            <w:pPr>
              <w:spacing w:after="0" w:line="240" w:lineRule="auto"/>
            </w:pPr>
            <w:r>
              <w:rPr>
                <w:rFonts w:ascii="Calibri" w:hAnsi="Calibri"/>
                <w:color w:val="17232B"/>
                <w:sz w:val="16"/>
              </w:rPr>
              <w:t>SQLite</w:t>
            </w:r>
          </w:p>
        </w:tc>
      </w:tr>
    </w:tbl>
    <w:p>
      <w:pPr>
        <w:spacing w:after="0"/>
      </w:pPr>
    </w:p>
    <w:p>
      <w:pPr>
        <w:pStyle w:val="Heading2"/>
      </w:pPr>
      <w:r>
        <w:rPr>
          <w:color w:val="000000"/>
        </w:rPr>
        <w:t>What it returns</w:t>
      </w:r>
    </w:p>
    <w:p>
      <w:pPr>
        <w:widowControl/>
      </w:pPr>
      <w:r>
        <w:rPr>
          <w:rFonts w:ascii="Calibri" w:hAnsi="Calibri"/>
        </w:rPr>
        <w:t>The result includes estimated usage, chosen tariff, estimated total and creation time. The arithmetic is transparent: bill estimate = predicted kWh × tariff per kWh.</w:t>
      </w:r>
    </w:p>
    <w:p>
      <w:r>
        <w:br w:type="page"/>
      </w:r>
    </w:p>
    <w:p>
      <w:pPr>
        <w:pStyle w:val="Heading1"/>
      </w:pPr>
      <w:r>
        <w:rPr>
          <w:color w:val="000000"/>
        </w:rPr>
        <w:t>3  Dataset Source and Selected Fields</w:t>
      </w:r>
    </w:p>
    <w:p>
      <w:pPr>
        <w:widowControl/>
      </w:pPr>
      <w:r>
        <w:rPr>
          <w:rFonts w:ascii="Calibri" w:hAnsi="Calibri"/>
        </w:rPr>
        <w:t>The project uses the CSV associated with the Kaggle Electricity Bill Prediction page supplied for the project [1], stored as data/electricity_bill_prediction.csv. It has 1,000 rows and 19 columns.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2232"/>
            <w:vAlign w:val="center"/>
            <w:shd w:fill="163446"/>
            <w:tcMar>
              <w:top w:w="85" w:type="dxa"/>
              <w:start w:w="100" w:type="dxa"/>
              <w:bottom w:w="85" w:type="dxa"/>
              <w:end w:w="100" w:type="dxa"/>
            </w:tcMar>
          </w:tcPr>
          <w:p>
            <w:pPr>
              <w:spacing w:after="0"/>
            </w:pPr>
            <w:r>
              <w:rPr>
                <w:rFonts w:ascii="Calibri" w:hAnsi="Calibri"/>
                <w:b/>
                <w:color w:val="FFFFFF"/>
                <w:sz w:val="17"/>
              </w:rPr>
              <w:t>Predictor group</w:t>
            </w:r>
          </w:p>
        </w:tc>
        <w:tc>
          <w:tcPr>
            <w:tcW w:type="dxa" w:w="7416"/>
            <w:vAlign w:val="center"/>
            <w:shd w:fill="163446"/>
            <w:tcMar>
              <w:top w:w="85" w:type="dxa"/>
              <w:start w:w="100" w:type="dxa"/>
              <w:bottom w:w="85" w:type="dxa"/>
              <w:end w:w="100" w:type="dxa"/>
            </w:tcMar>
          </w:tcPr>
          <w:p>
            <w:pPr>
              <w:spacing w:after="0"/>
            </w:pPr>
            <w:r>
              <w:rPr>
                <w:rFonts w:ascii="Calibri" w:hAnsi="Calibri"/>
                <w:b/>
                <w:color w:val="FFFFFF"/>
                <w:sz w:val="17"/>
              </w:rPr>
              <w:t>Fields included</w:t>
            </w:r>
          </w:p>
        </w:tc>
      </w:tr>
      <w:tr>
        <w:tc>
          <w:tcPr>
            <w:tcW w:type="dxa" w:w="2232"/>
            <w:vAlign w:val="center"/>
            <w:tcMar>
              <w:top w:w="85" w:type="dxa"/>
              <w:start w:w="100" w:type="dxa"/>
              <w:bottom w:w="85" w:type="dxa"/>
              <w:end w:w="100" w:type="dxa"/>
            </w:tcMar>
          </w:tcPr>
          <w:p>
            <w:pPr>
              <w:spacing w:after="0" w:line="240" w:lineRule="auto"/>
            </w:pPr>
            <w:r>
              <w:rPr>
                <w:rFonts w:ascii="Calibri" w:hAnsi="Calibri"/>
                <w:color w:val="17232B"/>
                <w:sz w:val="17"/>
              </w:rPr>
              <w:t>Home and people</w:t>
            </w:r>
          </w:p>
        </w:tc>
        <w:tc>
          <w:tcPr>
            <w:tcW w:type="dxa" w:w="7416"/>
            <w:vAlign w:val="center"/>
            <w:tcMar>
              <w:top w:w="85" w:type="dxa"/>
              <w:start w:w="100" w:type="dxa"/>
              <w:bottom w:w="85" w:type="dxa"/>
              <w:end w:w="100" w:type="dxa"/>
            </w:tcMar>
          </w:tcPr>
          <w:p>
            <w:pPr>
              <w:spacing w:after="0" w:line="240" w:lineRule="auto"/>
            </w:pPr>
            <w:r>
              <w:rPr>
                <w:rFonts w:ascii="Calibri" w:hAnsi="Calibri"/>
                <w:color w:val="17232B"/>
                <w:sz w:val="17"/>
              </w:rPr>
              <w:t>Household_Size; Rooms; Area_Type</w:t>
            </w:r>
          </w:p>
        </w:tc>
      </w:tr>
      <w:tr>
        <w:tc>
          <w:tcPr>
            <w:tcW w:type="dxa" w:w="2232"/>
            <w:vAlign w:val="center"/>
            <w:tcMar>
              <w:top w:w="85" w:type="dxa"/>
              <w:start w:w="100" w:type="dxa"/>
              <w:bottom w:w="85" w:type="dxa"/>
              <w:end w:w="100" w:type="dxa"/>
            </w:tcMar>
            <w:shd w:fill="F1F6F7"/>
          </w:tcPr>
          <w:p>
            <w:pPr>
              <w:spacing w:after="0" w:line="240" w:lineRule="auto"/>
            </w:pPr>
            <w:r>
              <w:rPr>
                <w:rFonts w:ascii="Calibri" w:hAnsi="Calibri"/>
                <w:color w:val="17232B"/>
                <w:sz w:val="17"/>
              </w:rPr>
              <w:t>Appliances</w:t>
            </w:r>
          </w:p>
        </w:tc>
        <w:tc>
          <w:tcPr>
            <w:tcW w:type="dxa" w:w="7416"/>
            <w:vAlign w:val="center"/>
            <w:tcMar>
              <w:top w:w="85" w:type="dxa"/>
              <w:start w:w="100" w:type="dxa"/>
              <w:bottom w:w="85" w:type="dxa"/>
              <w:end w:w="100" w:type="dxa"/>
            </w:tcMar>
            <w:shd w:fill="F1F6F7"/>
          </w:tcPr>
          <w:p>
            <w:pPr>
              <w:spacing w:after="0" w:line="240" w:lineRule="auto"/>
            </w:pPr>
            <w:r>
              <w:rPr>
                <w:rFonts w:ascii="Calibri" w:hAnsi="Calibri"/>
                <w:color w:val="17232B"/>
                <w:sz w:val="17"/>
              </w:rPr>
              <w:t>AC_Units; Fan_Count; Light_Count; Refrigerator; TV_Count; Washing_Machine; Other_Appliances</w:t>
            </w:r>
          </w:p>
        </w:tc>
      </w:tr>
      <w:tr>
        <w:tc>
          <w:tcPr>
            <w:tcW w:type="dxa" w:w="2232"/>
            <w:vAlign w:val="center"/>
            <w:tcMar>
              <w:top w:w="85" w:type="dxa"/>
              <w:start w:w="100" w:type="dxa"/>
              <w:bottom w:w="85" w:type="dxa"/>
              <w:end w:w="100" w:type="dxa"/>
            </w:tcMar>
          </w:tcPr>
          <w:p>
            <w:pPr>
              <w:spacing w:after="0" w:line="240" w:lineRule="auto"/>
            </w:pPr>
            <w:r>
              <w:rPr>
                <w:rFonts w:ascii="Calibri" w:hAnsi="Calibri"/>
                <w:color w:val="17232B"/>
                <w:sz w:val="17"/>
              </w:rPr>
              <w:t>Context and history</w:t>
            </w:r>
          </w:p>
        </w:tc>
        <w:tc>
          <w:tcPr>
            <w:tcW w:type="dxa" w:w="7416"/>
            <w:vAlign w:val="center"/>
            <w:tcMar>
              <w:top w:w="85" w:type="dxa"/>
              <w:start w:w="100" w:type="dxa"/>
              <w:bottom w:w="85" w:type="dxa"/>
              <w:end w:w="100" w:type="dxa"/>
            </w:tcMar>
          </w:tcPr>
          <w:p>
            <w:pPr>
              <w:spacing w:after="0" w:line="240" w:lineRule="auto"/>
            </w:pPr>
            <w:r>
              <w:rPr>
                <w:rFonts w:ascii="Calibri" w:hAnsi="Calibri"/>
                <w:color w:val="17232B"/>
                <w:sz w:val="17"/>
              </w:rPr>
              <w:t>Previous_Month_Usage_kWh; Temperature_C</w:t>
            </w:r>
          </w:p>
        </w:tc>
      </w:tr>
      <w:tr>
        <w:tc>
          <w:tcPr>
            <w:tcW w:type="dxa" w:w="2232"/>
            <w:vAlign w:val="center"/>
            <w:tcMar>
              <w:top w:w="85" w:type="dxa"/>
              <w:start w:w="100" w:type="dxa"/>
              <w:bottom w:w="85" w:type="dxa"/>
              <w:end w:w="100" w:type="dxa"/>
            </w:tcMar>
            <w:shd w:fill="F1F6F7"/>
          </w:tcPr>
          <w:p>
            <w:pPr>
              <w:spacing w:after="0" w:line="240" w:lineRule="auto"/>
            </w:pPr>
            <w:r>
              <w:rPr>
                <w:rFonts w:ascii="Calibri" w:hAnsi="Calibri"/>
                <w:color w:val="17232B"/>
                <w:sz w:val="17"/>
              </w:rPr>
              <w:t>Target</w:t>
            </w:r>
          </w:p>
        </w:tc>
        <w:tc>
          <w:tcPr>
            <w:tcW w:type="dxa" w:w="7416"/>
            <w:vAlign w:val="center"/>
            <w:tcMar>
              <w:top w:w="85" w:type="dxa"/>
              <w:start w:w="100" w:type="dxa"/>
              <w:bottom w:w="85" w:type="dxa"/>
              <w:end w:w="100" w:type="dxa"/>
            </w:tcMar>
            <w:shd w:fill="F1F6F7"/>
          </w:tcPr>
          <w:p>
            <w:pPr>
              <w:spacing w:after="0" w:line="240" w:lineRule="auto"/>
            </w:pPr>
            <w:r>
              <w:rPr>
                <w:rFonts w:ascii="Calibri" w:hAnsi="Calibri"/>
                <w:color w:val="17232B"/>
                <w:sz w:val="17"/>
              </w:rPr>
              <w:t>Monthly_Usage_kWh</w:t>
            </w:r>
          </w:p>
        </w:tc>
      </w:tr>
    </w:tbl>
    <w:p>
      <w:pPr>
        <w:spacing w:after="0"/>
      </w:pPr>
    </w:p>
    <w:p>
      <w:pPr>
        <w:pStyle w:val="Heading2"/>
      </w:pPr>
      <w:r>
        <w:rPr>
          <w:color w:val="000000"/>
        </w:rPr>
        <w:t>Fields excluded</w:t>
      </w:r>
    </w:p>
    <w:p>
      <w:pPr>
        <w:widowControl/>
      </w:pPr>
      <w:r>
        <w:rPr>
          <w:rFonts w:ascii="Calibri" w:hAnsi="Calibri"/>
        </w:rPr>
        <w:t>Customer_ID is an identifier and could encourage memorization. Location is omitted because it is not needed for this compact model. Meter_Type and Tariff_Category do not directly describe consumption. Previous_Bill_BDT and Electricity_Bill_BDT are bill values, not the target; including current bill could leak information closely tied to use and tariff.</w:t>
      </w:r>
    </w:p>
    <w:p>
      <w:r>
        <w:br w:type="page"/>
      </w:r>
    </w:p>
    <w:p>
      <w:pPr>
        <w:pStyle w:val="Heading1"/>
      </w:pPr>
      <w:r>
        <w:rPr>
          <w:color w:val="000000"/>
        </w:rPr>
        <w:t>4  Dataset Profile and Data Quality</w:t>
      </w:r>
    </w:p>
    <w:p>
      <w:pPr>
        <w:spacing w:after="20"/>
        <w:jc w:val="center"/>
      </w:pPr>
      <w:r>
        <w:drawing>
          <wp:inline xmlns:a="http://schemas.openxmlformats.org/drawingml/2006/main" xmlns:pic="http://schemas.openxmlformats.org/drawingml/2006/picture">
            <wp:extent cx="5989320" cy="1796796"/>
            <wp:docPr id="1" name="Picture 1"/>
            <wp:cNvGraphicFramePr>
              <a:graphicFrameLocks noChangeAspect="1"/>
            </wp:cNvGraphicFramePr>
            <a:graphic>
              <a:graphicData uri="http://schemas.openxmlformats.org/drawingml/2006/picture">
                <pic:pic>
                  <pic:nvPicPr>
                    <pic:cNvPr id="0" name="profile.png"/>
                    <pic:cNvPicPr/>
                  </pic:nvPicPr>
                  <pic:blipFill>
                    <a:blip r:embed="rId11"/>
                    <a:stretch>
                      <a:fillRect/>
                    </a:stretch>
                  </pic:blipFill>
                  <pic:spPr>
                    <a:xfrm>
                      <a:off x="0" y="0"/>
                      <a:ext cx="5989320" cy="1796796"/>
                    </a:xfrm>
                    <a:prstGeom prst="rect"/>
                  </pic:spPr>
                </pic:pic>
              </a:graphicData>
            </a:graphic>
          </wp:inline>
        </w:drawing>
      </w:r>
    </w:p>
    <w:p>
      <w:pPr>
        <w:pStyle w:val="Caption"/>
        <w:spacing w:after="80"/>
        <w:jc w:val="center"/>
      </w:pPr>
      <w:r>
        <w:t>Figure 1. Monthly target distribution and area-type counts in the supplied CSV.</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4032"/>
            <w:vAlign w:val="center"/>
            <w:shd w:fill="163446"/>
            <w:tcMar>
              <w:top w:w="85" w:type="dxa"/>
              <w:start w:w="100" w:type="dxa"/>
              <w:bottom w:w="85" w:type="dxa"/>
              <w:end w:w="100" w:type="dxa"/>
            </w:tcMar>
          </w:tcPr>
          <w:p>
            <w:pPr>
              <w:spacing w:after="0"/>
            </w:pPr>
            <w:r>
              <w:rPr>
                <w:rFonts w:ascii="Calibri" w:hAnsi="Calibri"/>
                <w:b/>
                <w:color w:val="FFFFFF"/>
                <w:sz w:val="16"/>
              </w:rPr>
              <w:t>Profile item</w:t>
            </w:r>
          </w:p>
        </w:tc>
        <w:tc>
          <w:tcPr>
            <w:tcW w:type="dxa" w:w="5616"/>
            <w:vAlign w:val="center"/>
            <w:shd w:fill="163446"/>
            <w:tcMar>
              <w:top w:w="85" w:type="dxa"/>
              <w:start w:w="100" w:type="dxa"/>
              <w:bottom w:w="85" w:type="dxa"/>
              <w:end w:w="100" w:type="dxa"/>
            </w:tcMar>
          </w:tcPr>
          <w:p>
            <w:pPr>
              <w:spacing w:after="0"/>
            </w:pPr>
            <w:r>
              <w:rPr>
                <w:rFonts w:ascii="Calibri" w:hAnsi="Calibri"/>
                <w:b/>
                <w:color w:val="FFFFFF"/>
                <w:sz w:val="16"/>
              </w:rPr>
              <w:t>Observed value</w:t>
            </w:r>
          </w:p>
        </w:tc>
      </w:tr>
      <w:tr>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Rows / columns</w:t>
            </w:r>
          </w:p>
        </w:tc>
        <w:tc>
          <w:tcPr>
            <w:tcW w:type="dxa" w:w="5616"/>
            <w:vAlign w:val="center"/>
            <w:tcMar>
              <w:top w:w="85" w:type="dxa"/>
              <w:start w:w="100" w:type="dxa"/>
              <w:bottom w:w="85" w:type="dxa"/>
              <w:end w:w="100" w:type="dxa"/>
            </w:tcMar>
          </w:tcPr>
          <w:p>
            <w:pPr>
              <w:spacing w:after="0" w:line="240" w:lineRule="auto"/>
            </w:pPr>
            <w:r>
              <w:rPr>
                <w:rFonts w:ascii="Calibri" w:hAnsi="Calibri"/>
                <w:color w:val="17232B"/>
                <w:sz w:val="16"/>
              </w:rPr>
              <w:t>1,000 / 19</w:t>
            </w:r>
          </w:p>
        </w:tc>
      </w:tr>
      <w:tr>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Target mean / median / SD</w:t>
            </w:r>
          </w:p>
        </w:tc>
        <w:tc>
          <w:tcPr>
            <w:tcW w:type="dxa" w:w="5616"/>
            <w:vAlign w:val="center"/>
            <w:tcMar>
              <w:top w:w="85" w:type="dxa"/>
              <w:start w:w="100" w:type="dxa"/>
              <w:bottom w:w="85" w:type="dxa"/>
              <w:end w:w="100" w:type="dxa"/>
            </w:tcMar>
            <w:shd w:fill="F1F6F7"/>
          </w:tcPr>
          <w:p>
            <w:pPr>
              <w:spacing w:after="0" w:line="240" w:lineRule="auto"/>
            </w:pPr>
            <w:r>
              <w:rPr>
                <w:rFonts w:ascii="Calibri" w:hAnsi="Calibri"/>
                <w:color w:val="17232B"/>
                <w:sz w:val="16"/>
              </w:rPr>
              <w:t>370.78 / 357.55 / 108.90 kWh</w:t>
            </w:r>
          </w:p>
        </w:tc>
      </w:tr>
      <w:tr>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Target range</w:t>
            </w:r>
          </w:p>
        </w:tc>
        <w:tc>
          <w:tcPr>
            <w:tcW w:type="dxa" w:w="5616"/>
            <w:vAlign w:val="center"/>
            <w:tcMar>
              <w:top w:w="85" w:type="dxa"/>
              <w:start w:w="100" w:type="dxa"/>
              <w:bottom w:w="85" w:type="dxa"/>
              <w:end w:w="100" w:type="dxa"/>
            </w:tcMar>
          </w:tcPr>
          <w:p>
            <w:pPr>
              <w:spacing w:after="0" w:line="240" w:lineRule="auto"/>
            </w:pPr>
            <w:r>
              <w:rPr>
                <w:rFonts w:ascii="Calibri" w:hAnsi="Calibri"/>
                <w:color w:val="17232B"/>
                <w:sz w:val="16"/>
              </w:rPr>
              <w:t>136.8–718.0 kWh</w:t>
            </w:r>
          </w:p>
        </w:tc>
      </w:tr>
      <w:tr>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Area type</w:t>
            </w:r>
          </w:p>
        </w:tc>
        <w:tc>
          <w:tcPr>
            <w:tcW w:type="dxa" w:w="5616"/>
            <w:vAlign w:val="center"/>
            <w:tcMar>
              <w:top w:w="85" w:type="dxa"/>
              <w:start w:w="100" w:type="dxa"/>
              <w:bottom w:w="85" w:type="dxa"/>
              <w:end w:w="100" w:type="dxa"/>
            </w:tcMar>
            <w:shd w:fill="F1F6F7"/>
          </w:tcPr>
          <w:p>
            <w:pPr>
              <w:spacing w:after="0" w:line="240" w:lineRule="auto"/>
            </w:pPr>
            <w:r>
              <w:rPr>
                <w:rFonts w:ascii="Calibri" w:hAnsi="Calibri"/>
                <w:color w:val="17232B"/>
                <w:sz w:val="16"/>
              </w:rPr>
              <w:t>Urban 536 (53.6%); Semi-Urban 309 (30.9%); Rural 155 (15.5%)</w:t>
            </w:r>
          </w:p>
        </w:tc>
      </w:tr>
      <w:tr>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Exact duplicates removed</w:t>
            </w:r>
          </w:p>
        </w:tc>
        <w:tc>
          <w:tcPr>
            <w:tcW w:type="dxa" w:w="5616"/>
            <w:vAlign w:val="center"/>
            <w:tcMar>
              <w:top w:w="85" w:type="dxa"/>
              <w:start w:w="100" w:type="dxa"/>
              <w:bottom w:w="85" w:type="dxa"/>
              <w:end w:w="100" w:type="dxa"/>
            </w:tcMar>
          </w:tcPr>
          <w:p>
            <w:pPr>
              <w:spacing w:after="0" w:line="240" w:lineRule="auto"/>
            </w:pPr>
            <w:r>
              <w:rPr>
                <w:rFonts w:ascii="Calibri" w:hAnsi="Calibri"/>
                <w:color w:val="17232B"/>
                <w:sz w:val="16"/>
              </w:rPr>
              <w:t>0</w:t>
            </w:r>
          </w:p>
        </w:tc>
      </w:tr>
      <w:tr>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Missing values in required fields</w:t>
            </w:r>
          </w:p>
        </w:tc>
        <w:tc>
          <w:tcPr>
            <w:tcW w:type="dxa" w:w="5616"/>
            <w:vAlign w:val="center"/>
            <w:tcMar>
              <w:top w:w="85" w:type="dxa"/>
              <w:start w:w="100" w:type="dxa"/>
              <w:bottom w:w="85" w:type="dxa"/>
              <w:end w:w="100" w:type="dxa"/>
            </w:tcMar>
            <w:shd w:fill="F1F6F7"/>
          </w:tcPr>
          <w:p>
            <w:pPr>
              <w:spacing w:after="0" w:line="240" w:lineRule="auto"/>
            </w:pPr>
            <w:r>
              <w:rPr>
                <w:rFonts w:ascii="Calibri" w:hAnsi="Calibri"/>
                <w:color w:val="17232B"/>
                <w:sz w:val="16"/>
              </w:rPr>
              <w:t>0</w:t>
            </w:r>
          </w:p>
        </w:tc>
      </w:tr>
    </w:tbl>
    <w:p>
      <w:pPr>
        <w:spacing w:after="0"/>
      </w:pPr>
    </w:p>
    <w:p>
      <w:pPr>
        <w:widowControl/>
      </w:pPr>
      <w:r>
        <w:rPr>
          <w:rFonts w:ascii="Calibri" w:hAnsi="Calibri"/>
        </w:rPr>
        <w:t>The target centers near 371 kWh, with substantial variation across records. The area mix is imbalanced toward urban rows, so overall scores can hide weaker performance in smaller groups.</w:t>
      </w:r>
    </w:p>
    <w:p>
      <w:pPr>
        <w:widowControl/>
      </w:pPr>
      <w:r>
        <w:rPr>
          <w:rFonts w:ascii="Calibri" w:hAnsi="Calibri"/>
        </w:rPr>
        <w:t>No required training field is missing in the current CSV. Imputation is still part of the deployed pipeline so blank optional inputs and future incomplete rows can be handled consistently.</w:t>
      </w:r>
    </w:p>
    <w:p>
      <w:r>
        <w:br w:type="page"/>
      </w:r>
    </w:p>
    <w:p>
      <w:pPr>
        <w:pStyle w:val="Heading1"/>
      </w:pPr>
      <w:r>
        <w:rPr>
          <w:color w:val="000000"/>
        </w:rPr>
        <w:t>5  Data Cleaning and Preprocessing</w:t>
      </w:r>
    </w:p>
    <w:p>
      <w:pPr>
        <w:widowControl/>
      </w:pPr>
      <w:r>
        <w:rPr>
          <w:rFonts w:ascii="Calibri" w:hAnsi="Calibri"/>
        </w:rPr>
        <w:t>Preprocessing lives inside the same scikit-learn pipeline as the estimator. Each imputer, scaler and encoder is fitted on its training fold, then applied to validation or test rows. This prevents held-out rows from contributing preprocessing statistics.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val="true"/>
        </w:trPr>
        <w:tc>
          <w:tcPr>
            <w:tcW w:type="dxa" w:w="1800"/>
            <w:vAlign w:val="center"/>
            <w:shd w:fill="163446"/>
            <w:tcMar>
              <w:top w:w="85" w:type="dxa"/>
              <w:start w:w="100" w:type="dxa"/>
              <w:bottom w:w="85" w:type="dxa"/>
              <w:end w:w="100" w:type="dxa"/>
            </w:tcMar>
          </w:tcPr>
          <w:p>
            <w:pPr>
              <w:spacing w:after="0"/>
            </w:pPr>
            <w:r>
              <w:rPr>
                <w:rFonts w:ascii="Calibri" w:hAnsi="Calibri"/>
                <w:b/>
                <w:color w:val="FFFFFF"/>
                <w:sz w:val="16"/>
              </w:rPr>
              <w:t>Step</w:t>
            </w:r>
          </w:p>
        </w:tc>
        <w:tc>
          <w:tcPr>
            <w:tcW w:type="dxa" w:w="4032"/>
            <w:vAlign w:val="center"/>
            <w:shd w:fill="163446"/>
            <w:tcMar>
              <w:top w:w="85" w:type="dxa"/>
              <w:start w:w="100" w:type="dxa"/>
              <w:bottom w:w="85" w:type="dxa"/>
              <w:end w:w="100" w:type="dxa"/>
            </w:tcMar>
          </w:tcPr>
          <w:p>
            <w:pPr>
              <w:spacing w:after="0"/>
            </w:pPr>
            <w:r>
              <w:rPr>
                <w:rFonts w:ascii="Calibri" w:hAnsi="Calibri"/>
                <w:b/>
                <w:color w:val="FFFFFF"/>
                <w:sz w:val="16"/>
              </w:rPr>
              <w:t>Implementation</w:t>
            </w:r>
          </w:p>
        </w:tc>
        <w:tc>
          <w:tcPr>
            <w:tcW w:type="dxa" w:w="3816"/>
            <w:vAlign w:val="center"/>
            <w:shd w:fill="163446"/>
            <w:tcMar>
              <w:top w:w="85" w:type="dxa"/>
              <w:start w:w="100" w:type="dxa"/>
              <w:bottom w:w="85" w:type="dxa"/>
              <w:end w:w="100" w:type="dxa"/>
            </w:tcMar>
          </w:tcPr>
          <w:p>
            <w:pPr>
              <w:spacing w:after="0"/>
            </w:pPr>
            <w:r>
              <w:rPr>
                <w:rFonts w:ascii="Calibri" w:hAnsi="Calibri"/>
                <w:b/>
                <w:color w:val="FFFFFF"/>
                <w:sz w:val="16"/>
              </w:rPr>
              <w:t>Purpose</w:t>
            </w:r>
          </w:p>
        </w:tc>
      </w:tr>
      <w:tr>
        <w:tc>
          <w:tcPr>
            <w:tcW w:type="dxa" w:w="1800"/>
            <w:vAlign w:val="center"/>
            <w:tcMar>
              <w:top w:w="85" w:type="dxa"/>
              <w:start w:w="100" w:type="dxa"/>
              <w:bottom w:w="85" w:type="dxa"/>
              <w:end w:w="100" w:type="dxa"/>
            </w:tcMar>
          </w:tcPr>
          <w:p>
            <w:pPr>
              <w:spacing w:after="0" w:line="240" w:lineRule="auto"/>
            </w:pPr>
            <w:r>
              <w:rPr>
                <w:rFonts w:ascii="Calibri" w:hAnsi="Calibri"/>
                <w:color w:val="17232B"/>
                <w:sz w:val="16"/>
              </w:rPr>
              <w:t>Schema</w:t>
            </w:r>
          </w:p>
        </w:tc>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Strip column-name whitespace; check required fields</w:t>
            </w:r>
          </w:p>
        </w:tc>
        <w:tc>
          <w:tcPr>
            <w:tcW w:type="dxa" w:w="3816"/>
            <w:vAlign w:val="center"/>
            <w:tcMar>
              <w:top w:w="85" w:type="dxa"/>
              <w:start w:w="100" w:type="dxa"/>
              <w:bottom w:w="85" w:type="dxa"/>
              <w:end w:w="100" w:type="dxa"/>
            </w:tcMar>
          </w:tcPr>
          <w:p>
            <w:pPr>
              <w:spacing w:after="0" w:line="240" w:lineRule="auto"/>
            </w:pPr>
            <w:r>
              <w:rPr>
                <w:rFonts w:ascii="Calibri" w:hAnsi="Calibri"/>
                <w:color w:val="17232B"/>
                <w:sz w:val="16"/>
              </w:rPr>
              <w:t>Catch incompatible CSV versions</w:t>
            </w:r>
          </w:p>
        </w:tc>
      </w:tr>
      <w:tr>
        <w:tc>
          <w:tcPr>
            <w:tcW w:type="dxa" w:w="1800"/>
            <w:vAlign w:val="center"/>
            <w:tcMar>
              <w:top w:w="85" w:type="dxa"/>
              <w:start w:w="100" w:type="dxa"/>
              <w:bottom w:w="85" w:type="dxa"/>
              <w:end w:w="100" w:type="dxa"/>
            </w:tcMar>
            <w:shd w:fill="F1F6F7"/>
          </w:tcPr>
          <w:p>
            <w:pPr>
              <w:spacing w:after="0" w:line="240" w:lineRule="auto"/>
            </w:pPr>
            <w:r>
              <w:rPr>
                <w:rFonts w:ascii="Calibri" w:hAnsi="Calibri"/>
                <w:color w:val="17232B"/>
                <w:sz w:val="16"/>
              </w:rPr>
              <w:t>Duplicates</w:t>
            </w:r>
          </w:p>
        </w:tc>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Count and remove exact repeats</w:t>
            </w:r>
          </w:p>
        </w:tc>
        <w:tc>
          <w:tcPr>
            <w:tcW w:type="dxa" w:w="3816"/>
            <w:vAlign w:val="center"/>
            <w:tcMar>
              <w:top w:w="85" w:type="dxa"/>
              <w:start w:w="100" w:type="dxa"/>
              <w:bottom w:w="85" w:type="dxa"/>
              <w:end w:w="100" w:type="dxa"/>
            </w:tcMar>
            <w:shd w:fill="F1F6F7"/>
          </w:tcPr>
          <w:p>
            <w:pPr>
              <w:spacing w:after="0" w:line="240" w:lineRule="auto"/>
            </w:pPr>
            <w:r>
              <w:rPr>
                <w:rFonts w:ascii="Calibri" w:hAnsi="Calibri"/>
                <w:color w:val="17232B"/>
                <w:sz w:val="16"/>
              </w:rPr>
              <w:t>Avoid repeated rows as false independent evidence</w:t>
            </w:r>
          </w:p>
        </w:tc>
      </w:tr>
      <w:tr>
        <w:tc>
          <w:tcPr>
            <w:tcW w:type="dxa" w:w="1800"/>
            <w:vAlign w:val="center"/>
            <w:tcMar>
              <w:top w:w="85" w:type="dxa"/>
              <w:start w:w="100" w:type="dxa"/>
              <w:bottom w:w="85" w:type="dxa"/>
              <w:end w:w="100" w:type="dxa"/>
            </w:tcMar>
          </w:tcPr>
          <w:p>
            <w:pPr>
              <w:spacing w:after="0" w:line="240" w:lineRule="auto"/>
            </w:pPr>
            <w:r>
              <w:rPr>
                <w:rFonts w:ascii="Calibri" w:hAnsi="Calibri"/>
                <w:color w:val="17232B"/>
                <w:sz w:val="16"/>
              </w:rPr>
              <w:t>Numeric conversion</w:t>
            </w:r>
          </w:p>
        </w:tc>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Convert numeric features and target; malformed text becomes missing</w:t>
            </w:r>
          </w:p>
        </w:tc>
        <w:tc>
          <w:tcPr>
            <w:tcW w:type="dxa" w:w="3816"/>
            <w:vAlign w:val="center"/>
            <w:tcMar>
              <w:top w:w="85" w:type="dxa"/>
              <w:start w:w="100" w:type="dxa"/>
              <w:bottom w:w="85" w:type="dxa"/>
              <w:end w:w="100" w:type="dxa"/>
            </w:tcMar>
          </w:tcPr>
          <w:p>
            <w:pPr>
              <w:spacing w:after="0" w:line="240" w:lineRule="auto"/>
            </w:pPr>
            <w:r>
              <w:rPr>
                <w:rFonts w:ascii="Calibri" w:hAnsi="Calibri"/>
                <w:color w:val="17232B"/>
                <w:sz w:val="16"/>
              </w:rPr>
              <w:t>Make values usable in regression</w:t>
            </w:r>
          </w:p>
        </w:tc>
      </w:tr>
      <w:tr>
        <w:tc>
          <w:tcPr>
            <w:tcW w:type="dxa" w:w="1800"/>
            <w:vAlign w:val="center"/>
            <w:tcMar>
              <w:top w:w="85" w:type="dxa"/>
              <w:start w:w="100" w:type="dxa"/>
              <w:bottom w:w="85" w:type="dxa"/>
              <w:end w:w="100" w:type="dxa"/>
            </w:tcMar>
            <w:shd w:fill="F1F6F7"/>
          </w:tcPr>
          <w:p>
            <w:pPr>
              <w:spacing w:after="0" w:line="240" w:lineRule="auto"/>
            </w:pPr>
            <w:r>
              <w:rPr>
                <w:rFonts w:ascii="Calibri" w:hAnsi="Calibri"/>
                <w:color w:val="17232B"/>
                <w:sz w:val="16"/>
              </w:rPr>
              <w:t>Target</w:t>
            </w:r>
          </w:p>
        </w:tc>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Drop rows without Monthly_Usage_kWh</w:t>
            </w:r>
          </w:p>
        </w:tc>
        <w:tc>
          <w:tcPr>
            <w:tcW w:type="dxa" w:w="3816"/>
            <w:vAlign w:val="center"/>
            <w:tcMar>
              <w:top w:w="85" w:type="dxa"/>
              <w:start w:w="100" w:type="dxa"/>
              <w:bottom w:w="85" w:type="dxa"/>
              <w:end w:w="100" w:type="dxa"/>
            </w:tcMar>
            <w:shd w:fill="F1F6F7"/>
          </w:tcPr>
          <w:p>
            <w:pPr>
              <w:spacing w:after="0" w:line="240" w:lineRule="auto"/>
            </w:pPr>
            <w:r>
              <w:rPr>
                <w:rFonts w:ascii="Calibri" w:hAnsi="Calibri"/>
                <w:color w:val="17232B"/>
                <w:sz w:val="16"/>
              </w:rPr>
              <w:t>Training requires a known label</w:t>
            </w:r>
          </w:p>
        </w:tc>
      </w:tr>
      <w:tr>
        <w:tc>
          <w:tcPr>
            <w:tcW w:type="dxa" w:w="1800"/>
            <w:vAlign w:val="center"/>
            <w:tcMar>
              <w:top w:w="85" w:type="dxa"/>
              <w:start w:w="100" w:type="dxa"/>
              <w:bottom w:w="85" w:type="dxa"/>
              <w:end w:w="100" w:type="dxa"/>
            </w:tcMar>
          </w:tcPr>
          <w:p>
            <w:pPr>
              <w:spacing w:after="0" w:line="240" w:lineRule="auto"/>
            </w:pPr>
            <w:r>
              <w:rPr>
                <w:rFonts w:ascii="Calibri" w:hAnsi="Calibri"/>
                <w:color w:val="17232B"/>
                <w:sz w:val="16"/>
              </w:rPr>
              <w:t>Numeric missing values</w:t>
            </w:r>
          </w:p>
        </w:tc>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Median imputer</w:t>
            </w:r>
          </w:p>
        </w:tc>
        <w:tc>
          <w:tcPr>
            <w:tcW w:type="dxa" w:w="3816"/>
            <w:vAlign w:val="center"/>
            <w:tcMar>
              <w:top w:w="85" w:type="dxa"/>
              <w:start w:w="100" w:type="dxa"/>
              <w:bottom w:w="85" w:type="dxa"/>
              <w:end w:w="100" w:type="dxa"/>
            </w:tcMar>
          </w:tcPr>
          <w:p>
            <w:pPr>
              <w:spacing w:after="0" w:line="240" w:lineRule="auto"/>
            </w:pPr>
            <w:r>
              <w:rPr>
                <w:rFonts w:ascii="Calibri" w:hAnsi="Calibri"/>
                <w:color w:val="17232B"/>
                <w:sz w:val="16"/>
              </w:rPr>
              <w:t>Simple fallback for incomplete rows</w:t>
            </w:r>
          </w:p>
        </w:tc>
      </w:tr>
      <w:tr>
        <w:tc>
          <w:tcPr>
            <w:tcW w:type="dxa" w:w="1800"/>
            <w:vAlign w:val="center"/>
            <w:tcMar>
              <w:top w:w="85" w:type="dxa"/>
              <w:start w:w="100" w:type="dxa"/>
              <w:bottom w:w="85" w:type="dxa"/>
              <w:end w:w="100" w:type="dxa"/>
            </w:tcMar>
            <w:shd w:fill="F1F6F7"/>
          </w:tcPr>
          <w:p>
            <w:pPr>
              <w:spacing w:after="0" w:line="240" w:lineRule="auto"/>
            </w:pPr>
            <w:r>
              <w:rPr>
                <w:rFonts w:ascii="Calibri" w:hAnsi="Calibri"/>
                <w:color w:val="17232B"/>
                <w:sz w:val="16"/>
              </w:rPr>
              <w:t>Scaling</w:t>
            </w:r>
          </w:p>
        </w:tc>
        <w:tc>
          <w:tcPr>
            <w:tcW w:type="dxa" w:w="4032"/>
            <w:vAlign w:val="center"/>
            <w:tcMar>
              <w:top w:w="85" w:type="dxa"/>
              <w:start w:w="100" w:type="dxa"/>
              <w:bottom w:w="85" w:type="dxa"/>
              <w:end w:w="100" w:type="dxa"/>
            </w:tcMar>
            <w:shd w:fill="F1F6F7"/>
          </w:tcPr>
          <w:p>
            <w:pPr>
              <w:spacing w:after="0" w:line="240" w:lineRule="auto"/>
            </w:pPr>
            <w:r>
              <w:rPr>
                <w:rFonts w:ascii="Calibri" w:hAnsi="Calibri"/>
                <w:color w:val="17232B"/>
                <w:sz w:val="16"/>
              </w:rPr>
              <w:t>StandardScaler on numeric features</w:t>
            </w:r>
          </w:p>
        </w:tc>
        <w:tc>
          <w:tcPr>
            <w:tcW w:type="dxa" w:w="3816"/>
            <w:vAlign w:val="center"/>
            <w:tcMar>
              <w:top w:w="85" w:type="dxa"/>
              <w:start w:w="100" w:type="dxa"/>
              <w:bottom w:w="85" w:type="dxa"/>
              <w:end w:w="100" w:type="dxa"/>
            </w:tcMar>
            <w:shd w:fill="F1F6F7"/>
          </w:tcPr>
          <w:p>
            <w:pPr>
              <w:spacing w:after="0" w:line="240" w:lineRule="auto"/>
            </w:pPr>
            <w:r>
              <w:rPr>
                <w:rFonts w:ascii="Calibri" w:hAnsi="Calibri"/>
                <w:color w:val="17232B"/>
                <w:sz w:val="16"/>
              </w:rPr>
              <w:t>Comparable scale for Ridge penalty</w:t>
            </w:r>
          </w:p>
        </w:tc>
      </w:tr>
      <w:tr>
        <w:tc>
          <w:tcPr>
            <w:tcW w:type="dxa" w:w="1800"/>
            <w:vAlign w:val="center"/>
            <w:tcMar>
              <w:top w:w="85" w:type="dxa"/>
              <w:start w:w="100" w:type="dxa"/>
              <w:bottom w:w="85" w:type="dxa"/>
              <w:end w:w="100" w:type="dxa"/>
            </w:tcMar>
          </w:tcPr>
          <w:p>
            <w:pPr>
              <w:spacing w:after="0" w:line="240" w:lineRule="auto"/>
            </w:pPr>
            <w:r>
              <w:rPr>
                <w:rFonts w:ascii="Calibri" w:hAnsi="Calibri"/>
                <w:color w:val="17232B"/>
                <w:sz w:val="16"/>
              </w:rPr>
              <w:t>Area type</w:t>
            </w:r>
          </w:p>
        </w:tc>
        <w:tc>
          <w:tcPr>
            <w:tcW w:type="dxa" w:w="4032"/>
            <w:vAlign w:val="center"/>
            <w:tcMar>
              <w:top w:w="85" w:type="dxa"/>
              <w:start w:w="100" w:type="dxa"/>
              <w:bottom w:w="85" w:type="dxa"/>
              <w:end w:w="100" w:type="dxa"/>
            </w:tcMar>
          </w:tcPr>
          <w:p>
            <w:pPr>
              <w:spacing w:after="0" w:line="240" w:lineRule="auto"/>
            </w:pPr>
            <w:r>
              <w:rPr>
                <w:rFonts w:ascii="Calibri" w:hAnsi="Calibri"/>
                <w:color w:val="17232B"/>
                <w:sz w:val="16"/>
              </w:rPr>
              <w:t>Mode imputer + one-hot; ignore unknown values</w:t>
            </w:r>
          </w:p>
        </w:tc>
        <w:tc>
          <w:tcPr>
            <w:tcW w:type="dxa" w:w="3816"/>
            <w:vAlign w:val="center"/>
            <w:tcMar>
              <w:top w:w="85" w:type="dxa"/>
              <w:start w:w="100" w:type="dxa"/>
              <w:bottom w:w="85" w:type="dxa"/>
              <w:end w:w="100" w:type="dxa"/>
            </w:tcMar>
          </w:tcPr>
          <w:p>
            <w:pPr>
              <w:spacing w:after="0" w:line="240" w:lineRule="auto"/>
            </w:pPr>
            <w:r>
              <w:rPr>
                <w:rFonts w:ascii="Calibri" w:hAnsi="Calibri"/>
                <w:color w:val="17232B"/>
                <w:sz w:val="16"/>
              </w:rPr>
              <w:t>Encode category and tolerate unseen category</w:t>
            </w:r>
          </w:p>
        </w:tc>
      </w:tr>
    </w:tbl>
    <w:p>
      <w:pPr>
        <w:spacing w:after="0"/>
      </w:pPr>
    </w:p>
    <w:p>
      <w:pPr>
        <w:widowControl/>
      </w:pPr>
      <w:r>
        <w:rPr>
          <w:rFonts w:ascii="Calibri" w:hAnsi="Calibri"/>
        </w:rPr>
        <w:t>The required columns have zero missing values in the current file. The preprocessing steps still matter for a blank previous-month input. Pipeline and ColumnTransformer keep the same transformation logic in cross-validation, model fitting and inference [4].</w:t>
      </w:r>
    </w:p>
    <w:p>
      <w:r>
        <w:br w:type="page"/>
      </w:r>
    </w:p>
    <w:p>
      <w:pPr>
        <w:pStyle w:val="Heading1"/>
      </w:pPr>
      <w:r>
        <w:rPr>
          <w:color w:val="000000"/>
        </w:rPr>
        <w:t>6  End-to-End Machine-Learning Pipeline</w:t>
      </w:r>
    </w:p>
    <w:p>
      <w:pPr>
        <w:spacing w:after="20"/>
        <w:jc w:val="center"/>
      </w:pPr>
      <w:r>
        <w:drawing>
          <wp:inline xmlns:a="http://schemas.openxmlformats.org/drawingml/2006/main" xmlns:pic="http://schemas.openxmlformats.org/drawingml/2006/picture">
            <wp:extent cx="6126480" cy="1756258"/>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6126480" cy="1756258"/>
                    </a:xfrm>
                    <a:prstGeom prst="rect"/>
                  </pic:spPr>
                </pic:pic>
              </a:graphicData>
            </a:graphic>
          </wp:inline>
        </w:drawing>
      </w:r>
    </w:p>
    <w:p>
      <w:pPr>
        <w:pStyle w:val="Caption"/>
        <w:spacing w:after="80"/>
        <w:jc w:val="center"/>
      </w:pPr>
      <w:r>
        <w:t>Figure 2. Workflow implemented by train_model.py.</w:t>
      </w:r>
    </w:p>
    <w:p>
      <w:pPr>
        <w:widowControl/>
      </w:pPr>
      <w:r>
        <w:rPr>
          <w:rFonts w:ascii="Calibri" w:hAnsi="Calibri"/>
        </w:rPr>
        <w:t>The script selects 12 predictors and one continuous target, then splits once into training and held-out test subsets. Cross-validation and hyperparameter selection see only the training subset. The selected fitted pipeline is evaluated on the test rows once.</w:t>
      </w:r>
    </w:p>
    <w:p>
      <w:pPr>
        <w:widowControl/>
      </w:pPr>
      <w:r>
        <w:rPr>
          <w:rFonts w:ascii="Calibri" w:hAnsi="Calibri"/>
        </w:rPr>
        <w:t>At inference, the saved pipeline performs the same imputation, scaling and encoding before prediction. Storing the preprocessing and estimator together avoids separately reimplementing feature preparation in Express.</w:t>
      </w:r>
    </w:p>
    <w:p>
      <w:pPr>
        <w:pStyle w:val="Heading2"/>
      </w:pPr>
      <w:r>
        <w:rPr>
          <w:color w:val="000000"/>
        </w:rPr>
        <w:t>Training outputs</w:t>
      </w:r>
    </w:p>
    <w:p>
      <w:pPr>
        <w:widowControl/>
      </w:pPr>
      <w:r>
        <w:rPr>
          <w:rFonts w:ascii="Calibri" w:hAnsi="Calibri"/>
        </w:rPr>
        <w:t>The joblib artifact contains the fitted transformer and Ridge estimator. The results folder contains metrics.json, test_predictions.csv, cold_start_test_predictions.csv, error_by_usage_band.csv, model_coefficients.csv, actual_vs_predicted.png and residual_diagnostics.png.</w:t>
      </w:r>
    </w:p>
    <w:p>
      <w:r>
        <w:br w:type="page"/>
      </w:r>
    </w:p>
    <w:p>
      <w:pPr>
        <w:pStyle w:val="Heading1"/>
      </w:pPr>
      <w:r>
        <w:rPr>
          <w:color w:val="000000"/>
        </w:rPr>
        <w:t>7  Model Development with Linear Regression</w:t>
      </w:r>
    </w:p>
    <w:p>
      <w:pPr>
        <w:widowControl/>
      </w:pPr>
      <w:r>
        <w:rPr>
          <w:rFonts w:ascii="Calibri" w:hAnsi="Calibri"/>
        </w:rPr>
        <w:t>Ordinary least-squares Linear Regression is the reference model. For a feature vector x, it estimates:</w:t>
      </w:r>
    </w:p>
    <w:p>
      <w:pPr>
        <w:widowControl/>
        <w:jc w:val="center"/>
      </w:pPr>
      <w:r>
        <w:rPr>
          <w:rFonts w:ascii="Calibri" w:hAnsi="Calibri"/>
          <w:sz w:val="26"/>
        </w:rPr>
        <w:t>y_hat = β0 + β1x1 + β2x2 + ... + βpxp</w:t>
      </w:r>
    </w:p>
    <w:p>
      <w:pPr>
        <w:widowControl/>
      </w:pPr>
      <w:r>
        <w:rPr>
          <w:rFonts w:ascii="Calibri" w:hAnsi="Calibri"/>
        </w:rPr>
        <w:t>The coefficients are selected to minimize squared residuals on the training data. This baseline is simple to explain and fast to train. It provides a reference point for testing whether regularization helps without changing the feature preparation or target.</w:t>
      </w:r>
    </w:p>
    <w:p>
      <w:pPr>
        <w:pStyle w:val="Heading2"/>
      </w:pPr>
      <w:r>
        <w:rPr>
          <w:color w:val="000000"/>
        </w:rPr>
        <w:t>Inputs and output</w:t>
      </w:r>
    </w:p>
    <w:p>
      <w:pPr>
        <w:widowControl/>
      </w:pPr>
      <w:r>
        <w:rPr>
          <w:rFonts w:ascii="Calibri" w:hAnsi="Calibri"/>
        </w:rPr>
        <w:t>The model receives 11 numeric predictors and one categorical predictor, Area_Type. The target is Monthly_Usage_kWh. The estimator returns a continuous value; predict_usage.py clips negative estimates to zero because negative monthly use is not meaningful for the interface.</w:t>
      </w:r>
    </w:p>
    <w:p>
      <w:pPr>
        <w:pStyle w:val="Heading2"/>
      </w:pPr>
      <w:r>
        <w:rPr>
          <w:color w:val="000000"/>
        </w:rPr>
        <w:t>Interpretation and assumptions</w:t>
      </w:r>
    </w:p>
    <w:p>
      <w:pPr>
        <w:widowControl/>
      </w:pPr>
      <w:r>
        <w:rPr>
          <w:rFonts w:ascii="Calibri" w:hAnsi="Calibri"/>
        </w:rPr>
        <w:t>A linear model represents additive relationships unless interaction or nonlinear terms are explicitly added. This version does not create appliance interactions, rated power, daily operating hours or nonlinear temperature effects. A coefficient is a conditional association under the fitted model, not proof that an appliance causes a specific metered increase.</w:t>
      </w:r>
    </w:p>
    <w:p>
      <w:pPr>
        <w:widowControl/>
      </w:pPr>
      <w:r>
        <w:rPr>
          <w:rFonts w:ascii="Calibri" w:hAnsi="Calibri"/>
        </w:rPr>
        <w:t>LinearRegression minimizes residual sum of squares [2], making it more sensitive to very large misses than MAE. Reporting both MAE and RMSE helps describe typical and tail errors.</w:t>
      </w:r>
    </w:p>
    <w:p>
      <w:r>
        <w:br w:type="page"/>
      </w:r>
    </w:p>
    <w:p>
      <w:pPr>
        <w:pStyle w:val="Heading1"/>
      </w:pPr>
      <w:r>
        <w:rPr>
          <w:color w:val="000000"/>
        </w:rPr>
        <w:t>8  Model Optimization with Ridge Regression</w:t>
      </w:r>
    </w:p>
    <w:p>
      <w:pPr>
        <w:widowControl/>
      </w:pPr>
      <w:r>
        <w:rPr>
          <w:rFonts w:ascii="Calibri" w:hAnsi="Calibri"/>
        </w:rPr>
        <w:t>Ridge adds an L2 penalty to squared error. Alpha controls its strength: a larger alpha shrinks coefficients more. Numeric predictors are standardized before the penalty is applied so measurement units do not dominate shrinkage.</w:t>
      </w:r>
    </w:p>
    <w:p>
      <w:pPr>
        <w:widowControl/>
        <w:jc w:val="center"/>
      </w:pPr>
      <w:r>
        <w:rPr>
          <w:rFonts w:ascii="Calibri" w:hAnsi="Calibri"/>
          <w:sz w:val="25"/>
        </w:rPr>
        <w:t>Objective = sum((y − y_hat)²) + α sum(βj²)</w:t>
      </w:r>
    </w:p>
    <w:p>
      <w:pPr>
        <w:widowControl/>
      </w:pPr>
      <w:r>
        <w:rPr>
          <w:rFonts w:ascii="Calibri" w:hAnsi="Calibri"/>
        </w:rPr>
        <w:t>GridSearchCV tests four alpha values with five-fold cross-validation on training rows. The scoring objective is MAE; the candidate with the lowest mean validation MAE is selected and refit on training data [3].</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val="true"/>
        </w:trPr>
        <w:tc>
          <w:tcPr>
            <w:tcW w:type="dxa" w:w="2160"/>
            <w:vAlign w:val="center"/>
            <w:shd w:fill="163446"/>
            <w:tcMar>
              <w:top w:w="85" w:type="dxa"/>
              <w:start w:w="100" w:type="dxa"/>
              <w:bottom w:w="85" w:type="dxa"/>
              <w:end w:w="100" w:type="dxa"/>
            </w:tcMar>
          </w:tcPr>
          <w:p>
            <w:pPr>
              <w:spacing w:after="0"/>
              <w:jc w:val="center"/>
            </w:pPr>
            <w:r>
              <w:rPr>
                <w:rFonts w:ascii="Calibri" w:hAnsi="Calibri"/>
                <w:b/>
                <w:color w:val="FFFFFF"/>
                <w:sz w:val="17"/>
              </w:rPr>
              <w:t>Ridge alpha</w:t>
            </w:r>
          </w:p>
        </w:tc>
        <w:tc>
          <w:tcPr>
            <w:tcW w:type="dxa" w:w="3744"/>
            <w:vAlign w:val="center"/>
            <w:shd w:fill="163446"/>
            <w:tcMar>
              <w:top w:w="85" w:type="dxa"/>
              <w:start w:w="100" w:type="dxa"/>
              <w:bottom w:w="85" w:type="dxa"/>
              <w:end w:w="100" w:type="dxa"/>
            </w:tcMar>
          </w:tcPr>
          <w:p>
            <w:pPr>
              <w:spacing w:after="0"/>
              <w:jc w:val="center"/>
            </w:pPr>
            <w:r>
              <w:rPr>
                <w:rFonts w:ascii="Calibri" w:hAnsi="Calibri"/>
                <w:b/>
                <w:color w:val="FFFFFF"/>
                <w:sz w:val="17"/>
              </w:rPr>
              <w:t>Mean CV MAE (kWh)</w:t>
            </w:r>
          </w:p>
        </w:tc>
        <w:tc>
          <w:tcPr>
            <w:tcW w:type="dxa" w:w="3744"/>
            <w:vAlign w:val="center"/>
            <w:shd w:fill="163446"/>
            <w:tcMar>
              <w:top w:w="85" w:type="dxa"/>
              <w:start w:w="100" w:type="dxa"/>
              <w:bottom w:w="85" w:type="dxa"/>
              <w:end w:w="100" w:type="dxa"/>
            </w:tcMar>
          </w:tcPr>
          <w:p>
            <w:pPr>
              <w:spacing w:after="0"/>
              <w:jc w:val="center"/>
            </w:pPr>
            <w:r>
              <w:rPr>
                <w:rFonts w:ascii="Calibri" w:hAnsi="Calibri"/>
                <w:b/>
                <w:color w:val="FFFFFF"/>
                <w:sz w:val="17"/>
              </w:rPr>
              <w:t>Fold SD (kWh)</w:t>
            </w:r>
          </w:p>
        </w:tc>
      </w:tr>
      <w:tr>
        <w:tc>
          <w:tcPr>
            <w:tcW w:type="dxa" w:w="2160"/>
            <w:vAlign w:val="center"/>
            <w:tcMar>
              <w:top w:w="85" w:type="dxa"/>
              <w:start w:w="100" w:type="dxa"/>
              <w:bottom w:w="85" w:type="dxa"/>
              <w:end w:w="100" w:type="dxa"/>
            </w:tcMar>
          </w:tcPr>
          <w:p>
            <w:pPr>
              <w:spacing w:after="0" w:line="240" w:lineRule="auto"/>
              <w:jc w:val="center"/>
            </w:pPr>
            <w:r>
              <w:rPr>
                <w:rFonts w:ascii="Calibri" w:hAnsi="Calibri"/>
                <w:color w:val="17232B"/>
                <w:sz w:val="17"/>
              </w:rPr>
              <w:t>0.1</w:t>
            </w:r>
          </w:p>
        </w:tc>
        <w:tc>
          <w:tcPr>
            <w:tcW w:type="dxa" w:w="3744"/>
            <w:vAlign w:val="center"/>
            <w:tcMar>
              <w:top w:w="85" w:type="dxa"/>
              <w:start w:w="100" w:type="dxa"/>
              <w:bottom w:w="85" w:type="dxa"/>
              <w:end w:w="100" w:type="dxa"/>
            </w:tcMar>
          </w:tcPr>
          <w:p>
            <w:pPr>
              <w:spacing w:after="0" w:line="240" w:lineRule="auto"/>
              <w:jc w:val="center"/>
            </w:pPr>
            <w:r>
              <w:rPr>
                <w:rFonts w:ascii="Calibri" w:hAnsi="Calibri"/>
                <w:color w:val="17232B"/>
                <w:sz w:val="17"/>
              </w:rPr>
              <w:t>16.7303</w:t>
            </w:r>
          </w:p>
        </w:tc>
        <w:tc>
          <w:tcPr>
            <w:tcW w:type="dxa" w:w="3744"/>
            <w:vAlign w:val="center"/>
            <w:tcMar>
              <w:top w:w="85" w:type="dxa"/>
              <w:start w:w="100" w:type="dxa"/>
              <w:bottom w:w="85" w:type="dxa"/>
              <w:end w:w="100" w:type="dxa"/>
            </w:tcMar>
          </w:tcPr>
          <w:p>
            <w:pPr>
              <w:spacing w:after="0" w:line="240" w:lineRule="auto"/>
              <w:jc w:val="center"/>
            </w:pPr>
            <w:r>
              <w:rPr>
                <w:rFonts w:ascii="Calibri" w:hAnsi="Calibri"/>
                <w:color w:val="17232B"/>
                <w:sz w:val="17"/>
              </w:rPr>
              <w:t>0.2017</w:t>
            </w:r>
          </w:p>
        </w:tc>
      </w:tr>
      <w:tr>
        <w:tc>
          <w:tcPr>
            <w:tcW w:type="dxa" w:w="216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w:t>
            </w:r>
          </w:p>
        </w:tc>
        <w:tc>
          <w:tcPr>
            <w:tcW w:type="dxa" w:w="374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16.7287</w:t>
            </w:r>
          </w:p>
        </w:tc>
        <w:tc>
          <w:tcPr>
            <w:tcW w:type="dxa" w:w="374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0.2041</w:t>
            </w:r>
          </w:p>
        </w:tc>
      </w:tr>
      <w:tr>
        <w:tc>
          <w:tcPr>
            <w:tcW w:type="dxa" w:w="2160"/>
            <w:vAlign w:val="center"/>
            <w:tcMar>
              <w:top w:w="85" w:type="dxa"/>
              <w:start w:w="100" w:type="dxa"/>
              <w:bottom w:w="85" w:type="dxa"/>
              <w:end w:w="100" w:type="dxa"/>
            </w:tcMar>
          </w:tcPr>
          <w:p>
            <w:pPr>
              <w:spacing w:after="0" w:line="240" w:lineRule="auto"/>
              <w:jc w:val="center"/>
            </w:pPr>
            <w:r>
              <w:rPr>
                <w:rFonts w:ascii="Calibri" w:hAnsi="Calibri"/>
                <w:color w:val="17232B"/>
                <w:sz w:val="17"/>
              </w:rPr>
              <w:t>10</w:t>
            </w:r>
          </w:p>
        </w:tc>
        <w:tc>
          <w:tcPr>
            <w:tcW w:type="dxa" w:w="3744"/>
            <w:vAlign w:val="center"/>
            <w:tcMar>
              <w:top w:w="85" w:type="dxa"/>
              <w:start w:w="100" w:type="dxa"/>
              <w:bottom w:w="85" w:type="dxa"/>
              <w:end w:w="100" w:type="dxa"/>
            </w:tcMar>
          </w:tcPr>
          <w:p>
            <w:pPr>
              <w:spacing w:after="0" w:line="240" w:lineRule="auto"/>
              <w:jc w:val="center"/>
            </w:pPr>
            <w:r>
              <w:rPr>
                <w:rFonts w:ascii="Calibri" w:hAnsi="Calibri"/>
                <w:color w:val="17232B"/>
                <w:sz w:val="17"/>
              </w:rPr>
              <w:t>16.7466</w:t>
            </w:r>
          </w:p>
        </w:tc>
        <w:tc>
          <w:tcPr>
            <w:tcW w:type="dxa" w:w="3744"/>
            <w:vAlign w:val="center"/>
            <w:tcMar>
              <w:top w:w="85" w:type="dxa"/>
              <w:start w:w="100" w:type="dxa"/>
              <w:bottom w:w="85" w:type="dxa"/>
              <w:end w:w="100" w:type="dxa"/>
            </w:tcMar>
          </w:tcPr>
          <w:p>
            <w:pPr>
              <w:spacing w:after="0" w:line="240" w:lineRule="auto"/>
              <w:jc w:val="center"/>
            </w:pPr>
            <w:r>
              <w:rPr>
                <w:rFonts w:ascii="Calibri" w:hAnsi="Calibri"/>
                <w:color w:val="17232B"/>
                <w:sz w:val="17"/>
              </w:rPr>
              <w:t>0.2311</w:t>
            </w:r>
          </w:p>
        </w:tc>
      </w:tr>
      <w:tr>
        <w:tc>
          <w:tcPr>
            <w:tcW w:type="dxa" w:w="216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100</w:t>
            </w:r>
          </w:p>
        </w:tc>
        <w:tc>
          <w:tcPr>
            <w:tcW w:type="dxa" w:w="374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17.8314</w:t>
            </w:r>
          </w:p>
        </w:tc>
        <w:tc>
          <w:tcPr>
            <w:tcW w:type="dxa" w:w="374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0.4139</w:t>
            </w:r>
          </w:p>
        </w:tc>
      </w:tr>
    </w:tbl>
    <w:p>
      <w:pPr>
        <w:spacing w:after="0"/>
      </w:pPr>
    </w:p>
    <w:p>
      <w:pPr>
        <w:widowControl/>
      </w:pPr>
      <w:r>
        <w:rPr>
          <w:rFonts w:ascii="Calibri" w:hAnsi="Calibri"/>
        </w:rPr>
        <w:t>Alpha 1.0 has the lowest CV MAE at 16.7287 kWh. Linear Regression's mean is 16.7305 kWh. The 0.0018 kWh gap is practically negligible. Ridge wins under the stated selection rule, but the experiment does not show a material advantage over the baseline.</w:t>
      </w:r>
    </w:p>
    <w:p>
      <w:r>
        <w:br w:type="page"/>
      </w:r>
    </w:p>
    <w:p>
      <w:pPr>
        <w:pStyle w:val="Heading1"/>
      </w:pPr>
      <w:r>
        <w:rPr>
          <w:color w:val="000000"/>
        </w:rPr>
        <w:t>9  Training and Test Protocol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2592"/>
            <w:vAlign w:val="center"/>
            <w:shd w:fill="163446"/>
            <w:tcMar>
              <w:top w:w="85" w:type="dxa"/>
              <w:start w:w="100" w:type="dxa"/>
              <w:bottom w:w="85" w:type="dxa"/>
              <w:end w:w="100" w:type="dxa"/>
            </w:tcMar>
          </w:tcPr>
          <w:p>
            <w:pPr>
              <w:spacing w:after="0"/>
            </w:pPr>
            <w:r>
              <w:rPr>
                <w:rFonts w:ascii="Calibri" w:hAnsi="Calibri"/>
                <w:b/>
                <w:color w:val="FFFFFF"/>
                <w:sz w:val="17"/>
              </w:rPr>
              <w:t>Choice</w:t>
            </w:r>
          </w:p>
        </w:tc>
        <w:tc>
          <w:tcPr>
            <w:tcW w:type="dxa" w:w="7056"/>
            <w:vAlign w:val="center"/>
            <w:shd w:fill="163446"/>
            <w:tcMar>
              <w:top w:w="85" w:type="dxa"/>
              <w:start w:w="100" w:type="dxa"/>
              <w:bottom w:w="85" w:type="dxa"/>
              <w:end w:w="100" w:type="dxa"/>
            </w:tcMar>
          </w:tcPr>
          <w:p>
            <w:pPr>
              <w:spacing w:after="0"/>
            </w:pPr>
            <w:r>
              <w:rPr>
                <w:rFonts w:ascii="Calibri" w:hAnsi="Calibri"/>
                <w:b/>
                <w:color w:val="FFFFFF"/>
                <w:sz w:val="17"/>
              </w:rPr>
              <w:t>Setting</w:t>
            </w:r>
          </w:p>
        </w:tc>
      </w:tr>
      <w:tr>
        <w:tc>
          <w:tcPr>
            <w:tcW w:type="dxa" w:w="2592"/>
            <w:vAlign w:val="center"/>
            <w:tcMar>
              <w:top w:w="85" w:type="dxa"/>
              <w:start w:w="100" w:type="dxa"/>
              <w:bottom w:w="85" w:type="dxa"/>
              <w:end w:w="100" w:type="dxa"/>
            </w:tcMar>
          </w:tcPr>
          <w:p>
            <w:pPr>
              <w:spacing w:after="0" w:line="240" w:lineRule="auto"/>
            </w:pPr>
            <w:r>
              <w:rPr>
                <w:rFonts w:ascii="Calibri" w:hAnsi="Calibri"/>
                <w:color w:val="17232B"/>
                <w:sz w:val="17"/>
              </w:rPr>
              <w:t>Train / test</w:t>
            </w:r>
          </w:p>
        </w:tc>
        <w:tc>
          <w:tcPr>
            <w:tcW w:type="dxa" w:w="7056"/>
            <w:vAlign w:val="center"/>
            <w:tcMar>
              <w:top w:w="85" w:type="dxa"/>
              <w:start w:w="100" w:type="dxa"/>
              <w:bottom w:w="85" w:type="dxa"/>
              <w:end w:w="100" w:type="dxa"/>
            </w:tcMar>
          </w:tcPr>
          <w:p>
            <w:pPr>
              <w:spacing w:after="0" w:line="240" w:lineRule="auto"/>
            </w:pPr>
            <w:r>
              <w:rPr>
                <w:rFonts w:ascii="Calibri" w:hAnsi="Calibri"/>
                <w:color w:val="17232B"/>
                <w:sz w:val="17"/>
              </w:rPr>
              <w:t>80:20; 800 training rows and 200 test rows</w:t>
            </w:r>
          </w:p>
        </w:tc>
      </w:tr>
      <w:tr>
        <w:tc>
          <w:tcPr>
            <w:tcW w:type="dxa" w:w="2592"/>
            <w:vAlign w:val="center"/>
            <w:tcMar>
              <w:top w:w="85" w:type="dxa"/>
              <w:start w:w="100" w:type="dxa"/>
              <w:bottom w:w="85" w:type="dxa"/>
              <w:end w:w="100" w:type="dxa"/>
            </w:tcMar>
            <w:shd w:fill="F1F6F7"/>
          </w:tcPr>
          <w:p>
            <w:pPr>
              <w:spacing w:after="0" w:line="240" w:lineRule="auto"/>
            </w:pPr>
            <w:r>
              <w:rPr>
                <w:rFonts w:ascii="Calibri" w:hAnsi="Calibri"/>
                <w:color w:val="17232B"/>
                <w:sz w:val="17"/>
              </w:rPr>
              <w:t>Random seed</w:t>
            </w:r>
          </w:p>
        </w:tc>
        <w:tc>
          <w:tcPr>
            <w:tcW w:type="dxa" w:w="7056"/>
            <w:vAlign w:val="center"/>
            <w:tcMar>
              <w:top w:w="85" w:type="dxa"/>
              <w:start w:w="100" w:type="dxa"/>
              <w:bottom w:w="85" w:type="dxa"/>
              <w:end w:w="100" w:type="dxa"/>
            </w:tcMar>
            <w:shd w:fill="F1F6F7"/>
          </w:tcPr>
          <w:p>
            <w:pPr>
              <w:spacing w:after="0" w:line="240" w:lineRule="auto"/>
            </w:pPr>
            <w:r>
              <w:rPr>
                <w:rFonts w:ascii="Calibri" w:hAnsi="Calibri"/>
                <w:color w:val="17232B"/>
                <w:sz w:val="17"/>
              </w:rPr>
              <w:t>91</w:t>
            </w:r>
          </w:p>
        </w:tc>
      </w:tr>
      <w:tr>
        <w:tc>
          <w:tcPr>
            <w:tcW w:type="dxa" w:w="2592"/>
            <w:vAlign w:val="center"/>
            <w:tcMar>
              <w:top w:w="85" w:type="dxa"/>
              <w:start w:w="100" w:type="dxa"/>
              <w:bottom w:w="85" w:type="dxa"/>
              <w:end w:w="100" w:type="dxa"/>
            </w:tcMar>
          </w:tcPr>
          <w:p>
            <w:pPr>
              <w:spacing w:after="0" w:line="240" w:lineRule="auto"/>
            </w:pPr>
            <w:r>
              <w:rPr>
                <w:rFonts w:ascii="Calibri" w:hAnsi="Calibri"/>
                <w:color w:val="17232B"/>
                <w:sz w:val="17"/>
              </w:rPr>
              <w:t>Cross-validation</w:t>
            </w:r>
          </w:p>
        </w:tc>
        <w:tc>
          <w:tcPr>
            <w:tcW w:type="dxa" w:w="7056"/>
            <w:vAlign w:val="center"/>
            <w:tcMar>
              <w:top w:w="85" w:type="dxa"/>
              <w:start w:w="100" w:type="dxa"/>
              <w:bottom w:w="85" w:type="dxa"/>
              <w:end w:w="100" w:type="dxa"/>
            </w:tcMar>
          </w:tcPr>
          <w:p>
            <w:pPr>
              <w:spacing w:after="0" w:line="240" w:lineRule="auto"/>
            </w:pPr>
            <w:r>
              <w:rPr>
                <w:rFonts w:ascii="Calibri" w:hAnsi="Calibri"/>
                <w:color w:val="17232B"/>
                <w:sz w:val="17"/>
              </w:rPr>
              <w:t>5 folds, shuffled, random_state 91</w:t>
            </w:r>
          </w:p>
        </w:tc>
      </w:tr>
      <w:tr>
        <w:tc>
          <w:tcPr>
            <w:tcW w:type="dxa" w:w="2592"/>
            <w:vAlign w:val="center"/>
            <w:tcMar>
              <w:top w:w="85" w:type="dxa"/>
              <w:start w:w="100" w:type="dxa"/>
              <w:bottom w:w="85" w:type="dxa"/>
              <w:end w:w="100" w:type="dxa"/>
            </w:tcMar>
            <w:shd w:fill="F1F6F7"/>
          </w:tcPr>
          <w:p>
            <w:pPr>
              <w:spacing w:after="0" w:line="240" w:lineRule="auto"/>
            </w:pPr>
            <w:r>
              <w:rPr>
                <w:rFonts w:ascii="Calibri" w:hAnsi="Calibri"/>
                <w:color w:val="17232B"/>
                <w:sz w:val="17"/>
              </w:rPr>
              <w:t>Search grid</w:t>
            </w:r>
          </w:p>
        </w:tc>
        <w:tc>
          <w:tcPr>
            <w:tcW w:type="dxa" w:w="7056"/>
            <w:vAlign w:val="center"/>
            <w:tcMar>
              <w:top w:w="85" w:type="dxa"/>
              <w:start w:w="100" w:type="dxa"/>
              <w:bottom w:w="85" w:type="dxa"/>
              <w:end w:w="100" w:type="dxa"/>
            </w:tcMar>
            <w:shd w:fill="F1F6F7"/>
          </w:tcPr>
          <w:p>
            <w:pPr>
              <w:spacing w:after="0" w:line="240" w:lineRule="auto"/>
            </w:pPr>
            <w:r>
              <w:rPr>
                <w:rFonts w:ascii="Calibri" w:hAnsi="Calibri"/>
                <w:color w:val="17232B"/>
                <w:sz w:val="17"/>
              </w:rPr>
              <w:t>Ridge alpha = 0.1, 1, 10, 100</w:t>
            </w:r>
          </w:p>
        </w:tc>
      </w:tr>
      <w:tr>
        <w:tc>
          <w:tcPr>
            <w:tcW w:type="dxa" w:w="2592"/>
            <w:vAlign w:val="center"/>
            <w:tcMar>
              <w:top w:w="85" w:type="dxa"/>
              <w:start w:w="100" w:type="dxa"/>
              <w:bottom w:w="85" w:type="dxa"/>
              <w:end w:w="100" w:type="dxa"/>
            </w:tcMar>
          </w:tcPr>
          <w:p>
            <w:pPr>
              <w:spacing w:after="0" w:line="240" w:lineRule="auto"/>
            </w:pPr>
            <w:r>
              <w:rPr>
                <w:rFonts w:ascii="Calibri" w:hAnsi="Calibri"/>
                <w:color w:val="17232B"/>
                <w:sz w:val="17"/>
              </w:rPr>
              <w:t>Search score</w:t>
            </w:r>
          </w:p>
        </w:tc>
        <w:tc>
          <w:tcPr>
            <w:tcW w:type="dxa" w:w="7056"/>
            <w:vAlign w:val="center"/>
            <w:tcMar>
              <w:top w:w="85" w:type="dxa"/>
              <w:start w:w="100" w:type="dxa"/>
              <w:bottom w:w="85" w:type="dxa"/>
              <w:end w:w="100" w:type="dxa"/>
            </w:tcMar>
          </w:tcPr>
          <w:p>
            <w:pPr>
              <w:spacing w:after="0" w:line="240" w:lineRule="auto"/>
            </w:pPr>
            <w:r>
              <w:rPr>
                <w:rFonts w:ascii="Calibri" w:hAnsi="Calibri"/>
                <w:color w:val="17232B"/>
                <w:sz w:val="17"/>
              </w:rPr>
              <w:t>Negative MAE, so a larger score means lower error</w:t>
            </w:r>
          </w:p>
        </w:tc>
      </w:tr>
      <w:tr>
        <w:tc>
          <w:tcPr>
            <w:tcW w:type="dxa" w:w="2592"/>
            <w:vAlign w:val="center"/>
            <w:tcMar>
              <w:top w:w="85" w:type="dxa"/>
              <w:start w:w="100" w:type="dxa"/>
              <w:bottom w:w="85" w:type="dxa"/>
              <w:end w:w="100" w:type="dxa"/>
            </w:tcMar>
            <w:shd w:fill="F1F6F7"/>
          </w:tcPr>
          <w:p>
            <w:pPr>
              <w:spacing w:after="0" w:line="240" w:lineRule="auto"/>
            </w:pPr>
            <w:r>
              <w:rPr>
                <w:rFonts w:ascii="Calibri" w:hAnsi="Calibri"/>
                <w:color w:val="17232B"/>
                <w:sz w:val="17"/>
              </w:rPr>
              <w:t>Selection</w:t>
            </w:r>
          </w:p>
        </w:tc>
        <w:tc>
          <w:tcPr>
            <w:tcW w:type="dxa" w:w="7056"/>
            <w:vAlign w:val="center"/>
            <w:tcMar>
              <w:top w:w="85" w:type="dxa"/>
              <w:start w:w="100" w:type="dxa"/>
              <w:bottom w:w="85" w:type="dxa"/>
              <w:end w:w="100" w:type="dxa"/>
            </w:tcMar>
            <w:shd w:fill="F1F6F7"/>
          </w:tcPr>
          <w:p>
            <w:pPr>
              <w:spacing w:after="0" w:line="240" w:lineRule="auto"/>
            </w:pPr>
            <w:r>
              <w:rPr>
                <w:rFonts w:ascii="Calibri" w:hAnsi="Calibri"/>
                <w:color w:val="17232B"/>
                <w:sz w:val="17"/>
              </w:rPr>
              <w:t>Choose lower mean training-CV MAE</w:t>
            </w:r>
          </w:p>
        </w:tc>
      </w:tr>
      <w:tr>
        <w:tc>
          <w:tcPr>
            <w:tcW w:type="dxa" w:w="2592"/>
            <w:vAlign w:val="center"/>
            <w:tcMar>
              <w:top w:w="85" w:type="dxa"/>
              <w:start w:w="100" w:type="dxa"/>
              <w:bottom w:w="85" w:type="dxa"/>
              <w:end w:w="100" w:type="dxa"/>
            </w:tcMar>
          </w:tcPr>
          <w:p>
            <w:pPr>
              <w:spacing w:after="0" w:line="240" w:lineRule="auto"/>
            </w:pPr>
            <w:r>
              <w:rPr>
                <w:rFonts w:ascii="Calibri" w:hAnsi="Calibri"/>
                <w:color w:val="17232B"/>
                <w:sz w:val="17"/>
              </w:rPr>
              <w:t>Final metrics</w:t>
            </w:r>
          </w:p>
        </w:tc>
        <w:tc>
          <w:tcPr>
            <w:tcW w:type="dxa" w:w="7056"/>
            <w:vAlign w:val="center"/>
            <w:tcMar>
              <w:top w:w="85" w:type="dxa"/>
              <w:start w:w="100" w:type="dxa"/>
              <w:bottom w:w="85" w:type="dxa"/>
              <w:end w:w="100" w:type="dxa"/>
            </w:tcMar>
          </w:tcPr>
          <w:p>
            <w:pPr>
              <w:spacing w:after="0" w:line="240" w:lineRule="auto"/>
            </w:pPr>
            <w:r>
              <w:rPr>
                <w:rFonts w:ascii="Calibri" w:hAnsi="Calibri"/>
                <w:color w:val="17232B"/>
                <w:sz w:val="17"/>
              </w:rPr>
              <w:t>Score held-out test after model selection</w:t>
            </w:r>
          </w:p>
        </w:tc>
      </w:tr>
    </w:tbl>
    <w:p>
      <w:pPr>
        <w:spacing w:after="0"/>
      </w:pPr>
    </w:p>
    <w:p>
      <w:pPr>
        <w:pStyle w:val="Heading2"/>
      </w:pPr>
      <w:r>
        <w:rPr>
          <w:color w:val="000000"/>
        </w:rPr>
        <w:t>Why hold out test rows</w:t>
      </w:r>
    </w:p>
    <w:p>
      <w:pPr>
        <w:widowControl/>
      </w:pPr>
      <w:r>
        <w:rPr>
          <w:rFonts w:ascii="Calibri" w:hAnsi="Calibri"/>
        </w:rPr>
        <w:t>The test set does not fit the imputer, scaler, encoder, coefficients or Ridge alpha. The 800 training records support cross-validation and candidate selection; the 200 test records provide a final evaluation on unseen rows. This separation follows the scikit-learn model-selection guidance [3].</w:t>
      </w:r>
    </w:p>
    <w:p>
      <w:pPr>
        <w:pStyle w:val="Heading2"/>
      </w:pPr>
      <w:r>
        <w:rPr>
          <w:color w:val="000000"/>
        </w:rPr>
        <w:t>Evaluation design</w:t>
      </w:r>
    </w:p>
    <w:p>
      <w:pPr>
        <w:widowControl/>
      </w:pPr>
      <w:r>
        <w:rPr>
          <w:rFonts w:ascii="Calibri" w:hAnsi="Calibri"/>
        </w:rPr>
        <w:t>The fixed seed and recorded split make the training, model selection and held-out evaluation reproducible. Cross-validation scores are calculated on training folds, and the final metrics are calculated on the separate 200-row test set.</w:t>
      </w:r>
    </w:p>
    <w:p>
      <w:r>
        <w:br w:type="page"/>
      </w:r>
    </w:p>
    <w:p>
      <w:pPr>
        <w:pStyle w:val="Heading1"/>
      </w:pPr>
      <w:r>
        <w:rPr>
          <w:color w:val="000000"/>
        </w:rPr>
        <w:t>10  Performance Metrics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val="true"/>
        </w:trPr>
        <w:tc>
          <w:tcPr>
            <w:tcW w:type="dxa" w:w="1008"/>
            <w:vAlign w:val="center"/>
            <w:shd w:fill="163446"/>
            <w:tcMar>
              <w:top w:w="85" w:type="dxa"/>
              <w:start w:w="100" w:type="dxa"/>
              <w:bottom w:w="85" w:type="dxa"/>
              <w:end w:w="100" w:type="dxa"/>
            </w:tcMar>
          </w:tcPr>
          <w:p>
            <w:pPr>
              <w:spacing w:after="0"/>
            </w:pPr>
            <w:r>
              <w:rPr>
                <w:rFonts w:ascii="Calibri" w:hAnsi="Calibri"/>
                <w:b/>
                <w:color w:val="FFFFFF"/>
                <w:sz w:val="16"/>
              </w:rPr>
              <w:t>Metric</w:t>
            </w:r>
          </w:p>
        </w:tc>
        <w:tc>
          <w:tcPr>
            <w:tcW w:type="dxa" w:w="3600"/>
            <w:vAlign w:val="center"/>
            <w:shd w:fill="163446"/>
            <w:tcMar>
              <w:top w:w="85" w:type="dxa"/>
              <w:start w:w="100" w:type="dxa"/>
              <w:bottom w:w="85" w:type="dxa"/>
              <w:end w:w="100" w:type="dxa"/>
            </w:tcMar>
          </w:tcPr>
          <w:p>
            <w:pPr>
              <w:spacing w:after="0"/>
            </w:pPr>
            <w:r>
              <w:rPr>
                <w:rFonts w:ascii="Calibri" w:hAnsi="Calibri"/>
                <w:b/>
                <w:color w:val="FFFFFF"/>
                <w:sz w:val="16"/>
              </w:rPr>
              <w:t>Formula</w:t>
            </w:r>
          </w:p>
        </w:tc>
        <w:tc>
          <w:tcPr>
            <w:tcW w:type="dxa" w:w="5040"/>
            <w:vAlign w:val="center"/>
            <w:shd w:fill="163446"/>
            <w:tcMar>
              <w:top w:w="85" w:type="dxa"/>
              <w:start w:w="100" w:type="dxa"/>
              <w:bottom w:w="85" w:type="dxa"/>
              <w:end w:w="100" w:type="dxa"/>
            </w:tcMar>
          </w:tcPr>
          <w:p>
            <w:pPr>
              <w:spacing w:after="0"/>
            </w:pPr>
            <w:r>
              <w:rPr>
                <w:rFonts w:ascii="Calibri" w:hAnsi="Calibri"/>
                <w:b/>
                <w:color w:val="FFFFFF"/>
                <w:sz w:val="16"/>
              </w:rPr>
              <w:t>Interpretation</w:t>
            </w:r>
          </w:p>
        </w:tc>
      </w:tr>
      <w:tr>
        <w:tc>
          <w:tcPr>
            <w:tcW w:type="dxa" w:w="1008"/>
            <w:vAlign w:val="center"/>
            <w:tcMar>
              <w:top w:w="85" w:type="dxa"/>
              <w:start w:w="100" w:type="dxa"/>
              <w:bottom w:w="85" w:type="dxa"/>
              <w:end w:w="100" w:type="dxa"/>
            </w:tcMar>
          </w:tcPr>
          <w:p>
            <w:pPr>
              <w:spacing w:after="0" w:line="240" w:lineRule="auto"/>
            </w:pPr>
            <w:r>
              <w:rPr>
                <w:rFonts w:ascii="Calibri" w:hAnsi="Calibri"/>
                <w:color w:val="17232B"/>
                <w:sz w:val="16"/>
              </w:rPr>
              <w:t>MAE</w:t>
            </w:r>
          </w:p>
        </w:tc>
        <w:tc>
          <w:tcPr>
            <w:tcW w:type="dxa" w:w="3600"/>
            <w:vAlign w:val="center"/>
            <w:tcMar>
              <w:top w:w="85" w:type="dxa"/>
              <w:start w:w="100" w:type="dxa"/>
              <w:bottom w:w="85" w:type="dxa"/>
              <w:end w:w="100" w:type="dxa"/>
            </w:tcMar>
          </w:tcPr>
          <w:p>
            <w:pPr>
              <w:spacing w:after="0" w:line="240" w:lineRule="auto"/>
            </w:pPr>
            <w:r>
              <w:rPr>
                <w:rFonts w:ascii="Calibri" w:hAnsi="Calibri"/>
                <w:color w:val="17232B"/>
                <w:sz w:val="16"/>
              </w:rPr>
              <w:t>mean(|actual − predicted|)</w:t>
            </w:r>
          </w:p>
        </w:tc>
        <w:tc>
          <w:tcPr>
            <w:tcW w:type="dxa" w:w="5040"/>
            <w:vAlign w:val="center"/>
            <w:tcMar>
              <w:top w:w="85" w:type="dxa"/>
              <w:start w:w="100" w:type="dxa"/>
              <w:bottom w:w="85" w:type="dxa"/>
              <w:end w:w="100" w:type="dxa"/>
            </w:tcMar>
          </w:tcPr>
          <w:p>
            <w:pPr>
              <w:spacing w:after="0" w:line="240" w:lineRule="auto"/>
            </w:pPr>
            <w:r>
              <w:rPr>
                <w:rFonts w:ascii="Calibri" w:hAnsi="Calibri"/>
                <w:color w:val="17232B"/>
                <w:sz w:val="16"/>
              </w:rPr>
              <w:t>Average absolute error, in kWh; lower is better.</w:t>
            </w:r>
          </w:p>
        </w:tc>
      </w:tr>
      <w:tr>
        <w:tc>
          <w:tcPr>
            <w:tcW w:type="dxa" w:w="1008"/>
            <w:vAlign w:val="center"/>
            <w:tcMar>
              <w:top w:w="85" w:type="dxa"/>
              <w:start w:w="100" w:type="dxa"/>
              <w:bottom w:w="85" w:type="dxa"/>
              <w:end w:w="100" w:type="dxa"/>
            </w:tcMar>
            <w:shd w:fill="F1F6F7"/>
          </w:tcPr>
          <w:p>
            <w:pPr>
              <w:spacing w:after="0" w:line="240" w:lineRule="auto"/>
            </w:pPr>
            <w:r>
              <w:rPr>
                <w:rFonts w:ascii="Calibri" w:hAnsi="Calibri"/>
                <w:color w:val="17232B"/>
                <w:sz w:val="16"/>
              </w:rPr>
              <w:t>RMSE</w:t>
            </w:r>
          </w:p>
        </w:tc>
        <w:tc>
          <w:tcPr>
            <w:tcW w:type="dxa" w:w="3600"/>
            <w:vAlign w:val="center"/>
            <w:tcMar>
              <w:top w:w="85" w:type="dxa"/>
              <w:start w:w="100" w:type="dxa"/>
              <w:bottom w:w="85" w:type="dxa"/>
              <w:end w:w="100" w:type="dxa"/>
            </w:tcMar>
            <w:shd w:fill="F1F6F7"/>
          </w:tcPr>
          <w:p>
            <w:pPr>
              <w:spacing w:after="0" w:line="240" w:lineRule="auto"/>
            </w:pPr>
            <w:r>
              <w:rPr>
                <w:rFonts w:ascii="Calibri" w:hAnsi="Calibri"/>
                <w:color w:val="17232B"/>
                <w:sz w:val="16"/>
              </w:rPr>
              <w:t>sqrt(mean((actual − predicted)²))</w:t>
            </w:r>
          </w:p>
        </w:tc>
        <w:tc>
          <w:tcPr>
            <w:tcW w:type="dxa" w:w="5040"/>
            <w:vAlign w:val="center"/>
            <w:tcMar>
              <w:top w:w="85" w:type="dxa"/>
              <w:start w:w="100" w:type="dxa"/>
              <w:bottom w:w="85" w:type="dxa"/>
              <w:end w:w="100" w:type="dxa"/>
            </w:tcMar>
            <w:shd w:fill="F1F6F7"/>
          </w:tcPr>
          <w:p>
            <w:pPr>
              <w:spacing w:after="0" w:line="240" w:lineRule="auto"/>
            </w:pPr>
            <w:r>
              <w:rPr>
                <w:rFonts w:ascii="Calibri" w:hAnsi="Calibri"/>
                <w:color w:val="17232B"/>
                <w:sz w:val="16"/>
              </w:rPr>
              <w:t>Penalizes large misses more heavily; lower is better.</w:t>
            </w:r>
          </w:p>
        </w:tc>
      </w:tr>
      <w:tr>
        <w:tc>
          <w:tcPr>
            <w:tcW w:type="dxa" w:w="1008"/>
            <w:vAlign w:val="center"/>
            <w:tcMar>
              <w:top w:w="85" w:type="dxa"/>
              <w:start w:w="100" w:type="dxa"/>
              <w:bottom w:w="85" w:type="dxa"/>
              <w:end w:w="100" w:type="dxa"/>
            </w:tcMar>
          </w:tcPr>
          <w:p>
            <w:pPr>
              <w:spacing w:after="0" w:line="240" w:lineRule="auto"/>
            </w:pPr>
            <w:r>
              <w:rPr>
                <w:rFonts w:ascii="Calibri" w:hAnsi="Calibri"/>
                <w:color w:val="17232B"/>
                <w:sz w:val="16"/>
              </w:rPr>
              <w:t>R²</w:t>
            </w:r>
          </w:p>
        </w:tc>
        <w:tc>
          <w:tcPr>
            <w:tcW w:type="dxa" w:w="3600"/>
            <w:vAlign w:val="center"/>
            <w:tcMar>
              <w:top w:w="85" w:type="dxa"/>
              <w:start w:w="100" w:type="dxa"/>
              <w:bottom w:w="85" w:type="dxa"/>
              <w:end w:w="100" w:type="dxa"/>
            </w:tcMar>
          </w:tcPr>
          <w:p>
            <w:pPr>
              <w:spacing w:after="0" w:line="240" w:lineRule="auto"/>
            </w:pPr>
            <w:r>
              <w:rPr>
                <w:rFonts w:ascii="Calibri" w:hAnsi="Calibri"/>
                <w:color w:val="17232B"/>
                <w:sz w:val="16"/>
              </w:rPr>
              <w:t>1 − residual sum of squares / total sum of squares</w:t>
            </w:r>
          </w:p>
        </w:tc>
        <w:tc>
          <w:tcPr>
            <w:tcW w:type="dxa" w:w="5040"/>
            <w:vAlign w:val="center"/>
            <w:tcMar>
              <w:top w:w="85" w:type="dxa"/>
              <w:start w:w="100" w:type="dxa"/>
              <w:bottom w:w="85" w:type="dxa"/>
              <w:end w:w="100" w:type="dxa"/>
            </w:tcMar>
          </w:tcPr>
          <w:p>
            <w:pPr>
              <w:spacing w:after="0" w:line="240" w:lineRule="auto"/>
            </w:pPr>
            <w:r>
              <w:rPr>
                <w:rFonts w:ascii="Calibri" w:hAnsi="Calibri"/>
                <w:color w:val="17232B"/>
                <w:sz w:val="16"/>
              </w:rPr>
              <w:t>Compared with predicting test mean; 1 is ideal, 0 is mean baseline, negative can be worse.</w:t>
            </w:r>
          </w:p>
        </w:tc>
      </w:tr>
    </w:tbl>
    <w:p>
      <w:pPr>
        <w:spacing w:after="0"/>
      </w:pPr>
    </w:p>
    <w:p>
      <w:pPr>
        <w:widowControl/>
      </w:pPr>
      <w:r>
        <w:rPr>
          <w:rFonts w:ascii="Calibri" w:hAnsi="Calibri"/>
        </w:rPr>
        <w:t>MAE is the tuning objective because it has a direct kWh interpretation and is less dominated by one large miss than RMSE. RMSE complements it by emphasizing the tail. R² is a dimensionless comparison with a constant-mean baseline; it is not a percent-accuracy score [2, 5].</w:t>
      </w:r>
    </w:p>
    <w:p>
      <w:pPr>
        <w:pStyle w:val="Heading2"/>
      </w:pPr>
      <w:r>
        <w:rPr>
          <w:color w:val="000000"/>
        </w:rPr>
        <w:t>Residual measures</w:t>
      </w:r>
    </w:p>
    <w:p>
      <w:pPr>
        <w:widowControl/>
      </w:pPr>
      <w:r>
        <w:rPr>
          <w:rFonts w:ascii="Calibri" w:hAnsi="Calibri"/>
        </w:rPr>
        <w:t>The report also records mean and median signed error, the 90th-percentile and maximum absolute errors, and the percentages of held-out records within 10, 20 and 30 kWh. Residual is actual minus predicted: a positive value means underprediction; a negative value means overprediction.</w:t>
      </w:r>
    </w:p>
    <w:p>
      <w:pPr>
        <w:widowControl/>
      </w:pPr>
      <w:r>
        <w:rPr>
          <w:rFonts w:ascii="Calibri" w:hAnsi="Calibri"/>
        </w:rPr>
        <w:t>These tolerance rates do not define universal acceptability. They summarize this held-out sample at chosen kWh thresholds. The relevant tolerance depends on meter resolution and intended use.</w:t>
      </w:r>
    </w:p>
    <w:p>
      <w:r>
        <w:br w:type="page"/>
      </w:r>
    </w:p>
    <w:p>
      <w:pPr>
        <w:pStyle w:val="Heading1"/>
      </w:pPr>
      <w:r>
        <w:rPr>
          <w:color w:val="000000"/>
        </w:rPr>
        <w:t>11  Held-Out Results and Model Comparison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59"/>
        <w:gridCol w:w="2459"/>
        <w:gridCol w:w="2459"/>
        <w:gridCol w:w="2459"/>
      </w:tblGrid>
      <w:tr>
        <w:trPr>
          <w:tblHeader w:val="true"/>
        </w:trPr>
        <w:tc>
          <w:tcPr>
            <w:tcW w:type="dxa" w:w="3312"/>
            <w:vAlign w:val="center"/>
            <w:shd w:fill="163446"/>
            <w:tcMar>
              <w:top w:w="85" w:type="dxa"/>
              <w:start w:w="100" w:type="dxa"/>
              <w:bottom w:w="85" w:type="dxa"/>
              <w:end w:w="100" w:type="dxa"/>
            </w:tcMar>
          </w:tcPr>
          <w:p>
            <w:pPr>
              <w:spacing w:after="0"/>
            </w:pPr>
            <w:r>
              <w:rPr>
                <w:rFonts w:ascii="Calibri" w:hAnsi="Calibri"/>
                <w:b/>
                <w:color w:val="FFFFFF"/>
                <w:sz w:val="17"/>
              </w:rPr>
              <w:t>Model</w:t>
            </w:r>
          </w:p>
        </w:tc>
        <w:tc>
          <w:tcPr>
            <w:tcW w:type="dxa" w:w="2088"/>
            <w:vAlign w:val="center"/>
            <w:shd w:fill="163446"/>
            <w:tcMar>
              <w:top w:w="85" w:type="dxa"/>
              <w:start w:w="100" w:type="dxa"/>
              <w:bottom w:w="85" w:type="dxa"/>
              <w:end w:w="100" w:type="dxa"/>
            </w:tcMar>
          </w:tcPr>
          <w:p>
            <w:pPr>
              <w:spacing w:after="0"/>
              <w:jc w:val="center"/>
            </w:pPr>
            <w:r>
              <w:rPr>
                <w:rFonts w:ascii="Calibri" w:hAnsi="Calibri"/>
                <w:b/>
                <w:color w:val="FFFFFF"/>
                <w:sz w:val="17"/>
              </w:rPr>
              <w:t>MAE (kWh)</w:t>
            </w:r>
          </w:p>
        </w:tc>
        <w:tc>
          <w:tcPr>
            <w:tcW w:type="dxa" w:w="2088"/>
            <w:vAlign w:val="center"/>
            <w:shd w:fill="163446"/>
            <w:tcMar>
              <w:top w:w="85" w:type="dxa"/>
              <w:start w:w="100" w:type="dxa"/>
              <w:bottom w:w="85" w:type="dxa"/>
              <w:end w:w="100" w:type="dxa"/>
            </w:tcMar>
          </w:tcPr>
          <w:p>
            <w:pPr>
              <w:spacing w:after="0"/>
              <w:jc w:val="center"/>
            </w:pPr>
            <w:r>
              <w:rPr>
                <w:rFonts w:ascii="Calibri" w:hAnsi="Calibri"/>
                <w:b/>
                <w:color w:val="FFFFFF"/>
                <w:sz w:val="17"/>
              </w:rPr>
              <w:t>RMSE (kWh)</w:t>
            </w:r>
          </w:p>
        </w:tc>
        <w:tc>
          <w:tcPr>
            <w:tcW w:type="dxa" w:w="1872"/>
            <w:vAlign w:val="center"/>
            <w:shd w:fill="163446"/>
            <w:tcMar>
              <w:top w:w="85" w:type="dxa"/>
              <w:start w:w="100" w:type="dxa"/>
              <w:bottom w:w="85" w:type="dxa"/>
              <w:end w:w="100" w:type="dxa"/>
            </w:tcMar>
          </w:tcPr>
          <w:p>
            <w:pPr>
              <w:spacing w:after="0"/>
              <w:jc w:val="center"/>
            </w:pPr>
            <w:r>
              <w:rPr>
                <w:rFonts w:ascii="Calibri" w:hAnsi="Calibri"/>
                <w:b/>
                <w:color w:val="FFFFFF"/>
                <w:sz w:val="17"/>
              </w:rPr>
              <w:t>R²</w:t>
            </w:r>
          </w:p>
        </w:tc>
      </w:tr>
      <w:tr>
        <w:tc>
          <w:tcPr>
            <w:tcW w:type="dxa" w:w="3312"/>
            <w:vAlign w:val="center"/>
            <w:tcMar>
              <w:top w:w="85" w:type="dxa"/>
              <w:start w:w="100" w:type="dxa"/>
              <w:bottom w:w="85" w:type="dxa"/>
              <w:end w:w="100" w:type="dxa"/>
            </w:tcMar>
          </w:tcPr>
          <w:p>
            <w:pPr>
              <w:spacing w:after="0" w:line="240" w:lineRule="auto"/>
            </w:pPr>
            <w:r>
              <w:rPr>
                <w:rFonts w:ascii="Calibri" w:hAnsi="Calibri"/>
                <w:color w:val="17232B"/>
                <w:sz w:val="17"/>
              </w:rPr>
              <w:t>Linear Regression</w:t>
            </w:r>
          </w:p>
        </w:tc>
        <w:tc>
          <w:tcPr>
            <w:tcW w:type="dxa" w:w="2088"/>
            <w:vAlign w:val="center"/>
            <w:tcMar>
              <w:top w:w="85" w:type="dxa"/>
              <w:start w:w="100" w:type="dxa"/>
              <w:bottom w:w="85" w:type="dxa"/>
              <w:end w:w="100" w:type="dxa"/>
            </w:tcMar>
          </w:tcPr>
          <w:p>
            <w:pPr>
              <w:spacing w:after="0" w:line="240" w:lineRule="auto"/>
              <w:jc w:val="center"/>
            </w:pPr>
            <w:r>
              <w:rPr>
                <w:rFonts w:ascii="Calibri" w:hAnsi="Calibri"/>
                <w:color w:val="17232B"/>
                <w:sz w:val="17"/>
              </w:rPr>
              <w:t>15.9257</w:t>
            </w:r>
          </w:p>
        </w:tc>
        <w:tc>
          <w:tcPr>
            <w:tcW w:type="dxa" w:w="2088"/>
            <w:vAlign w:val="center"/>
            <w:tcMar>
              <w:top w:w="85" w:type="dxa"/>
              <w:start w:w="100" w:type="dxa"/>
              <w:bottom w:w="85" w:type="dxa"/>
              <w:end w:w="100" w:type="dxa"/>
            </w:tcMar>
          </w:tcPr>
          <w:p>
            <w:pPr>
              <w:spacing w:after="0" w:line="240" w:lineRule="auto"/>
              <w:jc w:val="center"/>
            </w:pPr>
            <w:r>
              <w:rPr>
                <w:rFonts w:ascii="Calibri" w:hAnsi="Calibri"/>
                <w:color w:val="17232B"/>
                <w:sz w:val="17"/>
              </w:rPr>
              <w:t>20.9559</w:t>
            </w:r>
          </w:p>
        </w:tc>
        <w:tc>
          <w:tcPr>
            <w:tcW w:type="dxa" w:w="1872"/>
            <w:vAlign w:val="center"/>
            <w:tcMar>
              <w:top w:w="85" w:type="dxa"/>
              <w:start w:w="100" w:type="dxa"/>
              <w:bottom w:w="85" w:type="dxa"/>
              <w:end w:w="100" w:type="dxa"/>
            </w:tcMar>
          </w:tcPr>
          <w:p>
            <w:pPr>
              <w:spacing w:after="0" w:line="240" w:lineRule="auto"/>
              <w:jc w:val="center"/>
            </w:pPr>
            <w:r>
              <w:rPr>
                <w:rFonts w:ascii="Calibri" w:hAnsi="Calibri"/>
                <w:color w:val="17232B"/>
                <w:sz w:val="17"/>
              </w:rPr>
              <w:t>0.9655</w:t>
            </w:r>
          </w:p>
        </w:tc>
      </w:tr>
      <w:tr>
        <w:tc>
          <w:tcPr>
            <w:tcW w:type="dxa" w:w="3312"/>
            <w:vAlign w:val="center"/>
            <w:tcMar>
              <w:top w:w="85" w:type="dxa"/>
              <w:start w:w="100" w:type="dxa"/>
              <w:bottom w:w="85" w:type="dxa"/>
              <w:end w:w="100" w:type="dxa"/>
            </w:tcMar>
            <w:shd w:fill="F1F6F7"/>
          </w:tcPr>
          <w:p>
            <w:pPr>
              <w:spacing w:after="0" w:line="240" w:lineRule="auto"/>
            </w:pPr>
            <w:r>
              <w:rPr>
                <w:rFonts w:ascii="Calibri" w:hAnsi="Calibri"/>
                <w:color w:val="17232B"/>
                <w:sz w:val="17"/>
              </w:rPr>
              <w:t>Optimized Ridge</w:t>
            </w:r>
          </w:p>
        </w:tc>
        <w:tc>
          <w:tcPr>
            <w:tcW w:type="dxa" w:w="2088"/>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15.9184</w:t>
            </w:r>
          </w:p>
        </w:tc>
        <w:tc>
          <w:tcPr>
            <w:tcW w:type="dxa" w:w="2088"/>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20.9456</w:t>
            </w:r>
          </w:p>
        </w:tc>
        <w:tc>
          <w:tcPr>
            <w:tcW w:type="dxa" w:w="1872"/>
            <w:vAlign w:val="center"/>
            <w:tcMar>
              <w:top w:w="85" w:type="dxa"/>
              <w:start w:w="100" w:type="dxa"/>
              <w:bottom w:w="85" w:type="dxa"/>
              <w:end w:w="100" w:type="dxa"/>
            </w:tcMar>
            <w:shd w:fill="F1F6F7"/>
          </w:tcPr>
          <w:p>
            <w:pPr>
              <w:spacing w:after="0" w:line="240" w:lineRule="auto"/>
              <w:jc w:val="center"/>
            </w:pPr>
            <w:r>
              <w:rPr>
                <w:rFonts w:ascii="Calibri" w:hAnsi="Calibri"/>
                <w:color w:val="17232B"/>
                <w:sz w:val="17"/>
              </w:rPr>
              <w:t>0.9656</w:t>
            </w:r>
          </w:p>
        </w:tc>
      </w:tr>
    </w:tbl>
    <w:p>
      <w:pPr>
        <w:spacing w:after="0"/>
      </w:pPr>
    </w:p>
    <w:p>
      <w:pPr>
        <w:spacing w:after="20"/>
        <w:jc w:val="center"/>
      </w:pPr>
      <w:r>
        <w:drawing>
          <wp:inline xmlns:a="http://schemas.openxmlformats.org/drawingml/2006/main" xmlns:pic="http://schemas.openxmlformats.org/drawingml/2006/picture">
            <wp:extent cx="5349240" cy="4011930"/>
            <wp:docPr id="3" name="Picture 3"/>
            <wp:cNvGraphicFramePr>
              <a:graphicFrameLocks noChangeAspect="1"/>
            </wp:cNvGraphicFramePr>
            <a:graphic>
              <a:graphicData uri="http://schemas.openxmlformats.org/drawingml/2006/picture">
                <pic:pic>
                  <pic:nvPicPr>
                    <pic:cNvPr id="0" name="actual_vs_predicted.png"/>
                    <pic:cNvPicPr/>
                  </pic:nvPicPr>
                  <pic:blipFill>
                    <a:blip r:embed="rId13"/>
                    <a:stretch>
                      <a:fillRect/>
                    </a:stretch>
                  </pic:blipFill>
                  <pic:spPr>
                    <a:xfrm>
                      <a:off x="0" y="0"/>
                      <a:ext cx="5349240" cy="4011930"/>
                    </a:xfrm>
                    <a:prstGeom prst="rect"/>
                  </pic:spPr>
                </pic:pic>
              </a:graphicData>
            </a:graphic>
          </wp:inline>
        </w:drawing>
      </w:r>
    </w:p>
    <w:p>
      <w:pPr>
        <w:pStyle w:val="Caption"/>
        <w:spacing w:after="80"/>
        <w:jc w:val="center"/>
      </w:pPr>
      <w:r>
        <w:t>Figure 3. Held-out predictions plotted against observed values; the diagonal is perfect agreement.</w:t>
      </w:r>
    </w:p>
    <w:p>
      <w:pPr>
        <w:widowControl/>
      </w:pPr>
      <w:r>
        <w:rPr>
          <w:rFonts w:ascii="Calibri" w:hAnsi="Calibri"/>
        </w:rPr>
        <w:t>Ridge lowers test MAE by 0.0073 kWh and RMSE by 0.0103 kWh compared with Linear Regression, relative reductions of about 0.05%. R² rises from 0.9655 to 0.9656. These results are practically indistinguishable on this split.</w:t>
      </w:r>
    </w:p>
    <w:p>
      <w:pPr>
        <w:widowControl/>
      </w:pPr>
      <w:r>
        <w:rPr>
          <w:rFonts w:ascii="Calibri" w:hAnsi="Calibri"/>
        </w:rPr>
        <w:t>Selected Ridge metrics are MAE 15.918 kWh, RMSE 20.946 kWh and R² 0.9656. Mean actual test usage is 371.746 kWh. The MAE is about 4.3% of this mean, but that ratio is not a calibrated per-household percentage error.</w:t>
      </w:r>
    </w:p>
    <w:p>
      <w:pPr>
        <w:widowControl/>
      </w:pPr>
      <w:r>
        <w:rPr>
          <w:rFonts w:ascii="Calibri" w:hAnsi="Calibri"/>
        </w:rPr>
        <w:t>The scatter points cluster around the diagonal, indicating close agreement between observed and predicted usage on the held-out test set. The spread is wider among higher-usage records.</w:t>
      </w:r>
    </w:p>
    <w:p>
      <w:r>
        <w:br w:type="page"/>
      </w:r>
    </w:p>
    <w:p>
      <w:pPr>
        <w:pStyle w:val="Heading1"/>
      </w:pPr>
      <w:r>
        <w:rPr>
          <w:color w:val="000000"/>
        </w:rPr>
        <w:t>12  Residual Analysis and First-Visit Scenario</w:t>
      </w:r>
    </w:p>
    <w:p>
      <w:pPr>
        <w:spacing w:after="20"/>
        <w:jc w:val="center"/>
      </w:pPr>
      <w:r>
        <w:drawing>
          <wp:inline xmlns:a="http://schemas.openxmlformats.org/drawingml/2006/main" xmlns:pic="http://schemas.openxmlformats.org/drawingml/2006/picture">
            <wp:extent cx="5897880" cy="2359152"/>
            <wp:docPr id="4" name="Picture 4"/>
            <wp:cNvGraphicFramePr>
              <a:graphicFrameLocks noChangeAspect="1"/>
            </wp:cNvGraphicFramePr>
            <a:graphic>
              <a:graphicData uri="http://schemas.openxmlformats.org/drawingml/2006/picture">
                <pic:pic>
                  <pic:nvPicPr>
                    <pic:cNvPr id="0" name="residual_diagnostics.png"/>
                    <pic:cNvPicPr/>
                  </pic:nvPicPr>
                  <pic:blipFill>
                    <a:blip r:embed="rId14"/>
                    <a:stretch>
                      <a:fillRect/>
                    </a:stretch>
                  </pic:blipFill>
                  <pic:spPr>
                    <a:xfrm>
                      <a:off x="0" y="0"/>
                      <a:ext cx="5897880" cy="2359152"/>
                    </a:xfrm>
                    <a:prstGeom prst="rect"/>
                  </pic:spPr>
                </pic:pic>
              </a:graphicData>
            </a:graphic>
          </wp:inline>
        </w:drawing>
      </w:r>
    </w:p>
    <w:p>
      <w:pPr>
        <w:pStyle w:val="Caption"/>
        <w:spacing w:after="80"/>
        <w:jc w:val="center"/>
      </w:pPr>
      <w:r>
        <w:t>Figure 4. Residual = actual minus predicted; positive values indicate underprediction.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67"/>
        <w:gridCol w:w="1967"/>
        <w:gridCol w:w="1967"/>
        <w:gridCol w:w="1967"/>
        <w:gridCol w:w="1967"/>
      </w:tblGrid>
      <w:tr>
        <w:trPr>
          <w:tblHeader w:val="true"/>
        </w:trPr>
        <w:tc>
          <w:tcPr>
            <w:tcW w:type="dxa" w:w="1656"/>
            <w:vAlign w:val="center"/>
            <w:shd w:fill="163446"/>
            <w:tcMar>
              <w:top w:w="85" w:type="dxa"/>
              <w:start w:w="100" w:type="dxa"/>
              <w:bottom w:w="85" w:type="dxa"/>
              <w:end w:w="100" w:type="dxa"/>
            </w:tcMar>
          </w:tcPr>
          <w:p>
            <w:pPr>
              <w:spacing w:after="0"/>
              <w:jc w:val="center"/>
            </w:pPr>
            <w:r>
              <w:rPr>
                <w:rFonts w:ascii="Calibri" w:hAnsi="Calibri"/>
                <w:b/>
                <w:color w:val="FFFFFF"/>
                <w:sz w:val="15"/>
              </w:rPr>
              <w:t>Usage quartile</w:t>
            </w:r>
          </w:p>
        </w:tc>
        <w:tc>
          <w:tcPr>
            <w:tcW w:type="dxa" w:w="1080"/>
            <w:vAlign w:val="center"/>
            <w:shd w:fill="163446"/>
            <w:tcMar>
              <w:top w:w="85" w:type="dxa"/>
              <w:start w:w="100" w:type="dxa"/>
              <w:bottom w:w="85" w:type="dxa"/>
              <w:end w:w="100" w:type="dxa"/>
            </w:tcMar>
          </w:tcPr>
          <w:p>
            <w:pPr>
              <w:spacing w:after="0"/>
              <w:jc w:val="center"/>
            </w:pPr>
            <w:r>
              <w:rPr>
                <w:rFonts w:ascii="Calibri" w:hAnsi="Calibri"/>
                <w:b/>
                <w:color w:val="FFFFFF"/>
                <w:sz w:val="15"/>
              </w:rPr>
              <w:t>Rows</w:t>
            </w:r>
          </w:p>
        </w:tc>
        <w:tc>
          <w:tcPr>
            <w:tcW w:type="dxa" w:w="2592"/>
            <w:vAlign w:val="center"/>
            <w:shd w:fill="163446"/>
            <w:tcMar>
              <w:top w:w="85" w:type="dxa"/>
              <w:start w:w="100" w:type="dxa"/>
              <w:bottom w:w="85" w:type="dxa"/>
              <w:end w:w="100" w:type="dxa"/>
            </w:tcMar>
          </w:tcPr>
          <w:p>
            <w:pPr>
              <w:spacing w:after="0"/>
            </w:pPr>
            <w:r>
              <w:rPr>
                <w:rFonts w:ascii="Calibri" w:hAnsi="Calibri"/>
                <w:b/>
                <w:color w:val="FFFFFF"/>
                <w:sz w:val="15"/>
              </w:rPr>
              <w:t>Actual range (kWh)</w:t>
            </w:r>
          </w:p>
        </w:tc>
        <w:tc>
          <w:tcPr>
            <w:tcW w:type="dxa" w:w="1584"/>
            <w:vAlign w:val="center"/>
            <w:shd w:fill="163446"/>
            <w:tcMar>
              <w:top w:w="85" w:type="dxa"/>
              <w:start w:w="100" w:type="dxa"/>
              <w:bottom w:w="85" w:type="dxa"/>
              <w:end w:w="100" w:type="dxa"/>
            </w:tcMar>
          </w:tcPr>
          <w:p>
            <w:pPr>
              <w:spacing w:after="0"/>
              <w:jc w:val="center"/>
            </w:pPr>
            <w:r>
              <w:rPr>
                <w:rFonts w:ascii="Calibri" w:hAnsi="Calibri"/>
                <w:b/>
                <w:color w:val="FFFFFF"/>
                <w:sz w:val="15"/>
              </w:rPr>
              <w:t>MAE</w:t>
            </w:r>
          </w:p>
        </w:tc>
        <w:tc>
          <w:tcPr>
            <w:tcW w:type="dxa" w:w="2592"/>
            <w:vAlign w:val="center"/>
            <w:shd w:fill="163446"/>
            <w:tcMar>
              <w:top w:w="85" w:type="dxa"/>
              <w:start w:w="100" w:type="dxa"/>
              <w:bottom w:w="85" w:type="dxa"/>
              <w:end w:w="100" w:type="dxa"/>
            </w:tcMar>
          </w:tcPr>
          <w:p>
            <w:pPr>
              <w:spacing w:after="0"/>
              <w:jc w:val="center"/>
            </w:pPr>
            <w:r>
              <w:rPr>
                <w:rFonts w:ascii="Calibri" w:hAnsi="Calibri"/>
                <w:b/>
                <w:color w:val="FFFFFF"/>
                <w:sz w:val="15"/>
              </w:rPr>
              <w:t>Mean signed error</w:t>
            </w:r>
          </w:p>
        </w:tc>
      </w:tr>
      <w:tr>
        <w:tc>
          <w:tcPr>
            <w:tcW w:type="dxa" w:w="1656"/>
            <w:vAlign w:val="center"/>
            <w:tcMar>
              <w:top w:w="85" w:type="dxa"/>
              <w:start w:w="100" w:type="dxa"/>
              <w:bottom w:w="85" w:type="dxa"/>
              <w:end w:w="100" w:type="dxa"/>
            </w:tcMar>
          </w:tcPr>
          <w:p>
            <w:pPr>
              <w:spacing w:after="0" w:line="240" w:lineRule="auto"/>
              <w:jc w:val="center"/>
            </w:pPr>
            <w:r>
              <w:rPr>
                <w:rFonts w:ascii="Calibri" w:hAnsi="Calibri"/>
                <w:color w:val="17232B"/>
                <w:sz w:val="15"/>
              </w:rPr>
              <w:t>Q1</w:t>
            </w:r>
          </w:p>
        </w:tc>
        <w:tc>
          <w:tcPr>
            <w:tcW w:type="dxa" w:w="1080"/>
            <w:vAlign w:val="center"/>
            <w:tcMar>
              <w:top w:w="85" w:type="dxa"/>
              <w:start w:w="100" w:type="dxa"/>
              <w:bottom w:w="85" w:type="dxa"/>
              <w:end w:w="100" w:type="dxa"/>
            </w:tcMar>
          </w:tcPr>
          <w:p>
            <w:pPr>
              <w:spacing w:after="0" w:line="240" w:lineRule="auto"/>
              <w:jc w:val="center"/>
            </w:pPr>
            <w:r>
              <w:rPr>
                <w:rFonts w:ascii="Calibri" w:hAnsi="Calibri"/>
                <w:color w:val="17232B"/>
                <w:sz w:val="15"/>
              </w:rPr>
              <w:t>50</w:t>
            </w:r>
          </w:p>
        </w:tc>
        <w:tc>
          <w:tcPr>
            <w:tcW w:type="dxa" w:w="2592"/>
            <w:vAlign w:val="center"/>
            <w:tcMar>
              <w:top w:w="85" w:type="dxa"/>
              <w:start w:w="100" w:type="dxa"/>
              <w:bottom w:w="85" w:type="dxa"/>
              <w:end w:w="100" w:type="dxa"/>
            </w:tcMar>
          </w:tcPr>
          <w:p>
            <w:pPr>
              <w:spacing w:after="0" w:line="240" w:lineRule="auto"/>
            </w:pPr>
            <w:r>
              <w:rPr>
                <w:rFonts w:ascii="Calibri" w:hAnsi="Calibri"/>
                <w:color w:val="17232B"/>
                <w:sz w:val="15"/>
              </w:rPr>
              <w:t>153.0–280.7</w:t>
            </w:r>
          </w:p>
        </w:tc>
        <w:tc>
          <w:tcPr>
            <w:tcW w:type="dxa" w:w="1584"/>
            <w:vAlign w:val="center"/>
            <w:tcMar>
              <w:top w:w="85" w:type="dxa"/>
              <w:start w:w="100" w:type="dxa"/>
              <w:bottom w:w="85" w:type="dxa"/>
              <w:end w:w="100" w:type="dxa"/>
            </w:tcMar>
          </w:tcPr>
          <w:p>
            <w:pPr>
              <w:spacing w:after="0" w:line="240" w:lineRule="auto"/>
              <w:jc w:val="center"/>
            </w:pPr>
            <w:r>
              <w:rPr>
                <w:rFonts w:ascii="Calibri" w:hAnsi="Calibri"/>
                <w:color w:val="17232B"/>
                <w:sz w:val="15"/>
              </w:rPr>
              <w:t>12.40</w:t>
            </w:r>
          </w:p>
        </w:tc>
        <w:tc>
          <w:tcPr>
            <w:tcW w:type="dxa" w:w="2592"/>
            <w:vAlign w:val="center"/>
            <w:tcMar>
              <w:top w:w="85" w:type="dxa"/>
              <w:start w:w="100" w:type="dxa"/>
              <w:bottom w:w="85" w:type="dxa"/>
              <w:end w:w="100" w:type="dxa"/>
            </w:tcMar>
          </w:tcPr>
          <w:p>
            <w:pPr>
              <w:spacing w:after="0" w:line="240" w:lineRule="auto"/>
              <w:jc w:val="center"/>
            </w:pPr>
            <w:r>
              <w:rPr>
                <w:rFonts w:ascii="Calibri" w:hAnsi="Calibri"/>
                <w:color w:val="17232B"/>
                <w:sz w:val="15"/>
              </w:rPr>
              <w:t>+0.09</w:t>
            </w:r>
          </w:p>
        </w:tc>
      </w:tr>
      <w:tr>
        <w:tc>
          <w:tcPr>
            <w:tcW w:type="dxa" w:w="1656"/>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Q2</w:t>
            </w:r>
          </w:p>
        </w:tc>
        <w:tc>
          <w:tcPr>
            <w:tcW w:type="dxa" w:w="108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50</w:t>
            </w:r>
          </w:p>
        </w:tc>
        <w:tc>
          <w:tcPr>
            <w:tcW w:type="dxa" w:w="2592"/>
            <w:vAlign w:val="center"/>
            <w:tcMar>
              <w:top w:w="85" w:type="dxa"/>
              <w:start w:w="100" w:type="dxa"/>
              <w:bottom w:w="85" w:type="dxa"/>
              <w:end w:w="100" w:type="dxa"/>
            </w:tcMar>
            <w:shd w:fill="F1F6F7"/>
          </w:tcPr>
          <w:p>
            <w:pPr>
              <w:spacing w:after="0" w:line="240" w:lineRule="auto"/>
            </w:pPr>
            <w:r>
              <w:rPr>
                <w:rFonts w:ascii="Calibri" w:hAnsi="Calibri"/>
                <w:color w:val="17232B"/>
                <w:sz w:val="15"/>
              </w:rPr>
              <w:t>281.6–344.1</w:t>
            </w:r>
          </w:p>
        </w:tc>
        <w:tc>
          <w:tcPr>
            <w:tcW w:type="dxa" w:w="158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11.88</w:t>
            </w:r>
          </w:p>
        </w:tc>
        <w:tc>
          <w:tcPr>
            <w:tcW w:type="dxa" w:w="2592"/>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+0.46</w:t>
            </w:r>
          </w:p>
        </w:tc>
      </w:tr>
      <w:tr>
        <w:tc>
          <w:tcPr>
            <w:tcW w:type="dxa" w:w="1656"/>
            <w:vAlign w:val="center"/>
            <w:tcMar>
              <w:top w:w="85" w:type="dxa"/>
              <w:start w:w="100" w:type="dxa"/>
              <w:bottom w:w="85" w:type="dxa"/>
              <w:end w:w="100" w:type="dxa"/>
            </w:tcMar>
          </w:tcPr>
          <w:p>
            <w:pPr>
              <w:spacing w:after="0" w:line="240" w:lineRule="auto"/>
              <w:jc w:val="center"/>
            </w:pPr>
            <w:r>
              <w:rPr>
                <w:rFonts w:ascii="Calibri" w:hAnsi="Calibri"/>
                <w:color w:val="17232B"/>
                <w:sz w:val="15"/>
              </w:rPr>
              <w:t>Q3</w:t>
            </w:r>
          </w:p>
        </w:tc>
        <w:tc>
          <w:tcPr>
            <w:tcW w:type="dxa" w:w="1080"/>
            <w:vAlign w:val="center"/>
            <w:tcMar>
              <w:top w:w="85" w:type="dxa"/>
              <w:start w:w="100" w:type="dxa"/>
              <w:bottom w:w="85" w:type="dxa"/>
              <w:end w:w="100" w:type="dxa"/>
            </w:tcMar>
          </w:tcPr>
          <w:p>
            <w:pPr>
              <w:spacing w:after="0" w:line="240" w:lineRule="auto"/>
              <w:jc w:val="center"/>
            </w:pPr>
            <w:r>
              <w:rPr>
                <w:rFonts w:ascii="Calibri" w:hAnsi="Calibri"/>
                <w:color w:val="17232B"/>
                <w:sz w:val="15"/>
              </w:rPr>
              <w:t>50</w:t>
            </w:r>
          </w:p>
        </w:tc>
        <w:tc>
          <w:tcPr>
            <w:tcW w:type="dxa" w:w="2592"/>
            <w:vAlign w:val="center"/>
            <w:tcMar>
              <w:top w:w="85" w:type="dxa"/>
              <w:start w:w="100" w:type="dxa"/>
              <w:bottom w:w="85" w:type="dxa"/>
              <w:end w:w="100" w:type="dxa"/>
            </w:tcMar>
          </w:tcPr>
          <w:p>
            <w:pPr>
              <w:spacing w:after="0" w:line="240" w:lineRule="auto"/>
            </w:pPr>
            <w:r>
              <w:rPr>
                <w:rFonts w:ascii="Calibri" w:hAnsi="Calibri"/>
                <w:color w:val="17232B"/>
                <w:sz w:val="15"/>
              </w:rPr>
              <w:t>344.6–454.0</w:t>
            </w:r>
          </w:p>
        </w:tc>
        <w:tc>
          <w:tcPr>
            <w:tcW w:type="dxa" w:w="1584"/>
            <w:vAlign w:val="center"/>
            <w:tcMar>
              <w:top w:w="85" w:type="dxa"/>
              <w:start w:w="100" w:type="dxa"/>
              <w:bottom w:w="85" w:type="dxa"/>
              <w:end w:w="100" w:type="dxa"/>
            </w:tcMar>
          </w:tcPr>
          <w:p>
            <w:pPr>
              <w:spacing w:after="0" w:line="240" w:lineRule="auto"/>
              <w:jc w:val="center"/>
            </w:pPr>
            <w:r>
              <w:rPr>
                <w:rFonts w:ascii="Calibri" w:hAnsi="Calibri"/>
                <w:color w:val="17232B"/>
                <w:sz w:val="15"/>
              </w:rPr>
              <w:t>18.89</w:t>
            </w:r>
          </w:p>
        </w:tc>
        <w:tc>
          <w:tcPr>
            <w:tcW w:type="dxa" w:w="2592"/>
            <w:vAlign w:val="center"/>
            <w:tcMar>
              <w:top w:w="85" w:type="dxa"/>
              <w:start w:w="100" w:type="dxa"/>
              <w:bottom w:w="85" w:type="dxa"/>
              <w:end w:w="100" w:type="dxa"/>
            </w:tcMar>
          </w:tcPr>
          <w:p>
            <w:pPr>
              <w:spacing w:after="0" w:line="240" w:lineRule="auto"/>
              <w:jc w:val="center"/>
            </w:pPr>
            <w:r>
              <w:rPr>
                <w:rFonts w:ascii="Calibri" w:hAnsi="Calibri"/>
                <w:color w:val="17232B"/>
                <w:sz w:val="15"/>
              </w:rPr>
              <w:t>-0.37</w:t>
            </w:r>
          </w:p>
        </w:tc>
      </w:tr>
      <w:tr>
        <w:tc>
          <w:tcPr>
            <w:tcW w:type="dxa" w:w="1656"/>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Q4</w:t>
            </w:r>
          </w:p>
        </w:tc>
        <w:tc>
          <w:tcPr>
            <w:tcW w:type="dxa" w:w="1080"/>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50</w:t>
            </w:r>
          </w:p>
        </w:tc>
        <w:tc>
          <w:tcPr>
            <w:tcW w:type="dxa" w:w="2592"/>
            <w:vAlign w:val="center"/>
            <w:tcMar>
              <w:top w:w="85" w:type="dxa"/>
              <w:start w:w="100" w:type="dxa"/>
              <w:bottom w:w="85" w:type="dxa"/>
              <w:end w:w="100" w:type="dxa"/>
            </w:tcMar>
            <w:shd w:fill="F1F6F7"/>
          </w:tcPr>
          <w:p>
            <w:pPr>
              <w:spacing w:after="0" w:line="240" w:lineRule="auto"/>
            </w:pPr>
            <w:r>
              <w:rPr>
                <w:rFonts w:ascii="Calibri" w:hAnsi="Calibri"/>
                <w:color w:val="17232B"/>
                <w:sz w:val="15"/>
              </w:rPr>
              <w:t>454.1–718.0</w:t>
            </w:r>
          </w:p>
        </w:tc>
        <w:tc>
          <w:tcPr>
            <w:tcW w:type="dxa" w:w="1584"/>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20.50</w:t>
            </w:r>
          </w:p>
        </w:tc>
        <w:tc>
          <w:tcPr>
            <w:tcW w:type="dxa" w:w="2592"/>
            <w:vAlign w:val="center"/>
            <w:tcMar>
              <w:top w:w="85" w:type="dxa"/>
              <w:start w:w="100" w:type="dxa"/>
              <w:bottom w:w="85" w:type="dxa"/>
              <w:end w:w="100" w:type="dxa"/>
            </w:tcMar>
            <w:shd w:fill="F1F6F7"/>
          </w:tcPr>
          <w:p>
            <w:pPr>
              <w:spacing w:after="0" w:line="240" w:lineRule="auto"/>
              <w:jc w:val="center"/>
            </w:pPr>
            <w:r>
              <w:rPr>
                <w:rFonts w:ascii="Calibri" w:hAnsi="Calibri"/>
                <w:color w:val="17232B"/>
                <w:sz w:val="15"/>
              </w:rPr>
              <w:t>+5.94</w:t>
            </w:r>
          </w:p>
        </w:tc>
      </w:tr>
    </w:tbl>
    <w:p>
      <w:pPr>
        <w:spacing w:after="0"/>
      </w:pPr>
    </w:p>
    <w:p>
      <w:pPr>
        <w:widowControl/>
      </w:pPr>
      <w:r>
        <w:rPr>
          <w:rFonts w:ascii="Calibri" w:hAnsi="Calibri"/>
        </w:rPr>
        <w:t>Across 200 rows, mean signed error is +1.533 kWh and median is +0.762 kWh. The 90th-percentile absolute error is 33.992 kWh; the maximum is 76.133 kWh. Estimates fall within 10, 20 and 30 kWh for 42.0%, 70.0% and 85.5% of test records.</w:t>
      </w:r>
    </w:p>
    <w:p>
      <w:pPr>
        <w:widowControl/>
      </w:pPr>
      <w:r>
        <w:rPr>
          <w:rFonts w:ascii="Calibri" w:hAnsi="Calibri"/>
        </w:rPr>
        <w:t>The highest-use quartile has MAE 20.50 kWh versus 11.88–12.40 kWh in the first two quartiles. Its mean signed error is +5.94 kWh, showing average underprediction at the high end.</w:t>
      </w:r>
    </w:p>
    <w:p>
      <w:pPr>
        <w:pStyle w:val="Heading2"/>
      </w:pPr>
      <w:r>
        <w:rPr>
          <w:color w:val="000000"/>
        </w:rPr>
        <w:t>When previous-month usage is blank</w:t>
      </w:r>
    </w:p>
    <w:p>
      <w:pPr>
        <w:widowControl/>
      </w:pPr>
      <w:r>
        <w:rPr>
          <w:rFonts w:ascii="Calibri" w:hAnsi="Calibri"/>
        </w:rPr>
        <w:t>When Previous_Month_Usage_kWh is hidden for every test row, the fitted training median is imputed. MAE rises from 15.918 to 36.039 kWh; RMSE becomes 45.613 kWh and R² falls to 0.8367. This stress case is more relevant to a new user who leaves the optional input blank.</w:t>
      </w:r>
    </w:p>
    <w:p>
      <w:r>
        <w:br w:type="page"/>
      </w:r>
    </w:p>
    <w:p>
      <w:pPr>
        <w:pStyle w:val="Heading1"/>
      </w:pPr>
      <w:r>
        <w:rPr>
          <w:color w:val="000000"/>
        </w:rPr>
        <w:t>13  Feature Contribution Analysis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5760"/>
            <w:vAlign w:val="center"/>
            <w:shd w:fill="163446"/>
            <w:tcMar>
              <w:top w:w="85" w:type="dxa"/>
              <w:start w:w="100" w:type="dxa"/>
              <w:bottom w:w="85" w:type="dxa"/>
              <w:end w:w="100" w:type="dxa"/>
            </w:tcMar>
          </w:tcPr>
          <w:p>
            <w:pPr>
              <w:spacing w:after="0"/>
            </w:pPr>
            <w:r>
              <w:rPr>
                <w:rFonts w:ascii="Calibri" w:hAnsi="Calibri"/>
                <w:b/>
                <w:color w:val="FFFFFF"/>
                <w:sz w:val="17"/>
              </w:rPr>
              <w:t>Encoded feature</w:t>
            </w:r>
          </w:p>
        </w:tc>
        <w:tc>
          <w:tcPr>
            <w:tcW w:type="dxa" w:w="3888"/>
            <w:vAlign w:val="center"/>
            <w:shd w:fill="163446"/>
            <w:tcMar>
              <w:top w:w="85" w:type="dxa"/>
              <w:start w:w="100" w:type="dxa"/>
              <w:bottom w:w="85" w:type="dxa"/>
              <w:end w:w="100" w:type="dxa"/>
            </w:tcMar>
          </w:tcPr>
          <w:p>
            <w:pPr>
              <w:spacing w:after="0"/>
            </w:pPr>
            <w:r>
              <w:rPr>
                <w:rFonts w:ascii="Calibri" w:hAnsi="Calibri"/>
                <w:b/>
                <w:color w:val="FFFFFF"/>
                <w:sz w:val="17"/>
              </w:rPr>
              <w:t>Coefficient</w:t>
            </w:r>
          </w:p>
        </w:tc>
      </w:tr>
      <w:tr>
        <w:tc>
          <w:tcPr>
            <w:tcW w:type="dxa" w:w="5760"/>
            <w:vAlign w:val="center"/>
            <w:tcMar>
              <w:top w:w="85" w:type="dxa"/>
              <w:start w:w="100" w:type="dxa"/>
              <w:bottom w:w="85" w:type="dxa"/>
              <w:end w:w="100" w:type="dxa"/>
            </w:tcMar>
          </w:tcPr>
          <w:p>
            <w:pPr>
              <w:spacing w:after="0" w:line="240" w:lineRule="auto"/>
            </w:pPr>
            <w:r>
              <w:rPr>
                <w:rFonts w:ascii="Calibri" w:hAnsi="Calibri"/>
                <w:color w:val="17232B"/>
                <w:sz w:val="17"/>
              </w:rPr>
              <w:t>AC_Units</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7"/>
              </w:rPr>
              <w:t>+43.00</w:t>
            </w:r>
          </w:p>
        </w:tc>
      </w:tr>
      <w:tr>
        <w:tc>
          <w:tcPr>
            <w:tcW w:type="dxa" w:w="5760"/>
            <w:vAlign w:val="center"/>
            <w:tcMar>
              <w:top w:w="85" w:type="dxa"/>
              <w:start w:w="100" w:type="dxa"/>
              <w:bottom w:w="85" w:type="dxa"/>
              <w:end w:w="100" w:type="dxa"/>
            </w:tcMar>
            <w:shd w:fill="F1F6F7"/>
          </w:tcPr>
          <w:p>
            <w:pPr>
              <w:spacing w:after="0" w:line="240" w:lineRule="auto"/>
            </w:pPr>
            <w:r>
              <w:rPr>
                <w:rFonts w:ascii="Calibri" w:hAnsi="Calibri"/>
                <w:color w:val="17232B"/>
                <w:sz w:val="17"/>
              </w:rPr>
              <w:t>Previous_Month_Usage_kWh</w:t>
            </w:r>
          </w:p>
        </w:tc>
        <w:tc>
          <w:tcPr>
            <w:tcW w:type="dxa" w:w="3888"/>
            <w:vAlign w:val="center"/>
            <w:tcMar>
              <w:top w:w="85" w:type="dxa"/>
              <w:start w:w="100" w:type="dxa"/>
              <w:bottom w:w="85" w:type="dxa"/>
              <w:end w:w="100" w:type="dxa"/>
            </w:tcMar>
            <w:shd w:fill="F1F6F7"/>
          </w:tcPr>
          <w:p>
            <w:pPr>
              <w:spacing w:after="0" w:line="240" w:lineRule="auto"/>
            </w:pPr>
            <w:r>
              <w:rPr>
                <w:rFonts w:ascii="Calibri" w:hAnsi="Calibri"/>
                <w:color w:val="17232B"/>
                <w:sz w:val="17"/>
              </w:rPr>
              <w:t>+38.40</w:t>
            </w:r>
          </w:p>
        </w:tc>
      </w:tr>
      <w:tr>
        <w:tc>
          <w:tcPr>
            <w:tcW w:type="dxa" w:w="5760"/>
            <w:vAlign w:val="center"/>
            <w:tcMar>
              <w:top w:w="85" w:type="dxa"/>
              <w:start w:w="100" w:type="dxa"/>
              <w:bottom w:w="85" w:type="dxa"/>
              <w:end w:w="100" w:type="dxa"/>
            </w:tcMar>
          </w:tcPr>
          <w:p>
            <w:pPr>
              <w:spacing w:after="0" w:line="240" w:lineRule="auto"/>
            </w:pPr>
            <w:r>
              <w:rPr>
                <w:rFonts w:ascii="Calibri" w:hAnsi="Calibri"/>
                <w:color w:val="17232B"/>
                <w:sz w:val="17"/>
              </w:rPr>
              <w:t>Household_Size</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7"/>
              </w:rPr>
              <w:t>+23.31</w:t>
            </w:r>
          </w:p>
        </w:tc>
      </w:tr>
      <w:tr>
        <w:tc>
          <w:tcPr>
            <w:tcW w:type="dxa" w:w="5760"/>
            <w:vAlign w:val="center"/>
            <w:tcMar>
              <w:top w:w="85" w:type="dxa"/>
              <w:start w:w="100" w:type="dxa"/>
              <w:bottom w:w="85" w:type="dxa"/>
              <w:end w:w="100" w:type="dxa"/>
            </w:tcMar>
            <w:shd w:fill="F1F6F7"/>
          </w:tcPr>
          <w:p>
            <w:pPr>
              <w:spacing w:after="0" w:line="240" w:lineRule="auto"/>
            </w:pPr>
            <w:r>
              <w:rPr>
                <w:rFonts w:ascii="Calibri" w:hAnsi="Calibri"/>
                <w:color w:val="17232B"/>
                <w:sz w:val="17"/>
              </w:rPr>
              <w:t>Other_Appliances</w:t>
            </w:r>
          </w:p>
        </w:tc>
        <w:tc>
          <w:tcPr>
            <w:tcW w:type="dxa" w:w="3888"/>
            <w:vAlign w:val="center"/>
            <w:tcMar>
              <w:top w:w="85" w:type="dxa"/>
              <w:start w:w="100" w:type="dxa"/>
              <w:bottom w:w="85" w:type="dxa"/>
              <w:end w:w="100" w:type="dxa"/>
            </w:tcMar>
            <w:shd w:fill="F1F6F7"/>
          </w:tcPr>
          <w:p>
            <w:pPr>
              <w:spacing w:after="0" w:line="240" w:lineRule="auto"/>
            </w:pPr>
            <w:r>
              <w:rPr>
                <w:rFonts w:ascii="Calibri" w:hAnsi="Calibri"/>
                <w:color w:val="17232B"/>
                <w:sz w:val="17"/>
              </w:rPr>
              <w:t>+10.67</w:t>
            </w:r>
          </w:p>
        </w:tc>
      </w:tr>
      <w:tr>
        <w:tc>
          <w:tcPr>
            <w:tcW w:type="dxa" w:w="5760"/>
            <w:vAlign w:val="center"/>
            <w:tcMar>
              <w:top w:w="85" w:type="dxa"/>
              <w:start w:w="100" w:type="dxa"/>
              <w:bottom w:w="85" w:type="dxa"/>
              <w:end w:w="100" w:type="dxa"/>
            </w:tcMar>
          </w:tcPr>
          <w:p>
            <w:pPr>
              <w:spacing w:after="0" w:line="240" w:lineRule="auto"/>
            </w:pPr>
            <w:r>
              <w:rPr>
                <w:rFonts w:ascii="Calibri" w:hAnsi="Calibri"/>
                <w:color w:val="17232B"/>
                <w:sz w:val="17"/>
              </w:rPr>
              <w:t>Rooms</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7"/>
              </w:rPr>
              <w:t>+7.83</w:t>
            </w:r>
          </w:p>
        </w:tc>
      </w:tr>
      <w:tr>
        <w:tc>
          <w:tcPr>
            <w:tcW w:type="dxa" w:w="5760"/>
            <w:vAlign w:val="center"/>
            <w:tcMar>
              <w:top w:w="85" w:type="dxa"/>
              <w:start w:w="100" w:type="dxa"/>
              <w:bottom w:w="85" w:type="dxa"/>
              <w:end w:w="100" w:type="dxa"/>
            </w:tcMar>
            <w:shd w:fill="F1F6F7"/>
          </w:tcPr>
          <w:p>
            <w:pPr>
              <w:spacing w:after="0" w:line="240" w:lineRule="auto"/>
            </w:pPr>
            <w:r>
              <w:rPr>
                <w:rFonts w:ascii="Calibri" w:hAnsi="Calibri"/>
                <w:color w:val="17232B"/>
                <w:sz w:val="17"/>
              </w:rPr>
              <w:t>TV_Count</w:t>
            </w:r>
          </w:p>
        </w:tc>
        <w:tc>
          <w:tcPr>
            <w:tcW w:type="dxa" w:w="3888"/>
            <w:vAlign w:val="center"/>
            <w:tcMar>
              <w:top w:w="85" w:type="dxa"/>
              <w:start w:w="100" w:type="dxa"/>
              <w:bottom w:w="85" w:type="dxa"/>
              <w:end w:w="100" w:type="dxa"/>
            </w:tcMar>
            <w:shd w:fill="F1F6F7"/>
          </w:tcPr>
          <w:p>
            <w:pPr>
              <w:spacing w:after="0" w:line="240" w:lineRule="auto"/>
            </w:pPr>
            <w:r>
              <w:rPr>
                <w:rFonts w:ascii="Calibri" w:hAnsi="Calibri"/>
                <w:color w:val="17232B"/>
                <w:sz w:val="17"/>
              </w:rPr>
              <w:t>+7.29</w:t>
            </w:r>
          </w:p>
        </w:tc>
      </w:tr>
      <w:tr>
        <w:tc>
          <w:tcPr>
            <w:tcW w:type="dxa" w:w="5760"/>
            <w:vAlign w:val="center"/>
            <w:tcMar>
              <w:top w:w="85" w:type="dxa"/>
              <w:start w:w="100" w:type="dxa"/>
              <w:bottom w:w="85" w:type="dxa"/>
              <w:end w:w="100" w:type="dxa"/>
            </w:tcMar>
          </w:tcPr>
          <w:p>
            <w:pPr>
              <w:spacing w:after="0" w:line="240" w:lineRule="auto"/>
            </w:pPr>
            <w:r>
              <w:rPr>
                <w:rFonts w:ascii="Calibri" w:hAnsi="Calibri"/>
                <w:color w:val="17232B"/>
                <w:sz w:val="17"/>
              </w:rPr>
              <w:t>Light_Count</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7"/>
              </w:rPr>
              <w:t>+4.90</w:t>
            </w:r>
          </w:p>
        </w:tc>
      </w:tr>
      <w:tr>
        <w:tc>
          <w:tcPr>
            <w:tcW w:type="dxa" w:w="5760"/>
            <w:vAlign w:val="center"/>
            <w:tcMar>
              <w:top w:w="85" w:type="dxa"/>
              <w:start w:w="100" w:type="dxa"/>
              <w:bottom w:w="85" w:type="dxa"/>
              <w:end w:w="100" w:type="dxa"/>
            </w:tcMar>
            <w:shd w:fill="F1F6F7"/>
          </w:tcPr>
          <w:p>
            <w:pPr>
              <w:spacing w:after="0" w:line="240" w:lineRule="auto"/>
            </w:pPr>
            <w:r>
              <w:rPr>
                <w:rFonts w:ascii="Calibri" w:hAnsi="Calibri"/>
                <w:color w:val="17232B"/>
                <w:sz w:val="17"/>
              </w:rPr>
              <w:t>Refrigerator</w:t>
            </w:r>
          </w:p>
        </w:tc>
        <w:tc>
          <w:tcPr>
            <w:tcW w:type="dxa" w:w="3888"/>
            <w:vAlign w:val="center"/>
            <w:tcMar>
              <w:top w:w="85" w:type="dxa"/>
              <w:start w:w="100" w:type="dxa"/>
              <w:bottom w:w="85" w:type="dxa"/>
              <w:end w:w="100" w:type="dxa"/>
            </w:tcMar>
            <w:shd w:fill="F1F6F7"/>
          </w:tcPr>
          <w:p>
            <w:pPr>
              <w:spacing w:after="0" w:line="240" w:lineRule="auto"/>
            </w:pPr>
            <w:r>
              <w:rPr>
                <w:rFonts w:ascii="Calibri" w:hAnsi="Calibri"/>
                <w:color w:val="17232B"/>
                <w:sz w:val="17"/>
              </w:rPr>
              <w:t>+4.52</w:t>
            </w:r>
          </w:p>
        </w:tc>
      </w:tr>
    </w:tbl>
    <w:p>
      <w:pPr>
        <w:spacing w:after="0"/>
      </w:pPr>
    </w:p>
    <w:p>
      <w:pPr>
        <w:widowControl/>
      </w:pPr>
      <w:r>
        <w:rPr>
          <w:rFonts w:ascii="Calibri" w:hAnsi="Calibri"/>
        </w:rPr>
        <w:t>The largest absolute numeric coefficients are AC_Units (+43.00), Previous_Month_Usage_kWh (+38.40) and Household_Size (+23.31). The pattern is consistent with previous consumption and cooling demand carrying substantial information about the current target.</w:t>
      </w:r>
    </w:p>
    <w:p>
      <w:pPr>
        <w:widowControl/>
      </w:pPr>
      <w:r>
        <w:rPr>
          <w:rFonts w:ascii="Calibri" w:hAnsi="Calibri"/>
        </w:rPr>
        <w:t>Numeric coefficients correspond to standardized inputs, so their values describe a one-standard-deviation shift while other encoded values are held fixed. They are not kWh per additional appliance. The area categories use one-hot encoding; their coefficients should be read with the model intercept and coding structure.</w:t>
      </w:r>
    </w:p>
    <w:p>
      <w:pPr>
        <w:widowControl/>
      </w:pPr>
      <w:r>
        <w:rPr>
          <w:rFonts w:ascii="Calibri" w:hAnsi="Calibri"/>
        </w:rPr>
        <w:t>Coefficient size is not a causal effect or guaranteed ranking in a different dataset. Correlated predictors share information; previous-month use is strongly associated with the target. A future explanatory version could add permutation importance or partial-dependence analysis.</w:t>
      </w:r>
    </w:p>
    <w:p>
      <w:pPr>
        <w:pStyle w:val="Heading2"/>
      </w:pPr>
      <w:r>
        <w:rPr>
          <w:color w:val="000000"/>
        </w:rPr>
        <w:t>Interpretability choice</w:t>
      </w:r>
    </w:p>
    <w:p>
      <w:pPr>
        <w:widowControl/>
      </w:pPr>
      <w:r>
        <w:rPr>
          <w:rFonts w:ascii="Calibri" w:hAnsi="Calibri"/>
        </w:rPr>
        <w:t>Linear models keep the coursework implementation explainable. A tree-based model might capture interactions; it can be compared using the same cross-validation folds and metrics.</w:t>
      </w:r>
    </w:p>
    <w:p>
      <w:r>
        <w:br w:type="page"/>
      </w:r>
    </w:p>
    <w:p>
      <w:pPr>
        <w:pStyle w:val="Heading1"/>
      </w:pPr>
      <w:r>
        <w:rPr>
          <w:color w:val="000000"/>
        </w:rPr>
        <w:t>14  Full-Stack System Architecture</w:t>
      </w:r>
    </w:p>
    <w:p>
      <w:pPr>
        <w:spacing w:after="20"/>
        <w:jc w:val="center"/>
      </w:pPr>
      <w:r>
        <w:drawing>
          <wp:inline xmlns:a="http://schemas.openxmlformats.org/drawingml/2006/main" xmlns:pic="http://schemas.openxmlformats.org/drawingml/2006/picture">
            <wp:extent cx="5989320" cy="2395728"/>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989320" cy="2395728"/>
                    </a:xfrm>
                    <a:prstGeom prst="rect"/>
                  </pic:spPr>
                </pic:pic>
              </a:graphicData>
            </a:graphic>
          </wp:inline>
        </w:drawing>
      </w:r>
    </w:p>
    <w:p>
      <w:pPr>
        <w:pStyle w:val="Caption"/>
        <w:spacing w:after="80"/>
        <w:jc w:val="center"/>
      </w:pPr>
      <w:r>
        <w:t>Figure 5. React calls Express; Express invokes Python and persists per-user data in SQLite.</w:t>
      </w:r>
    </w:p>
    <w:p>
      <w:pPr>
        <w:widowControl/>
      </w:pPr>
      <w:r>
        <w:rPr>
          <w:rFonts w:ascii="Calibri" w:hAnsi="Calibri"/>
        </w:rPr>
        <w:t>The browser submits household input as JSON. Express checks the active session, validates numeric ranges and allowed area type, then invokes predict_usage.py. The Python process reads JSON from standard input, creates a one-row pandas DataFrame, loads electricity_usage_model.joblib and writes predicted kWh as JSON.</w:t>
      </w:r>
    </w:p>
    <w:p>
      <w:pPr>
        <w:widowControl/>
      </w:pPr>
      <w:r>
        <w:rPr>
          <w:rFonts w:ascii="Calibri" w:hAnsi="Calibri"/>
        </w:rPr>
        <w:t>Express calculates estimated_bill = predicted_kwh × tariff_per_kwh, inserts inputs, prediction, tariff, bill and timestamp under the authenticated user ID, then returns the result. The frontend refreshes its recent-history panel.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2376"/>
            <w:vAlign w:val="center"/>
            <w:shd w:fill="163446"/>
            <w:tcMar>
              <w:top w:w="85" w:type="dxa"/>
              <w:start w:w="100" w:type="dxa"/>
              <w:bottom w:w="85" w:type="dxa"/>
              <w:end w:w="100" w:type="dxa"/>
            </w:tcMar>
          </w:tcPr>
          <w:p>
            <w:pPr>
              <w:spacing w:after="0"/>
            </w:pPr>
            <w:r>
              <w:rPr>
                <w:rFonts w:ascii="Calibri" w:hAnsi="Calibri"/>
                <w:b/>
                <w:color w:val="FFFFFF"/>
                <w:sz w:val="16"/>
              </w:rPr>
              <w:t>Component</w:t>
            </w:r>
          </w:p>
        </w:tc>
        <w:tc>
          <w:tcPr>
            <w:tcW w:type="dxa" w:w="7272"/>
            <w:vAlign w:val="center"/>
            <w:shd w:fill="163446"/>
            <w:tcMar>
              <w:top w:w="85" w:type="dxa"/>
              <w:start w:w="100" w:type="dxa"/>
              <w:bottom w:w="85" w:type="dxa"/>
              <w:end w:w="100" w:type="dxa"/>
            </w:tcMar>
          </w:tcPr>
          <w:p>
            <w:pPr>
              <w:spacing w:after="0"/>
            </w:pPr>
            <w:r>
              <w:rPr>
                <w:rFonts w:ascii="Calibri" w:hAnsi="Calibri"/>
                <w:b/>
                <w:color w:val="FFFFFF"/>
                <w:sz w:val="16"/>
              </w:rPr>
              <w:t>Responsibility</w:t>
            </w:r>
          </w:p>
        </w:tc>
      </w:tr>
      <w:tr>
        <w:tc>
          <w:tcPr>
            <w:tcW w:type="dxa" w:w="2376"/>
            <w:vAlign w:val="center"/>
            <w:tcMar>
              <w:top w:w="85" w:type="dxa"/>
              <w:start w:w="100" w:type="dxa"/>
              <w:bottom w:w="85" w:type="dxa"/>
              <w:end w:w="100" w:type="dxa"/>
            </w:tcMar>
          </w:tcPr>
          <w:p>
            <w:pPr>
              <w:spacing w:after="0" w:line="240" w:lineRule="auto"/>
            </w:pPr>
            <w:r>
              <w:rPr>
                <w:rFonts w:ascii="Calibri" w:hAnsi="Calibri"/>
                <w:color w:val="17232B"/>
                <w:sz w:val="16"/>
              </w:rPr>
              <w:t>React + Vite</w:t>
            </w:r>
          </w:p>
        </w:tc>
        <w:tc>
          <w:tcPr>
            <w:tcW w:type="dxa" w:w="7272"/>
            <w:vAlign w:val="center"/>
            <w:tcMar>
              <w:top w:w="85" w:type="dxa"/>
              <w:start w:w="100" w:type="dxa"/>
              <w:bottom w:w="85" w:type="dxa"/>
              <w:end w:w="100" w:type="dxa"/>
            </w:tcMar>
          </w:tcPr>
          <w:p>
            <w:pPr>
              <w:spacing w:after="0" w:line="240" w:lineRule="auto"/>
            </w:pPr>
            <w:r>
              <w:rPr>
                <w:rFonts w:ascii="Calibri" w:hAnsi="Calibri"/>
                <w:color w:val="17232B"/>
                <w:sz w:val="16"/>
              </w:rPr>
              <w:t>Single-page form and dashboard; Vite proxies API calls during development.</w:t>
            </w:r>
          </w:p>
        </w:tc>
      </w:tr>
      <w:tr>
        <w:tc>
          <w:tcPr>
            <w:tcW w:type="dxa" w:w="2376"/>
            <w:vAlign w:val="center"/>
            <w:tcMar>
              <w:top w:w="85" w:type="dxa"/>
              <w:start w:w="100" w:type="dxa"/>
              <w:bottom w:w="85" w:type="dxa"/>
              <w:end w:w="100" w:type="dxa"/>
            </w:tcMar>
            <w:shd w:fill="F1F6F7"/>
          </w:tcPr>
          <w:p>
            <w:pPr>
              <w:spacing w:after="0" w:line="240" w:lineRule="auto"/>
            </w:pPr>
            <w:r>
              <w:rPr>
                <w:rFonts w:ascii="Calibri" w:hAnsi="Calibri"/>
                <w:color w:val="17232B"/>
                <w:sz w:val="16"/>
              </w:rPr>
              <w:t>Express</w:t>
            </w:r>
          </w:p>
        </w:tc>
        <w:tc>
          <w:tcPr>
            <w:tcW w:type="dxa" w:w="7272"/>
            <w:vAlign w:val="center"/>
            <w:tcMar>
              <w:top w:w="85" w:type="dxa"/>
              <w:start w:w="100" w:type="dxa"/>
              <w:bottom w:w="85" w:type="dxa"/>
              <w:end w:w="100" w:type="dxa"/>
            </w:tcMar>
            <w:shd w:fill="F1F6F7"/>
          </w:tcPr>
          <w:p>
            <w:pPr>
              <w:spacing w:after="0" w:line="240" w:lineRule="auto"/>
            </w:pPr>
            <w:r>
              <w:rPr>
                <w:rFonts w:ascii="Calibri" w:hAnsi="Calibri"/>
                <w:color w:val="17232B"/>
                <w:sz w:val="16"/>
              </w:rPr>
              <w:t>Session routes, CSRF checks, validation, prediction coordination and bill arithmetic.</w:t>
            </w:r>
          </w:p>
        </w:tc>
      </w:tr>
      <w:tr>
        <w:tc>
          <w:tcPr>
            <w:tcW w:type="dxa" w:w="2376"/>
            <w:vAlign w:val="center"/>
            <w:tcMar>
              <w:top w:w="85" w:type="dxa"/>
              <w:start w:w="100" w:type="dxa"/>
              <w:bottom w:w="85" w:type="dxa"/>
              <w:end w:w="100" w:type="dxa"/>
            </w:tcMar>
          </w:tcPr>
          <w:p>
            <w:pPr>
              <w:spacing w:after="0" w:line="240" w:lineRule="auto"/>
            </w:pPr>
            <w:r>
              <w:rPr>
                <w:rFonts w:ascii="Calibri" w:hAnsi="Calibri"/>
                <w:color w:val="17232B"/>
                <w:sz w:val="16"/>
              </w:rPr>
              <w:t>Python + scikit-learn</w:t>
            </w:r>
          </w:p>
        </w:tc>
        <w:tc>
          <w:tcPr>
            <w:tcW w:type="dxa" w:w="7272"/>
            <w:vAlign w:val="center"/>
            <w:tcMar>
              <w:top w:w="85" w:type="dxa"/>
              <w:start w:w="100" w:type="dxa"/>
              <w:bottom w:w="85" w:type="dxa"/>
              <w:end w:w="100" w:type="dxa"/>
            </w:tcMar>
          </w:tcPr>
          <w:p>
            <w:pPr>
              <w:spacing w:after="0" w:line="240" w:lineRule="auto"/>
            </w:pPr>
            <w:r>
              <w:rPr>
                <w:rFonts w:ascii="Calibri" w:hAnsi="Calibri"/>
                <w:color w:val="17232B"/>
                <w:sz w:val="16"/>
              </w:rPr>
              <w:t>Load the fitted model artifact and return estimated kWh.</w:t>
            </w:r>
          </w:p>
        </w:tc>
      </w:tr>
      <w:tr>
        <w:tc>
          <w:tcPr>
            <w:tcW w:type="dxa" w:w="2376"/>
            <w:vAlign w:val="center"/>
            <w:tcMar>
              <w:top w:w="85" w:type="dxa"/>
              <w:start w:w="100" w:type="dxa"/>
              <w:bottom w:w="85" w:type="dxa"/>
              <w:end w:w="100" w:type="dxa"/>
            </w:tcMar>
            <w:shd w:fill="F1F6F7"/>
          </w:tcPr>
          <w:p>
            <w:pPr>
              <w:spacing w:after="0" w:line="240" w:lineRule="auto"/>
            </w:pPr>
            <w:r>
              <w:rPr>
                <w:rFonts w:ascii="Calibri" w:hAnsi="Calibri"/>
                <w:color w:val="17232B"/>
                <w:sz w:val="16"/>
              </w:rPr>
              <w:t>SQLite</w:t>
            </w:r>
          </w:p>
        </w:tc>
        <w:tc>
          <w:tcPr>
            <w:tcW w:type="dxa" w:w="7272"/>
            <w:vAlign w:val="center"/>
            <w:tcMar>
              <w:top w:w="85" w:type="dxa"/>
              <w:start w:w="100" w:type="dxa"/>
              <w:bottom w:w="85" w:type="dxa"/>
              <w:end w:w="100" w:type="dxa"/>
            </w:tcMar>
            <w:shd w:fill="F1F6F7"/>
          </w:tcPr>
          <w:p>
            <w:pPr>
              <w:spacing w:after="0" w:line="240" w:lineRule="auto"/>
            </w:pPr>
            <w:r>
              <w:rPr>
                <w:rFonts w:ascii="Calibri" w:hAnsi="Calibri"/>
                <w:color w:val="17232B"/>
                <w:sz w:val="16"/>
              </w:rPr>
              <w:t>Persist accounts, server-side sessions and user-linked predictions.</w:t>
            </w:r>
          </w:p>
        </w:tc>
      </w:tr>
    </w:tbl>
    <w:p>
      <w:pPr>
        <w:spacing w:after="0"/>
      </w:pPr>
    </w:p>
    <w:p>
      <w:r>
        <w:br w:type="page"/>
      </w:r>
    </w:p>
    <w:p>
      <w:pPr>
        <w:pStyle w:val="Heading1"/>
      </w:pPr>
      <w:r>
        <w:rPr>
          <w:color w:val="000000"/>
        </w:rPr>
        <w:t>15  Application Workflow and Account History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3384"/>
            <w:vAlign w:val="center"/>
            <w:shd w:fill="163446"/>
            <w:tcMar>
              <w:top w:w="85" w:type="dxa"/>
              <w:start w:w="100" w:type="dxa"/>
              <w:bottom w:w="85" w:type="dxa"/>
              <w:end w:w="100" w:type="dxa"/>
            </w:tcMar>
          </w:tcPr>
          <w:p>
            <w:pPr>
              <w:spacing w:after="0"/>
            </w:pPr>
            <w:r>
              <w:rPr>
                <w:rFonts w:ascii="Calibri" w:hAnsi="Calibri"/>
                <w:b/>
                <w:color w:val="FFFFFF"/>
                <w:sz w:val="16"/>
              </w:rPr>
              <w:t>API route</w:t>
            </w:r>
          </w:p>
        </w:tc>
        <w:tc>
          <w:tcPr>
            <w:tcW w:type="dxa" w:w="6264"/>
            <w:vAlign w:val="center"/>
            <w:shd w:fill="163446"/>
            <w:tcMar>
              <w:top w:w="85" w:type="dxa"/>
              <w:start w:w="100" w:type="dxa"/>
              <w:bottom w:w="85" w:type="dxa"/>
              <w:end w:w="100" w:type="dxa"/>
            </w:tcMar>
          </w:tcPr>
          <w:p>
            <w:pPr>
              <w:spacing w:after="0"/>
            </w:pPr>
            <w:r>
              <w:rPr>
                <w:rFonts w:ascii="Calibri" w:hAnsi="Calibri"/>
                <w:b/>
                <w:color w:val="FFFFFF"/>
                <w:sz w:val="16"/>
              </w:rPr>
              <w:t>Purpose</w:t>
            </w:r>
          </w:p>
        </w:tc>
      </w:tr>
      <w:tr>
        <w:tc>
          <w:tcPr>
            <w:tcW w:type="dxa" w:w="3384"/>
            <w:vAlign w:val="center"/>
            <w:tcMar>
              <w:top w:w="85" w:type="dxa"/>
              <w:start w:w="100" w:type="dxa"/>
              <w:bottom w:w="85" w:type="dxa"/>
              <w:end w:w="100" w:type="dxa"/>
            </w:tcMar>
          </w:tcPr>
          <w:p>
            <w:pPr>
              <w:spacing w:after="0" w:line="240" w:lineRule="auto"/>
            </w:pPr>
            <w:r>
              <w:rPr>
                <w:rFonts w:ascii="Calibri" w:hAnsi="Calibri"/>
                <w:color w:val="17232B"/>
                <w:sz w:val="16"/>
              </w:rPr>
              <w:t>GET /api/csrf-token</w:t>
            </w:r>
          </w:p>
        </w:tc>
        <w:tc>
          <w:tcPr>
            <w:tcW w:type="dxa" w:w="6264"/>
            <w:vAlign w:val="center"/>
            <w:tcMar>
              <w:top w:w="85" w:type="dxa"/>
              <w:start w:w="100" w:type="dxa"/>
              <w:bottom w:w="85" w:type="dxa"/>
              <w:end w:w="100" w:type="dxa"/>
            </w:tcMar>
          </w:tcPr>
          <w:p>
            <w:pPr>
              <w:spacing w:after="0" w:line="240" w:lineRule="auto"/>
            </w:pPr>
            <w:r>
              <w:rPr>
                <w:rFonts w:ascii="Calibri" w:hAnsi="Calibri"/>
                <w:color w:val="17232B"/>
                <w:sz w:val="16"/>
              </w:rPr>
              <w:t>Issue token for state-changing requests.</w:t>
            </w:r>
          </w:p>
        </w:tc>
      </w:tr>
      <w:tr>
        <w:tc>
          <w:tcPr>
            <w:tcW w:type="dxa" w:w="3384"/>
            <w:vAlign w:val="center"/>
            <w:tcMar>
              <w:top w:w="85" w:type="dxa"/>
              <w:start w:w="100" w:type="dxa"/>
              <w:bottom w:w="85" w:type="dxa"/>
              <w:end w:w="100" w:type="dxa"/>
            </w:tcMar>
            <w:shd w:fill="F1F6F7"/>
          </w:tcPr>
          <w:p>
            <w:pPr>
              <w:spacing w:after="0" w:line="240" w:lineRule="auto"/>
            </w:pPr>
            <w:r>
              <w:rPr>
                <w:rFonts w:ascii="Calibri" w:hAnsi="Calibri"/>
                <w:color w:val="17232B"/>
                <w:sz w:val="16"/>
              </w:rPr>
              <w:t>GET /api/auth/me</w:t>
            </w:r>
          </w:p>
        </w:tc>
        <w:tc>
          <w:tcPr>
            <w:tcW w:type="dxa" w:w="6264"/>
            <w:vAlign w:val="center"/>
            <w:tcMar>
              <w:top w:w="85" w:type="dxa"/>
              <w:start w:w="100" w:type="dxa"/>
              <w:bottom w:w="85" w:type="dxa"/>
              <w:end w:w="100" w:type="dxa"/>
            </w:tcMar>
            <w:shd w:fill="F1F6F7"/>
          </w:tcPr>
          <w:p>
            <w:pPr>
              <w:spacing w:after="0" w:line="240" w:lineRule="auto"/>
            </w:pPr>
            <w:r>
              <w:rPr>
                <w:rFonts w:ascii="Calibri" w:hAnsi="Calibri"/>
                <w:color w:val="17232B"/>
                <w:sz w:val="16"/>
              </w:rPr>
              <w:t>Return signed-in user or null.</w:t>
            </w:r>
          </w:p>
        </w:tc>
      </w:tr>
      <w:tr>
        <w:tc>
          <w:tcPr>
            <w:tcW w:type="dxa" w:w="3384"/>
            <w:vAlign w:val="center"/>
            <w:tcMar>
              <w:top w:w="85" w:type="dxa"/>
              <w:start w:w="100" w:type="dxa"/>
              <w:bottom w:w="85" w:type="dxa"/>
              <w:end w:w="100" w:type="dxa"/>
            </w:tcMar>
          </w:tcPr>
          <w:p>
            <w:pPr>
              <w:spacing w:after="0" w:line="240" w:lineRule="auto"/>
            </w:pPr>
            <w:r>
              <w:rPr>
                <w:rFonts w:ascii="Calibri" w:hAnsi="Calibri"/>
                <w:color w:val="17232B"/>
                <w:sz w:val="16"/>
              </w:rPr>
              <w:t>POST /api/auth/register</w:t>
            </w:r>
          </w:p>
        </w:tc>
        <w:tc>
          <w:tcPr>
            <w:tcW w:type="dxa" w:w="6264"/>
            <w:vAlign w:val="center"/>
            <w:tcMar>
              <w:top w:w="85" w:type="dxa"/>
              <w:start w:w="100" w:type="dxa"/>
              <w:bottom w:w="85" w:type="dxa"/>
              <w:end w:w="100" w:type="dxa"/>
            </w:tcMar>
          </w:tcPr>
          <w:p>
            <w:pPr>
              <w:spacing w:after="0" w:line="240" w:lineRule="auto"/>
            </w:pPr>
            <w:r>
              <w:rPr>
                <w:rFonts w:ascii="Calibri" w:hAnsi="Calibri"/>
                <w:color w:val="17232B"/>
                <w:sz w:val="16"/>
              </w:rPr>
              <w:t>Validate credentials, hash password and create account/session.</w:t>
            </w:r>
          </w:p>
        </w:tc>
      </w:tr>
      <w:tr>
        <w:tc>
          <w:tcPr>
            <w:tcW w:type="dxa" w:w="3384"/>
            <w:vAlign w:val="center"/>
            <w:tcMar>
              <w:top w:w="85" w:type="dxa"/>
              <w:start w:w="100" w:type="dxa"/>
              <w:bottom w:w="85" w:type="dxa"/>
              <w:end w:w="100" w:type="dxa"/>
            </w:tcMar>
            <w:shd w:fill="F1F6F7"/>
          </w:tcPr>
          <w:p>
            <w:pPr>
              <w:spacing w:after="0" w:line="240" w:lineRule="auto"/>
            </w:pPr>
            <w:r>
              <w:rPr>
                <w:rFonts w:ascii="Calibri" w:hAnsi="Calibri"/>
                <w:color w:val="17232B"/>
                <w:sz w:val="16"/>
              </w:rPr>
              <w:t>POST /api/auth/login</w:t>
            </w:r>
          </w:p>
        </w:tc>
        <w:tc>
          <w:tcPr>
            <w:tcW w:type="dxa" w:w="6264"/>
            <w:vAlign w:val="center"/>
            <w:tcMar>
              <w:top w:w="85" w:type="dxa"/>
              <w:start w:w="100" w:type="dxa"/>
              <w:bottom w:w="85" w:type="dxa"/>
              <w:end w:w="100" w:type="dxa"/>
            </w:tcMar>
            <w:shd w:fill="F1F6F7"/>
          </w:tcPr>
          <w:p>
            <w:pPr>
              <w:spacing w:after="0" w:line="240" w:lineRule="auto"/>
            </w:pPr>
            <w:r>
              <w:rPr>
                <w:rFonts w:ascii="Calibri" w:hAnsi="Calibri"/>
                <w:color w:val="17232B"/>
                <w:sz w:val="16"/>
              </w:rPr>
              <w:t>Check credentials and establish session.</w:t>
            </w:r>
          </w:p>
        </w:tc>
      </w:tr>
      <w:tr>
        <w:tc>
          <w:tcPr>
            <w:tcW w:type="dxa" w:w="3384"/>
            <w:vAlign w:val="center"/>
            <w:tcMar>
              <w:top w:w="85" w:type="dxa"/>
              <w:start w:w="100" w:type="dxa"/>
              <w:bottom w:w="85" w:type="dxa"/>
              <w:end w:w="100" w:type="dxa"/>
            </w:tcMar>
          </w:tcPr>
          <w:p>
            <w:pPr>
              <w:spacing w:after="0" w:line="240" w:lineRule="auto"/>
            </w:pPr>
            <w:r>
              <w:rPr>
                <w:rFonts w:ascii="Calibri" w:hAnsi="Calibri"/>
                <w:color w:val="17232B"/>
                <w:sz w:val="16"/>
              </w:rPr>
              <w:t>POST /api/auth/logout</w:t>
            </w:r>
          </w:p>
        </w:tc>
        <w:tc>
          <w:tcPr>
            <w:tcW w:type="dxa" w:w="6264"/>
            <w:vAlign w:val="center"/>
            <w:tcMar>
              <w:top w:w="85" w:type="dxa"/>
              <w:start w:w="100" w:type="dxa"/>
              <w:bottom w:w="85" w:type="dxa"/>
              <w:end w:w="100" w:type="dxa"/>
            </w:tcMar>
          </w:tcPr>
          <w:p>
            <w:pPr>
              <w:spacing w:after="0" w:line="240" w:lineRule="auto"/>
            </w:pPr>
            <w:r>
              <w:rPr>
                <w:rFonts w:ascii="Calibri" w:hAnsi="Calibri"/>
                <w:color w:val="17232B"/>
                <w:sz w:val="16"/>
              </w:rPr>
              <w:t>Destroy current session.</w:t>
            </w:r>
          </w:p>
        </w:tc>
      </w:tr>
      <w:tr>
        <w:tc>
          <w:tcPr>
            <w:tcW w:type="dxa" w:w="3384"/>
            <w:vAlign w:val="center"/>
            <w:tcMar>
              <w:top w:w="85" w:type="dxa"/>
              <w:start w:w="100" w:type="dxa"/>
              <w:bottom w:w="85" w:type="dxa"/>
              <w:end w:w="100" w:type="dxa"/>
            </w:tcMar>
            <w:shd w:fill="F1F6F7"/>
          </w:tcPr>
          <w:p>
            <w:pPr>
              <w:spacing w:after="0" w:line="240" w:lineRule="auto"/>
            </w:pPr>
            <w:r>
              <w:rPr>
                <w:rFonts w:ascii="Calibri" w:hAnsi="Calibri"/>
                <w:color w:val="17232B"/>
                <w:sz w:val="16"/>
              </w:rPr>
              <w:t>GET /api/history</w:t>
            </w:r>
          </w:p>
        </w:tc>
        <w:tc>
          <w:tcPr>
            <w:tcW w:type="dxa" w:w="6264"/>
            <w:vAlign w:val="center"/>
            <w:tcMar>
              <w:top w:w="85" w:type="dxa"/>
              <w:start w:w="100" w:type="dxa"/>
              <w:bottom w:w="85" w:type="dxa"/>
              <w:end w:w="100" w:type="dxa"/>
            </w:tcMar>
            <w:shd w:fill="F1F6F7"/>
          </w:tcPr>
          <w:p>
            <w:pPr>
              <w:spacing w:after="0" w:line="240" w:lineRule="auto"/>
            </w:pPr>
            <w:r>
              <w:rPr>
                <w:rFonts w:ascii="Calibri" w:hAnsi="Calibri"/>
                <w:color w:val="17232B"/>
                <w:sz w:val="16"/>
              </w:rPr>
              <w:t>Return authenticated user's latest 20 estimates.</w:t>
            </w:r>
          </w:p>
        </w:tc>
      </w:tr>
      <w:tr>
        <w:tc>
          <w:tcPr>
            <w:tcW w:type="dxa" w:w="3384"/>
            <w:vAlign w:val="center"/>
            <w:tcMar>
              <w:top w:w="85" w:type="dxa"/>
              <w:start w:w="100" w:type="dxa"/>
              <w:bottom w:w="85" w:type="dxa"/>
              <w:end w:w="100" w:type="dxa"/>
            </w:tcMar>
          </w:tcPr>
          <w:p>
            <w:pPr>
              <w:spacing w:after="0" w:line="240" w:lineRule="auto"/>
            </w:pPr>
            <w:r>
              <w:rPr>
                <w:rFonts w:ascii="Calibri" w:hAnsi="Calibri"/>
                <w:color w:val="17232B"/>
                <w:sz w:val="16"/>
              </w:rPr>
              <w:t>POST /api/predict</w:t>
            </w:r>
          </w:p>
        </w:tc>
        <w:tc>
          <w:tcPr>
            <w:tcW w:type="dxa" w:w="6264"/>
            <w:vAlign w:val="center"/>
            <w:tcMar>
              <w:top w:w="85" w:type="dxa"/>
              <w:start w:w="100" w:type="dxa"/>
              <w:bottom w:w="85" w:type="dxa"/>
              <w:end w:w="100" w:type="dxa"/>
            </w:tcMar>
          </w:tcPr>
          <w:p>
            <w:pPr>
              <w:spacing w:after="0" w:line="240" w:lineRule="auto"/>
            </w:pPr>
            <w:r>
              <w:rPr>
                <w:rFonts w:ascii="Calibri" w:hAnsi="Calibri"/>
                <w:color w:val="17232B"/>
                <w:sz w:val="16"/>
              </w:rPr>
              <w:t>Validate inputs, run model, estimate bill and save record.</w:t>
            </w:r>
          </w:p>
        </w:tc>
      </w:tr>
    </w:tbl>
    <w:p>
      <w:pPr>
        <w:spacing w:after="0"/>
      </w:pPr>
    </w:p>
    <w:p>
      <w:pPr>
        <w:widowControl/>
      </w:pPr>
      <w:r>
        <w:rPr>
          <w:rFonts w:ascii="Calibri" w:hAnsi="Calibri"/>
        </w:rPr>
        <w:t>Passwords are hashed with bcryptjs before storage. Session data is server-side in SQLite; the cookie is HTTP-only, SameSite=Lax and lasts seven days, with the secure flag enabled in production. A per-session CSRF token protects state-changing requests. History reads are filtered by the current user's ID.</w:t>
      </w:r>
    </w:p>
    <w:p>
      <w:pPr>
        <w:widowControl/>
      </w:pPr>
      <w:r>
        <w:rPr>
          <w:rFonts w:ascii="Calibri" w:hAnsi="Calibri"/>
        </w:rPr>
        <w:t>A new account starts with empty history. Returning users see up to 20 recent estimates. The latest predicted kWh may be prefilled as previous-month usage, but it is only an estimate; the UI tells users to replace it with a meter reading when they have one. Reusing predictions can reinforce earlier model error.</w:t>
      </w:r>
    </w:p>
    <w:p>
      <w:pPr>
        <w:widowControl/>
      </w:pPr>
      <w:r>
        <w:rPr>
          <w:rFonts w:ascii="Calibri" w:hAnsi="Calibri"/>
        </w:rPr>
        <w:t>This local authentication setup is for a coursework demonstration. Public deployment needs a strong secret, HTTPS, authentication rate limits, monitoring, backups, data-retention choices and a production security review.</w:t>
      </w:r>
    </w:p>
    <w:p>
      <w:r>
        <w:br w:type="page"/>
      </w:r>
    </w:p>
    <w:p>
      <w:pPr>
        <w:pStyle w:val="Heading1"/>
      </w:pPr>
      <w:r>
        <w:rPr>
          <w:color w:val="000000"/>
        </w:rPr>
        <w:t>16  Model Considerations and Improvements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278"/>
        <w:gridCol w:w="3278"/>
        <w:gridCol w:w="3278"/>
      </w:tblGrid>
      <w:tr>
        <w:trPr>
          <w:tblHeader w:val="true"/>
        </w:trPr>
        <w:tc>
          <w:tcPr>
            <w:tcW w:type="dxa" w:w="2088"/>
            <w:vAlign w:val="center"/>
            <w:shd w:fill="163446"/>
            <w:tcMar>
              <w:top w:w="85" w:type="dxa"/>
              <w:start w:w="100" w:type="dxa"/>
              <w:bottom w:w="85" w:type="dxa"/>
              <w:end w:w="100" w:type="dxa"/>
            </w:tcMar>
          </w:tcPr>
          <w:p>
            <w:pPr>
              <w:spacing w:after="0"/>
            </w:pPr>
            <w:r>
              <w:rPr>
                <w:rFonts w:ascii="Calibri" w:hAnsi="Calibri"/>
                <w:b/>
                <w:color w:val="FFFFFF"/>
                <w:sz w:val="14"/>
              </w:rPr>
              <w:t>Model consideration</w:t>
            </w:r>
          </w:p>
        </w:tc>
        <w:tc>
          <w:tcPr>
            <w:tcW w:type="dxa" w:w="3672"/>
            <w:vAlign w:val="center"/>
            <w:shd w:fill="163446"/>
            <w:tcMar>
              <w:top w:w="85" w:type="dxa"/>
              <w:start w:w="100" w:type="dxa"/>
              <w:bottom w:w="85" w:type="dxa"/>
              <w:end w:w="100" w:type="dxa"/>
            </w:tcMar>
          </w:tcPr>
          <w:p>
            <w:pPr>
              <w:spacing w:after="0"/>
            </w:pPr>
            <w:r>
              <w:rPr>
                <w:rFonts w:ascii="Calibri" w:hAnsi="Calibri"/>
                <w:b/>
                <w:color w:val="FFFFFF"/>
                <w:sz w:val="14"/>
              </w:rPr>
              <w:t>Why it matters</w:t>
            </w:r>
          </w:p>
        </w:tc>
        <w:tc>
          <w:tcPr>
            <w:tcW w:type="dxa" w:w="3888"/>
            <w:vAlign w:val="center"/>
            <w:shd w:fill="163446"/>
            <w:tcMar>
              <w:top w:w="85" w:type="dxa"/>
              <w:start w:w="100" w:type="dxa"/>
              <w:bottom w:w="85" w:type="dxa"/>
              <w:end w:w="100" w:type="dxa"/>
            </w:tcMar>
          </w:tcPr>
          <w:p>
            <w:pPr>
              <w:spacing w:after="0"/>
            </w:pPr>
            <w:r>
              <w:rPr>
                <w:rFonts w:ascii="Calibri" w:hAnsi="Calibri"/>
                <w:b/>
                <w:color w:val="FFFFFF"/>
                <w:sz w:val="14"/>
              </w:rPr>
              <w:t>Next step</w:t>
            </w:r>
          </w:p>
        </w:tc>
      </w:tr>
      <w:tr>
        <w:tc>
          <w:tcPr>
            <w:tcW w:type="dxa" w:w="2088"/>
            <w:vAlign w:val="center"/>
            <w:tcMar>
              <w:top w:w="85" w:type="dxa"/>
              <w:start w:w="100" w:type="dxa"/>
              <w:bottom w:w="85" w:type="dxa"/>
              <w:end w:w="100" w:type="dxa"/>
            </w:tcMar>
          </w:tcPr>
          <w:p>
            <w:pPr>
              <w:spacing w:after="0" w:line="240" w:lineRule="auto"/>
            </w:pPr>
            <w:r>
              <w:rPr>
                <w:rFonts w:ascii="Calibri" w:hAnsi="Calibri"/>
                <w:color w:val="17232B"/>
                <w:sz w:val="14"/>
              </w:rPr>
              <w:t>Prior usage is powerful</w:t>
            </w:r>
          </w:p>
        </w:tc>
        <w:tc>
          <w:tcPr>
            <w:tcW w:type="dxa" w:w="3672"/>
            <w:vAlign w:val="center"/>
            <w:tcMar>
              <w:top w:w="85" w:type="dxa"/>
              <w:start w:w="100" w:type="dxa"/>
              <w:bottom w:w="85" w:type="dxa"/>
              <w:end w:w="100" w:type="dxa"/>
            </w:tcMar>
          </w:tcPr>
          <w:p>
            <w:pPr>
              <w:spacing w:after="0" w:line="240" w:lineRule="auto"/>
            </w:pPr>
            <w:r>
              <w:rPr>
                <w:rFonts w:ascii="Calibri" w:hAnsi="Calibri"/>
                <w:color w:val="17232B"/>
                <w:sz w:val="14"/>
              </w:rPr>
              <w:t>Full-feature score exceeds the no-history score.</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4"/>
              </w:rPr>
              <w:t>Report cold-start separately; test feature ablations.</w:t>
            </w:r>
          </w:p>
        </w:tc>
      </w:tr>
      <w:tr>
        <w:tc>
          <w:tcPr>
            <w:tcW w:type="dxa" w:w="2088"/>
            <w:vAlign w:val="center"/>
            <w:tcMar>
              <w:top w:w="85" w:type="dxa"/>
              <w:start w:w="100" w:type="dxa"/>
              <w:bottom w:w="85" w:type="dxa"/>
              <w:end w:w="100" w:type="dxa"/>
            </w:tcMar>
            <w:shd w:fill="F1F6F7"/>
          </w:tcPr>
          <w:p>
            <w:pPr>
              <w:spacing w:after="0" w:line="240" w:lineRule="auto"/>
            </w:pPr>
            <w:r>
              <w:rPr>
                <w:rFonts w:ascii="Calibri" w:hAnsi="Calibri"/>
                <w:color w:val="17232B"/>
                <w:sz w:val="14"/>
              </w:rPr>
              <w:t>Linear form</w:t>
            </w:r>
          </w:p>
        </w:tc>
        <w:tc>
          <w:tcPr>
            <w:tcW w:type="dxa" w:w="3672"/>
            <w:vAlign w:val="center"/>
            <w:tcMar>
              <w:top w:w="85" w:type="dxa"/>
              <w:start w:w="100" w:type="dxa"/>
              <w:bottom w:w="85" w:type="dxa"/>
              <w:end w:w="100" w:type="dxa"/>
            </w:tcMar>
            <w:shd w:fill="F1F6F7"/>
          </w:tcPr>
          <w:p>
            <w:pPr>
              <w:spacing w:after="0" w:line="240" w:lineRule="auto"/>
            </w:pPr>
            <w:r>
              <w:rPr>
                <w:rFonts w:ascii="Calibri" w:hAnsi="Calibri"/>
                <w:color w:val="17232B"/>
                <w:sz w:val="14"/>
              </w:rPr>
              <w:t>No nonlinear or interaction effects.</w:t>
            </w:r>
          </w:p>
        </w:tc>
        <w:tc>
          <w:tcPr>
            <w:tcW w:type="dxa" w:w="3888"/>
            <w:vAlign w:val="center"/>
            <w:tcMar>
              <w:top w:w="85" w:type="dxa"/>
              <w:start w:w="100" w:type="dxa"/>
              <w:bottom w:w="85" w:type="dxa"/>
              <w:end w:w="100" w:type="dxa"/>
            </w:tcMar>
            <w:shd w:fill="F1F6F7"/>
          </w:tcPr>
          <w:p>
            <w:pPr>
              <w:spacing w:after="0" w:line="240" w:lineRule="auto"/>
            </w:pPr>
            <w:r>
              <w:rPr>
                <w:rFonts w:ascii="Calibri" w:hAnsi="Calibri"/>
                <w:color w:val="17232B"/>
                <w:sz w:val="14"/>
              </w:rPr>
              <w:t>Compare one tree/boosting model using the same CV folds.</w:t>
            </w:r>
          </w:p>
        </w:tc>
      </w:tr>
      <w:tr>
        <w:tc>
          <w:tcPr>
            <w:tcW w:type="dxa" w:w="2088"/>
            <w:vAlign w:val="center"/>
            <w:tcMar>
              <w:top w:w="85" w:type="dxa"/>
              <w:start w:w="100" w:type="dxa"/>
              <w:bottom w:w="85" w:type="dxa"/>
              <w:end w:w="100" w:type="dxa"/>
            </w:tcMar>
          </w:tcPr>
          <w:p>
            <w:pPr>
              <w:spacing w:after="0" w:line="240" w:lineRule="auto"/>
            </w:pPr>
            <w:r>
              <w:rPr>
                <w:rFonts w:ascii="Calibri" w:hAnsi="Calibri"/>
                <w:color w:val="17232B"/>
                <w:sz w:val="14"/>
              </w:rPr>
              <w:t>Prediction may prefill prior input</w:t>
            </w:r>
          </w:p>
        </w:tc>
        <w:tc>
          <w:tcPr>
            <w:tcW w:type="dxa" w:w="3672"/>
            <w:vAlign w:val="center"/>
            <w:tcMar>
              <w:top w:w="85" w:type="dxa"/>
              <w:start w:w="100" w:type="dxa"/>
              <w:bottom w:w="85" w:type="dxa"/>
              <w:end w:w="100" w:type="dxa"/>
            </w:tcMar>
          </w:tcPr>
          <w:p>
            <w:pPr>
              <w:spacing w:after="0" w:line="240" w:lineRule="auto"/>
            </w:pPr>
            <w:r>
              <w:rPr>
                <w:rFonts w:ascii="Calibri" w:hAnsi="Calibri"/>
                <w:color w:val="17232B"/>
                <w:sz w:val="14"/>
              </w:rPr>
              <w:t>A prior estimate is not a meter reading.</w:t>
            </w:r>
          </w:p>
        </w:tc>
        <w:tc>
          <w:tcPr>
            <w:tcW w:type="dxa" w:w="3888"/>
            <w:vAlign w:val="center"/>
            <w:tcMar>
              <w:top w:w="85" w:type="dxa"/>
              <w:start w:w="100" w:type="dxa"/>
              <w:bottom w:w="85" w:type="dxa"/>
              <w:end w:w="100" w:type="dxa"/>
            </w:tcMar>
          </w:tcPr>
          <w:p>
            <w:pPr>
              <w:spacing w:after="0" w:line="240" w:lineRule="auto"/>
            </w:pPr>
            <w:r>
              <w:rPr>
                <w:rFonts w:ascii="Calibri" w:hAnsi="Calibri"/>
                <w:color w:val="17232B"/>
                <w:sz w:val="14"/>
              </w:rPr>
              <w:t>Label source or default to blank.</w:t>
            </w:r>
          </w:p>
        </w:tc>
      </w:tr>
    </w:tbl>
    <w:p>
      <w:pPr>
        <w:spacing w:after="0"/>
      </w:pPr>
    </w:p>
    <w:p>
      <w:pPr>
        <w:pStyle w:val="Heading2"/>
      </w:pPr>
      <w:r>
        <w:rPr>
          <w:color w:val="000000"/>
        </w:rPr>
        <w:t>Recommended evaluation sequence</w:t>
      </w:r>
    </w:p>
    <w:p>
      <w:pPr>
        <w:widowControl/>
      </w:pPr>
      <w:r>
        <w:rPr>
          <w:rFonts w:ascii="Calibri" w:hAnsi="Calibri"/>
        </w:rPr>
        <w:t>Compare an appliance-only model, a model with previous-month use and a no-history scenario. Compare Ridge with one nonlinear model using the same cross-validation folds and MAE/RMSE/R², then review errors by area and consumption band.</w:t>
      </w:r>
    </w:p>
    <w:p>
      <w:pPr>
        <w:widowControl/>
      </w:pPr>
      <w:r>
        <w:rPr>
          <w:rFonts w:ascii="Calibri" w:hAnsi="Calibri"/>
        </w:rPr>
        <w:t>The current optimization demonstrates model selection; Ridge improves the test MAE by a small amount. A useful next step is to study which available predictors contribute most to first-visit estimates.</w:t>
      </w:r>
    </w:p>
    <w:p>
      <w:r>
        <w:br w:type="page"/>
      </w:r>
    </w:p>
    <w:p>
      <w:pPr>
        <w:pStyle w:val="Heading1"/>
      </w:pPr>
      <w:r>
        <w:rPr>
          <w:color w:val="000000"/>
        </w:rPr>
        <w:t>17  Reproducibility, Course Mapping and References</w:t>
      </w:r>
    </w:p>
    <w:p>
      <w:pPr>
        <w:pStyle w:val="Heading2"/>
      </w:pPr>
      <w:r>
        <w:rPr>
          <w:color w:val="000000"/>
        </w:rPr>
        <w:t>Reproduce the model</w:t>
      </w:r>
    </w:p>
    <w:p>
      <w:pPr>
        <w:widowControl/>
      </w:pPr>
      <w:r>
        <w:rPr>
          <w:rFonts w:ascii="Calibri" w:hAnsi="Calibri"/>
        </w:rPr>
        <w:t>From the project folder, install requirements and run python train_model.py. The script writes models/electricity_usage_model.joblib and metrics/diagnostics into results/. Express invokes the saved pipeline through predict_usage.py.</w:t>
      </w:r>
    </w:p>
    <w:p>
      <w:pPr>
        <w:widowControl/>
      </w:pPr>
      <w:r>
        <w:rPr>
          <w:rFonts w:ascii="Calibri" w:hAnsi="Calibri"/>
        </w:rPr>
        <w:t>Training environment for this report run: Python 3.14.3, scikit-learn 1.8.0, NumPy 2.4.3, pandas 3.0.1, matplotlib 3.11.1 and joblib 1.5.3. The random seed is 91. The CSV is included in the project for a repeatable local run.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917"/>
        <w:gridCol w:w="4917"/>
      </w:tblGrid>
      <w:tr>
        <w:trPr>
          <w:tblHeader w:val="true"/>
        </w:trPr>
        <w:tc>
          <w:tcPr>
            <w:tcW w:type="dxa" w:w="2952"/>
            <w:vAlign w:val="center"/>
            <w:shd w:fill="163446"/>
            <w:tcMar>
              <w:top w:w="85" w:type="dxa"/>
              <w:start w:w="100" w:type="dxa"/>
              <w:bottom w:w="85" w:type="dxa"/>
              <w:end w:w="100" w:type="dxa"/>
            </w:tcMar>
          </w:tcPr>
          <w:p>
            <w:pPr>
              <w:spacing w:after="0"/>
            </w:pPr>
            <w:r>
              <w:rPr>
                <w:rFonts w:ascii="Calibri" w:hAnsi="Calibri"/>
                <w:b/>
                <w:color w:val="FFFFFF"/>
                <w:sz w:val="15"/>
              </w:rPr>
              <w:t>Syllabus outcome</w:t>
            </w:r>
          </w:p>
        </w:tc>
        <w:tc>
          <w:tcPr>
            <w:tcW w:type="dxa" w:w="6696"/>
            <w:vAlign w:val="center"/>
            <w:shd w:fill="163446"/>
            <w:tcMar>
              <w:top w:w="85" w:type="dxa"/>
              <w:start w:w="100" w:type="dxa"/>
              <w:bottom w:w="85" w:type="dxa"/>
              <w:end w:w="100" w:type="dxa"/>
            </w:tcMar>
          </w:tcPr>
          <w:p>
            <w:pPr>
              <w:spacing w:after="0"/>
            </w:pPr>
            <w:r>
              <w:rPr>
                <w:rFonts w:ascii="Calibri" w:hAnsi="Calibri"/>
                <w:b/>
                <w:color w:val="FFFFFF"/>
                <w:sz w:val="15"/>
              </w:rPr>
              <w:t>Project evidence</w:t>
            </w:r>
          </w:p>
        </w:tc>
      </w:tr>
      <w:tr>
        <w:tc>
          <w:tcPr>
            <w:tcW w:type="dxa" w:w="2952"/>
            <w:vAlign w:val="center"/>
            <w:tcMar>
              <w:top w:w="85" w:type="dxa"/>
              <w:start w:w="100" w:type="dxa"/>
              <w:bottom w:w="85" w:type="dxa"/>
              <w:end w:w="100" w:type="dxa"/>
            </w:tcMar>
          </w:tcPr>
          <w:p>
            <w:pPr>
              <w:spacing w:after="0" w:line="240" w:lineRule="auto"/>
            </w:pPr>
            <w:r>
              <w:rPr>
                <w:rFonts w:ascii="Calibri" w:hAnsi="Calibri"/>
                <w:color w:val="17232B"/>
                <w:sz w:val="15"/>
              </w:rPr>
              <w:t>CO1 — Problem formulation</w:t>
            </w:r>
          </w:p>
        </w:tc>
        <w:tc>
          <w:tcPr>
            <w:tcW w:type="dxa" w:w="6696"/>
            <w:vAlign w:val="center"/>
            <w:tcMar>
              <w:top w:w="85" w:type="dxa"/>
              <w:start w:w="100" w:type="dxa"/>
              <w:bottom w:w="85" w:type="dxa"/>
              <w:end w:w="100" w:type="dxa"/>
            </w:tcMar>
          </w:tcPr>
          <w:p>
            <w:pPr>
              <w:spacing w:after="0" w:line="240" w:lineRule="auto"/>
            </w:pPr>
            <w:r>
              <w:rPr>
                <w:rFonts w:ascii="Calibri" w:hAnsi="Calibri"/>
                <w:color w:val="17232B"/>
                <w:sz w:val="15"/>
              </w:rPr>
              <w:t>Continuous target, input fields, scope and use case.</w:t>
            </w:r>
          </w:p>
        </w:tc>
      </w:tr>
      <w:tr>
        <w:tc>
          <w:tcPr>
            <w:tcW w:type="dxa" w:w="2952"/>
            <w:vAlign w:val="center"/>
            <w:tcMar>
              <w:top w:w="85" w:type="dxa"/>
              <w:start w:w="100" w:type="dxa"/>
              <w:bottom w:w="85" w:type="dxa"/>
              <w:end w:w="100" w:type="dxa"/>
            </w:tcMar>
            <w:shd w:fill="F1F6F7"/>
          </w:tcPr>
          <w:p>
            <w:pPr>
              <w:spacing w:after="0" w:line="240" w:lineRule="auto"/>
            </w:pPr>
            <w:r>
              <w:rPr>
                <w:rFonts w:ascii="Calibri" w:hAnsi="Calibri"/>
                <w:color w:val="17232B"/>
                <w:sz w:val="15"/>
              </w:rPr>
              <w:t>CO2 — Data preparation</w:t>
            </w:r>
          </w:p>
        </w:tc>
        <w:tc>
          <w:tcPr>
            <w:tcW w:type="dxa" w:w="6696"/>
            <w:vAlign w:val="center"/>
            <w:tcMar>
              <w:top w:w="85" w:type="dxa"/>
              <w:start w:w="100" w:type="dxa"/>
              <w:bottom w:w="85" w:type="dxa"/>
              <w:end w:w="100" w:type="dxa"/>
            </w:tcMar>
            <w:shd w:fill="F1F6F7"/>
          </w:tcPr>
          <w:p>
            <w:pPr>
              <w:spacing w:after="0" w:line="240" w:lineRule="auto"/>
            </w:pPr>
            <w:r>
              <w:rPr>
                <w:rFonts w:ascii="Calibri" w:hAnsi="Calibri"/>
                <w:color w:val="17232B"/>
                <w:sz w:val="15"/>
              </w:rPr>
              <w:t>Schema validation, duplicate removal, conversion, imputation, scaling and encoding.</w:t>
            </w:r>
          </w:p>
        </w:tc>
      </w:tr>
      <w:tr>
        <w:tc>
          <w:tcPr>
            <w:tcW w:type="dxa" w:w="2952"/>
            <w:vAlign w:val="center"/>
            <w:tcMar>
              <w:top w:w="85" w:type="dxa"/>
              <w:start w:w="100" w:type="dxa"/>
              <w:bottom w:w="85" w:type="dxa"/>
              <w:end w:w="100" w:type="dxa"/>
            </w:tcMar>
          </w:tcPr>
          <w:p>
            <w:pPr>
              <w:spacing w:after="0" w:line="240" w:lineRule="auto"/>
            </w:pPr>
            <w:r>
              <w:rPr>
                <w:rFonts w:ascii="Calibri" w:hAnsi="Calibri"/>
                <w:color w:val="17232B"/>
                <w:sz w:val="15"/>
              </w:rPr>
              <w:t>CO3 — Model development</w:t>
            </w:r>
          </w:p>
        </w:tc>
        <w:tc>
          <w:tcPr>
            <w:tcW w:type="dxa" w:w="6696"/>
            <w:vAlign w:val="center"/>
            <w:tcMar>
              <w:top w:w="85" w:type="dxa"/>
              <w:start w:w="100" w:type="dxa"/>
              <w:bottom w:w="85" w:type="dxa"/>
              <w:end w:w="100" w:type="dxa"/>
            </w:tcMar>
          </w:tcPr>
          <w:p>
            <w:pPr>
              <w:spacing w:after="0" w:line="240" w:lineRule="auto"/>
            </w:pPr>
            <w:r>
              <w:rPr>
                <w:rFonts w:ascii="Calibri" w:hAnsi="Calibri"/>
                <w:color w:val="17232B"/>
                <w:sz w:val="15"/>
              </w:rPr>
              <w:t>Linear Regression baseline and Ridge inside a reusable pipeline.</w:t>
            </w:r>
          </w:p>
        </w:tc>
      </w:tr>
      <w:tr>
        <w:tc>
          <w:tcPr>
            <w:tcW w:type="dxa" w:w="2952"/>
            <w:vAlign w:val="center"/>
            <w:tcMar>
              <w:top w:w="85" w:type="dxa"/>
              <w:start w:w="100" w:type="dxa"/>
              <w:bottom w:w="85" w:type="dxa"/>
              <w:end w:w="100" w:type="dxa"/>
            </w:tcMar>
            <w:shd w:fill="F1F6F7"/>
          </w:tcPr>
          <w:p>
            <w:pPr>
              <w:spacing w:after="0" w:line="240" w:lineRule="auto"/>
            </w:pPr>
            <w:r>
              <w:rPr>
                <w:rFonts w:ascii="Calibri" w:hAnsi="Calibri"/>
                <w:color w:val="17232B"/>
                <w:sz w:val="15"/>
              </w:rPr>
              <w:t>CO4 — Evaluation and optimization</w:t>
            </w:r>
          </w:p>
        </w:tc>
        <w:tc>
          <w:tcPr>
            <w:tcW w:type="dxa" w:w="6696"/>
            <w:vAlign w:val="center"/>
            <w:tcMar>
              <w:top w:w="85" w:type="dxa"/>
              <w:start w:w="100" w:type="dxa"/>
              <w:bottom w:w="85" w:type="dxa"/>
              <w:end w:w="100" w:type="dxa"/>
            </w:tcMar>
            <w:shd w:fill="F1F6F7"/>
          </w:tcPr>
          <w:p>
            <w:pPr>
              <w:spacing w:after="0" w:line="240" w:lineRule="auto"/>
            </w:pPr>
            <w:r>
              <w:rPr>
                <w:rFonts w:ascii="Calibri" w:hAnsi="Calibri"/>
                <w:color w:val="17232B"/>
                <w:sz w:val="15"/>
              </w:rPr>
              <w:t>80:20 holdout, five-fold CV, alpha search, MAE, RMSE, R² and diagnostics.</w:t>
            </w:r>
          </w:p>
        </w:tc>
      </w:tr>
      <w:tr>
        <w:tc>
          <w:tcPr>
            <w:tcW w:type="dxa" w:w="2952"/>
            <w:vAlign w:val="center"/>
            <w:tcMar>
              <w:top w:w="85" w:type="dxa"/>
              <w:start w:w="100" w:type="dxa"/>
              <w:bottom w:w="85" w:type="dxa"/>
              <w:end w:w="100" w:type="dxa"/>
            </w:tcMar>
          </w:tcPr>
          <w:p>
            <w:pPr>
              <w:spacing w:after="0" w:line="240" w:lineRule="auto"/>
            </w:pPr>
            <w:r>
              <w:rPr>
                <w:rFonts w:ascii="Calibri" w:hAnsi="Calibri"/>
                <w:color w:val="17232B"/>
                <w:sz w:val="15"/>
              </w:rPr>
              <w:t>CO5 — Application and communication</w:t>
            </w:r>
          </w:p>
        </w:tc>
        <w:tc>
          <w:tcPr>
            <w:tcW w:type="dxa" w:w="6696"/>
            <w:vAlign w:val="center"/>
            <w:tcMar>
              <w:top w:w="85" w:type="dxa"/>
              <w:start w:w="100" w:type="dxa"/>
              <w:bottom w:w="85" w:type="dxa"/>
              <w:end w:w="100" w:type="dxa"/>
            </w:tcMar>
          </w:tcPr>
          <w:p>
            <w:pPr>
              <w:spacing w:after="0" w:line="240" w:lineRule="auto"/>
            </w:pPr>
            <w:r>
              <w:rPr>
                <w:rFonts w:ascii="Calibri" w:hAnsi="Calibri"/>
                <w:color w:val="17232B"/>
                <w:sz w:val="15"/>
              </w:rPr>
              <w:t>React + Express + Python + SQLite integration, account history and report.</w:t>
            </w:r>
          </w:p>
        </w:tc>
      </w:tr>
    </w:tbl>
    <w:p>
      <w:pPr>
        <w:spacing w:after="0"/>
      </w:pPr>
    </w:p>
    <w:p>
      <w:pPr>
        <w:pStyle w:val="Heading2"/>
      </w:pPr>
      <w:r>
        <w:rPr>
          <w:color w:val="000000"/>
        </w:rPr>
        <w:t>References</w:t>
      </w:r>
    </w:p>
    <w:p>
      <w:pPr>
        <w:spacing w:after="20"/>
        <w:ind w:left="173" w:hanging="173"/>
      </w:pPr>
      <w:r>
        <w:rPr>
          <w:rFonts w:ascii="Calibri" w:hAnsi="Calibri"/>
          <w:sz w:val="15"/>
        </w:rPr>
        <w:t>[1] Kaggle, Electricity Bill Prediction dataset page supplied for this project: https://www.kaggle.com/datasets/armanahmedtaief/electricity-bill-prediction</w:t>
      </w:r>
    </w:p>
    <w:p>
      <w:pPr>
        <w:spacing w:after="20"/>
        <w:ind w:left="173" w:hanging="173"/>
      </w:pPr>
      <w:r>
        <w:rPr>
          <w:rFonts w:ascii="Calibri" w:hAnsi="Calibri"/>
          <w:sz w:val="15"/>
        </w:rPr>
        <w:t>[2] scikit-learn, LinearRegression API: https://scikit-learn.org/stable/modules/generated/sklearn.linear_model.LinearRegression.html</w:t>
      </w:r>
    </w:p>
    <w:p>
      <w:pPr>
        <w:spacing w:after="20"/>
        <w:ind w:left="173" w:hanging="173"/>
      </w:pPr>
      <w:r>
        <w:rPr>
          <w:rFonts w:ascii="Calibri" w:hAnsi="Calibri"/>
          <w:sz w:val="15"/>
        </w:rPr>
        <w:t>[3] scikit-learn, hyperparameter tuning and GridSearchCV: https://scikit-learn.org/stable/modules/grid_search.html</w:t>
      </w:r>
    </w:p>
    <w:p>
      <w:pPr>
        <w:spacing w:after="20"/>
        <w:ind w:left="173" w:hanging="173"/>
      </w:pPr>
      <w:r>
        <w:rPr>
          <w:rFonts w:ascii="Calibri" w:hAnsi="Calibri"/>
          <w:sz w:val="15"/>
        </w:rPr>
        <w:t>[4] scikit-learn, Pipeline API: https://scikit-learn.org/stable/modules/generated/sklearn.pipeline.Pipeline.html</w:t>
      </w:r>
    </w:p>
    <w:p>
      <w:pPr>
        <w:spacing w:after="20"/>
        <w:ind w:left="173" w:hanging="173"/>
      </w:pPr>
      <w:r>
        <w:rPr>
          <w:rFonts w:ascii="Calibri" w:hAnsi="Calibri"/>
          <w:sz w:val="15"/>
        </w:rPr>
        <w:t>[5] scikit-learn, regression metrics: https://scikit-learn.org/stable/api/sklearn.metrics.html</w:t>
      </w:r>
    </w:p>
    <w:p>
      <w:pPr>
        <w:widowControl/>
      </w:pPr>
      <w:r>
        <w:rPr>
          <w:rFonts w:ascii="Calibri" w:hAnsi="Calibri"/>
        </w:rPr>
        <w:t>The project demonstrates a full regression workflow and connected web interface. Its reported metrics summarize the selected test split, while the cold-start results show how performance changes when previous-month usage is unavailable.</w:t>
      </w:r>
    </w:p>
    <w:sectPr w:rsidR="00FC693F" w:rsidRPr="0006063C" w:rsidSect="00034616">
      <w:headerReference w:type="default" r:id="rId9"/>
      <w:footerReference w:type="default" r:id="rId10"/>
      <w:pgSz w:w="11909" w:h="16834"/>
      <w:pgMar w:top="979" w:right="1037" w:bottom="950" w:left="1037"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C5D66"/>
        <w:sz w:val="16"/>
      </w:rPr>
      <w:t xml:space="preserve">AI/ML project report  •  23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C5D66"/>
        <w:sz w:val="16"/>
      </w:rPr>
      <w:t>PR12  |  ELECTRICITY CONSUMPTION AND BILL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723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3727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Electricity Consumption and Bill Prediction System</dc:title>
  <dc:subject>PR12 AI/ML project report: model development, performance evaluation, optimization and result analysis</dc:subject>
  <dc:creator>PR12 Course Project</dc:creator>
  <cp:keywords>Linear Regression, Ridge Regression, electricity prediction,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