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left"/>
      </w:pPr>
      <w:r>
        <w:rPr>
          <w:b/>
          <w:color w:val="1A365D"/>
          <w:sz w:val="56"/>
        </w:rPr>
        <w:t>MemoriaAI</w:t>
      </w:r>
    </w:p>
    <w:p>
      <w:pPr>
        <w:spacing w:after="360"/>
      </w:pPr>
      <w:r>
        <w:rPr>
          <w:i/>
          <w:color w:val="2B6CB0"/>
          <w:sz w:val="26"/>
        </w:rPr>
        <w:t>Adaptive Research Memory System — Specification Document</w:t>
      </w:r>
    </w:p>
    <w:p>
      <w:pPr>
        <w:keepNext/>
        <w:spacing w:before="0" w:after="80"/>
        <w:pBdr>
          <w:bottom w:val="single" w:sz="12" w:space="4" w:color="2B6CB0"/>
        </w:pBdr>
      </w:pPr>
      <w:r>
        <w:rPr>
          <w:b/>
          <w:color w:val="1A365D"/>
          <w:sz w:val="36"/>
        </w:rPr>
        <w:t>Product Requirements Document (PRD)</w:t>
      </w:r>
    </w:p>
    <w:p>
      <w:pPr>
        <w:keepNext/>
        <w:spacing w:before="240" w:after="80"/>
      </w:pPr>
      <w:r>
        <w:rPr>
          <w:b/>
          <w:color w:val="2B6CB0"/>
          <w:sz w:val="28"/>
        </w:rPr>
        <w:t>1. Objective &amp; Value Proposition</w:t>
      </w:r>
    </w:p>
    <w:p>
      <w:r>
        <w:t>MemoriaAI is an autonomous, evolving research engine that eliminates the structural 'information tax' inherent to standard LLM-based web research patterns. Instead of processing every search session as a stateless, isolated runtime event, MemoriaAI extracts normalized semantic primitives out of raw web text data into a persistent topological Knowledge Graph. By abandoning flat vector indexing in favor of an adaptive relational structural framework that scales dynamically with graph mass, MemoriaAI drastically eliminates computational redundancy, minimizes multi-agent context drift, and isolates production runtime tokens at a massive discount compared to naive loop orchestration.</w:t>
      </w:r>
    </w:p>
    <w:p>
      <w:pPr>
        <w:keepNext/>
        <w:spacing w:before="240" w:after="80"/>
      </w:pPr>
      <w:r>
        <w:rPr>
          <w:b/>
          <w:color w:val="2B6CB0"/>
          <w:sz w:val="28"/>
        </w:rPr>
        <w:t>2. Key Architectural Features</w:t>
      </w:r>
    </w:p>
    <w:p>
      <w:pPr>
        <w:pStyle w:val="ListBullet"/>
        <w:spacing w:after="80"/>
      </w:pPr>
      <w:r>
        <w:rPr>
          <w:b/>
          <w:color w:val="2D3748"/>
        </w:rPr>
        <w:t xml:space="preserve">Continuous Factual Assimilation: </w:t>
      </w:r>
      <w:r>
        <w:t>Continuously parses web corpora and document structures into immutable factual components modeled strictly as (Subject → Predicate → Object).</w:t>
      </w:r>
    </w:p>
    <w:p>
      <w:pPr>
        <w:pStyle w:val="ListBullet"/>
        <w:spacing w:after="80"/>
      </w:pPr>
      <w:r>
        <w:rPr>
          <w:b/>
          <w:color w:val="2D3748"/>
        </w:rPr>
        <w:t xml:space="preserve">Cognitive Maturity Engine: </w:t>
      </w:r>
      <w:r>
        <w:t>A dynamic retrieval architecture that completely mutates its algorithmic search, weights, and query traversal execution profiles across four explicit volume lifecycle phases.</w:t>
      </w:r>
    </w:p>
    <w:p>
      <w:pPr>
        <w:pStyle w:val="ListBullet"/>
        <w:spacing w:after="80"/>
      </w:pPr>
      <w:r>
        <w:rPr>
          <w:b/>
          <w:color w:val="2D3748"/>
        </w:rPr>
        <w:t xml:space="preserve">Adaptive Structural Routing: </w:t>
      </w:r>
      <w:r>
        <w:t>Evaluates high-density supernodes or bridge entities natively via real-time query intent discovery mapped against topological edge-centrality indexes.</w:t>
      </w:r>
    </w:p>
    <w:p>
      <w:pPr>
        <w:pStyle w:val="ListBullet"/>
        <w:spacing w:after="80"/>
      </w:pPr>
      <w:r>
        <w:rPr>
          <w:b/>
          <w:color w:val="2D3748"/>
        </w:rPr>
        <w:t xml:space="preserve">Multi-Tier Cost Containment: </w:t>
      </w:r>
      <w:r>
        <w:t>An analytical pipeline cascade that passes extractions from open-source local processing engines up to heavy foundation architectures only when structural divergence thresholds are crossed.</w:t>
      </w:r>
    </w:p>
    <w:p>
      <w:pPr>
        <w:pStyle w:val="ListBullet"/>
        <w:spacing w:after="80"/>
      </w:pPr>
      <w:r>
        <w:rPr>
          <w:b/>
          <w:color w:val="2D3748"/>
        </w:rPr>
        <w:t xml:space="preserve">Temporal Memory Calibration: </w:t>
      </w:r>
      <w:r>
        <w:t>Integrates customized timestamp-decay algorithms to automatically flag, segment, and asynchronously refresh stale relational records.</w:t>
      </w:r>
    </w:p>
    <w:p>
      <w:r>
        <w:br w:type="page"/>
      </w:r>
    </w:p>
    <w:p>
      <w:pPr>
        <w:keepNext/>
        <w:spacing w:before="240" w:after="80"/>
        <w:pBdr>
          <w:bottom w:val="single" w:sz="12" w:space="4" w:color="2B6CB0"/>
        </w:pBdr>
      </w:pPr>
      <w:r>
        <w:rPr>
          <w:b/>
          <w:color w:val="1A365D"/>
          <w:sz w:val="36"/>
        </w:rPr>
        <w:t>Systems Design &amp; Architectural Architecture (SD)</w:t>
      </w:r>
    </w:p>
    <w:p>
      <w:pPr>
        <w:keepNext/>
        <w:spacing w:before="240" w:after="80"/>
      </w:pPr>
      <w:r>
        <w:rPr>
          <w:b/>
          <w:color w:val="2B6CB0"/>
          <w:sz w:val="28"/>
        </w:rPr>
        <w:t>1. Systematic Component Topology &amp; Pipeline Flow</w:t>
      </w:r>
    </w:p>
    <w:p>
      <w:r>
        <w:t>The MemoriaAI architecture establishes a unified system lifecycle context. Raw queries pass through deterministic entity boundary parsers, which check the runtime registry profile to verify the system's current Cognitive Maturity Stage. Based on the calibrated operational weights, the query executes a hybridized path extraction model traversing both vector embedding repositories and deep Neo4j cluster networks. Discovered data gaps trigger specialized background web verification tasks, which funnel outputs through a multi-tier pipeline to safely write updates back to the persistent graph instance.</w:t>
      </w:r>
    </w:p>
    <w:p>
      <w:pPr>
        <w:keepNext/>
        <w:spacing w:before="240" w:after="80"/>
      </w:pPr>
      <w:r>
        <w:rPr>
          <w:b/>
          <w:color w:val="2B6CB0"/>
          <w:sz w:val="28"/>
        </w:rPr>
        <w:t>2. Core Production Data Schemes</w:t>
      </w:r>
    </w:p>
    <w:p>
      <w:pPr>
        <w:keepNext/>
        <w:spacing w:before="240" w:after="80"/>
      </w:pPr>
      <w:r>
        <w:rPr>
          <w:b/>
          <w:i/>
          <w:color w:val="1A365D"/>
          <w:sz w:val="23"/>
        </w:rPr>
        <w:t>Entity Node Blueprint (Neo4j Registry)</w:t>
      </w:r>
    </w:p>
    <w:tbl>
      <w:tblPr>
        <w:tblW w:type="auto" w:w="0"/>
        <w:jc w:val="center"/>
        <w:tblLayout w:type="fixed"/>
        <w:tblLook w:firstColumn="1" w:firstRow="1" w:lastColumn="0" w:lastRow="0" w:noHBand="0" w:noVBand="1" w:val="04A0"/>
      </w:tblPr>
      <w:tblGrid>
        <w:gridCol w:w="9029"/>
      </w:tblGrid>
      <w:tr>
        <w:tc>
          <w:tcPr>
            <w:tcW w:type="dxa" w:w="9029"/>
            <w:shd w:fill="F8FAFC"/>
            <w:tcMar>
              <w:top w:w="100" w:type="dxa"/>
              <w:bottom w:w="10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after="0"/>
            </w:pPr>
            <w:r>
              <w:rPr>
                <w:rFonts w:ascii="Consolas" w:hAnsi="Consolas"/>
                <w:color w:val="23272A"/>
                <w:sz w:val="19"/>
              </w:rPr>
              <w:t>{</w:t>
              <w:br/>
              <w:t xml:space="preserve">  "id": "String (UUID v4 Seed)",</w:t>
              <w:br/>
              <w:t xml:space="preserve">  "name": "String (Normalized Lexical Form, e.g., 'LangGraph')",</w:t>
              <w:br/>
              <w:t xml:space="preserve">  "aliases": ["String (Alternative Lexical Keys / Edge Aliases)"],</w:t>
              <w:br/>
              <w:t xml:space="preserve">  "description": "String (Synthesized System Context Summary)",</w:t>
              <w:br/>
              <w:t xml:space="preserve">  "embedding": "Array[Float] (Dimensions: 384 via bge-small-en)",</w:t>
              <w:br/>
              <w:t xml:space="preserve">  "degree": "Integer (Global Node Edge Connection Tally)",</w:t>
              <w:br/>
              <w:t xml:space="preserve">  "community_id": "Integer (Leiden Topological Structural Domain ID)",</w:t>
              <w:br/>
              <w:t xml:space="preserve">  "last_updated": "Timestamp (ISO 8601 UTC Zulu Standard)"</w:t>
              <w:br/>
              <w:t>}</w:t>
            </w:r>
          </w:p>
        </w:tc>
      </w:tr>
    </w:tbl>
    <w:p/>
    <w:p>
      <w:pPr>
        <w:keepNext/>
        <w:spacing w:before="240" w:after="80"/>
      </w:pPr>
      <w:r>
        <w:rPr>
          <w:b/>
          <w:i/>
          <w:color w:val="1A365D"/>
          <w:sz w:val="23"/>
        </w:rPr>
        <w:t>Relationship Edge Specification (Neo4j Factual Triple Link)</w:t>
      </w:r>
    </w:p>
    <w:tbl>
      <w:tblPr>
        <w:tblW w:type="auto" w:w="0"/>
        <w:jc w:val="center"/>
        <w:tblLayout w:type="fixed"/>
        <w:tblLook w:firstColumn="1" w:firstRow="1" w:lastColumn="0" w:lastRow="0" w:noHBand="0" w:noVBand="1" w:val="04A0"/>
      </w:tblPr>
      <w:tblGrid>
        <w:gridCol w:w="9029"/>
      </w:tblGrid>
      <w:tr>
        <w:tc>
          <w:tcPr>
            <w:tcW w:type="dxa" w:w="9029"/>
            <w:shd w:fill="F8FAFC"/>
            <w:tcMar>
              <w:top w:w="100" w:type="dxa"/>
              <w:bottom w:w="10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after="0"/>
            </w:pPr>
            <w:r>
              <w:rPr>
                <w:rFonts w:ascii="Consolas" w:hAnsi="Consolas"/>
                <w:color w:val="23272A"/>
                <w:sz w:val="19"/>
              </w:rPr>
              <w:t>{</w:t>
              <w:br/>
              <w:t xml:space="preserve">  "id": "String (UUID v4 Verification Tracer)",</w:t>
              <w:br/>
              <w:t xml:space="preserve">  "source": "EntityNode.id (Root Node Mapping Pointer)",</w:t>
              <w:br/>
              <w:t xml:space="preserve">  "target": "EntityNode.id (Terminal Node Mapping Pointer)",</w:t>
              <w:br/>
              <w:t xml:space="preserve">  "predicate": "String (Normalized Operational Verb Token, e.g., 'SUPPORTS')",</w:t>
              <w:br/>
              <w:t xml:space="preserve">  "claim": "String (Raw Unparsed Source Context Semantic Segment)",</w:t>
              <w:br/>
              <w:t xml:space="preserve">  "confidence": "Float (Computed Truth Integrity Index: 0.00 - 1.00)",</w:t>
              <w:br/>
              <w:t xml:space="preserve">  "created_at": "Timestamp (Ingestion Tracking Date Record)",</w:t>
              <w:br/>
              <w:t xml:space="preserve">  "ttl_days": "Integer (Temporal Decay Horizon Frame Threshold; Default: 90)"</w:t>
              <w:br/>
              <w:t>}</w:t>
            </w:r>
          </w:p>
        </w:tc>
      </w:tr>
    </w:tbl>
    <w:p/>
    <w:p>
      <w:r>
        <w:br w:type="page"/>
      </w:r>
    </w:p>
    <w:p>
      <w:pPr>
        <w:keepNext/>
        <w:spacing w:before="240" w:after="80"/>
        <w:pBdr>
          <w:bottom w:val="single" w:sz="12" w:space="4" w:color="2B6CB0"/>
        </w:pBdr>
      </w:pPr>
      <w:r>
        <w:rPr>
          <w:b/>
          <w:color w:val="1A365D"/>
          <w:sz w:val="36"/>
        </w:rPr>
        <w:t>Cognitive Maturity Lifecycle Roadmap</w:t>
      </w:r>
    </w:p>
    <w:p>
      <w:r>
        <w:t>MemoriaAI explicitly rejects static system architectures. The engine tracks runtime payload sizes, dynamically adjusting internal processing parameters and cross-database reliance via designated milestones:</w:t>
      </w:r>
    </w:p>
    <w:tbl>
      <w:tblPr>
        <w:tblW w:type="auto" w:w="0"/>
        <w:jc w:val="center"/>
        <w:tblLayout w:type="fixed"/>
        <w:tblLook w:firstColumn="1" w:firstRow="1" w:lastColumn="0" w:lastRow="0" w:noHBand="0" w:noVBand="1" w:val="04A0"/>
      </w:tblPr>
      <w:tblGrid>
        <w:gridCol w:w="2257"/>
        <w:gridCol w:w="2257"/>
        <w:gridCol w:w="2257"/>
        <w:gridCol w:w="2257"/>
      </w:tblGrid>
      <w:tr>
        <w:tc>
          <w:tcPr>
            <w:tcW w:type="dxa" w:w="1728"/>
            <w:shd w:fill="1A365D"/>
            <w:tcMar>
              <w:top w:w="120" w:type="dxa"/>
              <w:bottom w:w="120" w:type="dxa"/>
              <w:left w:w="100" w:type="dxa"/>
              <w:right w:w="100" w:type="dxa"/>
            </w:tcMar>
          </w:tcPr>
          <w:p>
            <w:pPr>
              <w:spacing w:after="0"/>
              <w:jc w:val="center"/>
            </w:pPr>
            <w:r>
              <w:rPr>
                <w:b/>
                <w:color w:val="FFFFFF"/>
                <w:sz w:val="19"/>
              </w:rPr>
              <w:t>Stage</w:t>
            </w:r>
          </w:p>
        </w:tc>
        <w:tc>
          <w:tcPr>
            <w:tcW w:type="dxa" w:w="2160"/>
            <w:shd w:fill="1A365D"/>
            <w:tcMar>
              <w:top w:w="120" w:type="dxa"/>
              <w:bottom w:w="120" w:type="dxa"/>
              <w:left w:w="100" w:type="dxa"/>
              <w:right w:w="100" w:type="dxa"/>
            </w:tcMar>
          </w:tcPr>
          <w:p>
            <w:pPr>
              <w:spacing w:after="0"/>
              <w:jc w:val="center"/>
            </w:pPr>
            <w:r>
              <w:rPr>
                <w:b/>
                <w:color w:val="FFFFFF"/>
                <w:sz w:val="19"/>
              </w:rPr>
              <w:t>Scale Bounds</w:t>
            </w:r>
          </w:p>
        </w:tc>
        <w:tc>
          <w:tcPr>
            <w:tcW w:type="dxa" w:w="1872"/>
            <w:shd w:fill="1A365D"/>
            <w:tcMar>
              <w:top w:w="120" w:type="dxa"/>
              <w:bottom w:w="120" w:type="dxa"/>
              <w:left w:w="100" w:type="dxa"/>
              <w:right w:w="100" w:type="dxa"/>
            </w:tcMar>
          </w:tcPr>
          <w:p>
            <w:pPr>
              <w:spacing w:after="0"/>
              <w:jc w:val="center"/>
            </w:pPr>
            <w:r>
              <w:rPr>
                <w:b/>
                <w:color w:val="FFFFFF"/>
                <w:sz w:val="19"/>
              </w:rPr>
              <w:t>Primary Core</w:t>
            </w:r>
          </w:p>
        </w:tc>
        <w:tc>
          <w:tcPr>
            <w:tcW w:type="dxa" w:w="3269"/>
            <w:shd w:fill="1A365D"/>
            <w:tcMar>
              <w:top w:w="120" w:type="dxa"/>
              <w:bottom w:w="120" w:type="dxa"/>
              <w:left w:w="100" w:type="dxa"/>
              <w:right w:w="100" w:type="dxa"/>
            </w:tcMar>
          </w:tcPr>
          <w:p>
            <w:pPr>
              <w:spacing w:after="0"/>
              <w:jc w:val="center"/>
            </w:pPr>
            <w:r>
              <w:rPr>
                <w:b/>
                <w:color w:val="FFFFFF"/>
                <w:sz w:val="19"/>
              </w:rPr>
              <w:t>Operational Strategy &amp; Profile</w:t>
            </w:r>
          </w:p>
        </w:tc>
      </w:tr>
      <w:tr>
        <w:tc>
          <w:tcPr>
            <w:tcW w:type="dxa" w:w="1728"/>
            <w:shd w:fill="FFFFFF"/>
            <w:tcMar>
              <w:top w:w="100" w:type="dxa"/>
              <w:bottom w:w="100" w:type="dxa"/>
              <w:left w:w="100" w:type="dxa"/>
              <w:right w:w="100" w:type="dxa"/>
            </w:tcMar>
            <w:tcBorders>
              <w:bottom w:val="single" w:sz="4" w:color="E2E8F0"/>
            </w:tcBorders>
          </w:tcPr>
          <w:p>
            <w:pPr>
              <w:spacing w:after="0"/>
              <w:jc w:val="center"/>
            </w:pPr>
            <w:r>
              <w:rPr>
                <w:b/>
                <w:color w:val="1A365D"/>
                <w:sz w:val="18"/>
              </w:rPr>
              <w:t>Stage 0</w:t>
              <w:br/>
              <w:t>Bootstrap</w:t>
            </w:r>
          </w:p>
        </w:tc>
        <w:tc>
          <w:tcPr>
            <w:tcW w:type="dxa" w:w="2160"/>
            <w:shd w:fill="FFFFFF"/>
            <w:tcMar>
              <w:top w:w="100" w:type="dxa"/>
              <w:bottom w:w="100" w:type="dxa"/>
              <w:left w:w="100" w:type="dxa"/>
              <w:right w:w="100" w:type="dxa"/>
            </w:tcMar>
            <w:tcBorders>
              <w:bottom w:val="single" w:sz="4" w:color="E2E8F0"/>
            </w:tcBorders>
          </w:tcPr>
          <w:p>
            <w:pPr>
              <w:spacing w:after="0"/>
              <w:jc w:val="center"/>
            </w:pPr>
            <w:r>
              <w:rPr>
                <w:sz w:val="18"/>
              </w:rPr>
              <w:t>0 - 1,000</w:t>
              <w:br/>
              <w:t>Triples</w:t>
            </w:r>
          </w:p>
        </w:tc>
        <w:tc>
          <w:tcPr>
            <w:tcW w:type="dxa" w:w="1872"/>
            <w:shd w:fill="FFFFFF"/>
            <w:tcMar>
              <w:top w:w="100" w:type="dxa"/>
              <w:bottom w:w="100" w:type="dxa"/>
              <w:left w:w="100" w:type="dxa"/>
              <w:right w:w="100" w:type="dxa"/>
            </w:tcMar>
            <w:tcBorders>
              <w:bottom w:val="single" w:sz="4" w:color="E2E8F0"/>
            </w:tcBorders>
          </w:tcPr>
          <w:p>
            <w:pPr>
              <w:spacing w:after="0"/>
              <w:jc w:val="center"/>
            </w:pPr>
            <w:r>
              <w:rPr>
                <w:sz w:val="18"/>
              </w:rPr>
              <w:t>Vector Search</w:t>
              <w:br/>
              <w:t>(80% Volume Allocation)</w:t>
            </w:r>
          </w:p>
        </w:tc>
        <w:tc>
          <w:tcPr>
            <w:tcW w:type="dxa" w:w="3269"/>
            <w:shd w:fill="FFFFFF"/>
            <w:tcMar>
              <w:top w:w="100" w:type="dxa"/>
              <w:bottom w:w="100" w:type="dxa"/>
              <w:left w:w="100" w:type="dxa"/>
              <w:right w:w="100" w:type="dxa"/>
            </w:tcMar>
            <w:tcBorders>
              <w:bottom w:val="single" w:sz="4" w:color="E2E8F0"/>
            </w:tcBorders>
          </w:tcPr>
          <w:p>
            <w:pPr>
              <w:spacing w:after="0"/>
              <w:jc w:val="left"/>
            </w:pPr>
            <w:r>
              <w:rPr>
                <w:sz w:val="18"/>
              </w:rPr>
              <w:t>Topology yields purely noise. System functions as structural logging ledger. Context leans on embedding layers.</w:t>
            </w:r>
          </w:p>
        </w:tc>
      </w:tr>
      <w:tr>
        <w:tc>
          <w:tcPr>
            <w:tcW w:type="dxa" w:w="1728"/>
            <w:shd w:fill="F7FAFC"/>
            <w:tcMar>
              <w:top w:w="100" w:type="dxa"/>
              <w:bottom w:w="100" w:type="dxa"/>
              <w:left w:w="100" w:type="dxa"/>
              <w:right w:w="100" w:type="dxa"/>
            </w:tcMar>
            <w:tcBorders>
              <w:bottom w:val="single" w:sz="4" w:color="E2E8F0"/>
            </w:tcBorders>
          </w:tcPr>
          <w:p>
            <w:pPr>
              <w:spacing w:after="0"/>
              <w:jc w:val="center"/>
            </w:pPr>
            <w:r>
              <w:rPr>
                <w:b/>
                <w:color w:val="1A365D"/>
                <w:sz w:val="18"/>
              </w:rPr>
              <w:t>Stage 1</w:t>
              <w:br/>
              <w:t>Sparse</w:t>
            </w:r>
          </w:p>
        </w:tc>
        <w:tc>
          <w:tcPr>
            <w:tcW w:type="dxa" w:w="2160"/>
            <w:shd w:fill="F7FAFC"/>
            <w:tcMar>
              <w:top w:w="100" w:type="dxa"/>
              <w:bottom w:w="100" w:type="dxa"/>
              <w:left w:w="100" w:type="dxa"/>
              <w:right w:w="100" w:type="dxa"/>
            </w:tcMar>
            <w:tcBorders>
              <w:bottom w:val="single" w:sz="4" w:color="E2E8F0"/>
            </w:tcBorders>
          </w:tcPr>
          <w:p>
            <w:pPr>
              <w:spacing w:after="0"/>
              <w:jc w:val="center"/>
            </w:pPr>
            <w:r>
              <w:rPr>
                <w:sz w:val="18"/>
              </w:rPr>
              <w:t>1,000 - 5,000</w:t>
              <w:br/>
              <w:t>Triples</w:t>
            </w:r>
          </w:p>
        </w:tc>
        <w:tc>
          <w:tcPr>
            <w:tcW w:type="dxa" w:w="1872"/>
            <w:shd w:fill="F7FAFC"/>
            <w:tcMar>
              <w:top w:w="100" w:type="dxa"/>
              <w:bottom w:w="100" w:type="dxa"/>
              <w:left w:w="100" w:type="dxa"/>
              <w:right w:w="100" w:type="dxa"/>
            </w:tcMar>
            <w:tcBorders>
              <w:bottom w:val="single" w:sz="4" w:color="E2E8F0"/>
            </w:tcBorders>
          </w:tcPr>
          <w:p>
            <w:pPr>
              <w:spacing w:after="0"/>
              <w:jc w:val="center"/>
            </w:pPr>
            <w:r>
              <w:rPr>
                <w:sz w:val="18"/>
              </w:rPr>
              <w:t>Hybrid Model</w:t>
              <w:br/>
              <w:t>(60% Vec / 25% Graph)</w:t>
            </w:r>
          </w:p>
        </w:tc>
        <w:tc>
          <w:tcPr>
            <w:tcW w:type="dxa" w:w="3269"/>
            <w:shd w:fill="F7FAFC"/>
            <w:tcMar>
              <w:top w:w="100" w:type="dxa"/>
              <w:bottom w:w="100" w:type="dxa"/>
              <w:left w:w="100" w:type="dxa"/>
              <w:right w:w="100" w:type="dxa"/>
            </w:tcMar>
            <w:tcBorders>
              <w:bottom w:val="single" w:sz="4" w:color="E2E8F0"/>
            </w:tcBorders>
          </w:tcPr>
          <w:p>
            <w:pPr>
              <w:spacing w:after="0"/>
              <w:jc w:val="left"/>
            </w:pPr>
            <w:r>
              <w:rPr>
                <w:sz w:val="18"/>
              </w:rPr>
              <w:t>Shallow 1-hop path queries begin actively informing semantic routing. Nearest-neighbor pairs drive context mapping.</w:t>
            </w:r>
          </w:p>
        </w:tc>
      </w:tr>
      <w:tr>
        <w:tc>
          <w:tcPr>
            <w:tcW w:type="dxa" w:w="1728"/>
            <w:shd w:fill="FFFFFF"/>
            <w:tcMar>
              <w:top w:w="100" w:type="dxa"/>
              <w:bottom w:w="100" w:type="dxa"/>
              <w:left w:w="100" w:type="dxa"/>
              <w:right w:w="100" w:type="dxa"/>
            </w:tcMar>
            <w:tcBorders>
              <w:bottom w:val="single" w:sz="4" w:color="E2E8F0"/>
            </w:tcBorders>
          </w:tcPr>
          <w:p>
            <w:pPr>
              <w:spacing w:after="0"/>
              <w:jc w:val="center"/>
            </w:pPr>
            <w:r>
              <w:rPr>
                <w:b/>
                <w:color w:val="1A365D"/>
                <w:sz w:val="18"/>
              </w:rPr>
              <w:t>Stage 2</w:t>
              <w:br/>
              <w:t>Structured</w:t>
            </w:r>
          </w:p>
        </w:tc>
        <w:tc>
          <w:tcPr>
            <w:tcW w:type="dxa" w:w="2160"/>
            <w:shd w:fill="FFFFFF"/>
            <w:tcMar>
              <w:top w:w="100" w:type="dxa"/>
              <w:bottom w:w="100" w:type="dxa"/>
              <w:left w:w="100" w:type="dxa"/>
              <w:right w:w="100" w:type="dxa"/>
            </w:tcMar>
            <w:tcBorders>
              <w:bottom w:val="single" w:sz="4" w:color="E2E8F0"/>
            </w:tcBorders>
          </w:tcPr>
          <w:p>
            <w:pPr>
              <w:spacing w:after="0"/>
              <w:jc w:val="center"/>
            </w:pPr>
            <w:r>
              <w:rPr>
                <w:sz w:val="18"/>
              </w:rPr>
              <w:t>5,000 - 50,000</w:t>
              <w:br/>
              <w:t>Triples</w:t>
            </w:r>
          </w:p>
        </w:tc>
        <w:tc>
          <w:tcPr>
            <w:tcW w:type="dxa" w:w="1872"/>
            <w:shd w:fill="FFFFFF"/>
            <w:tcMar>
              <w:top w:w="100" w:type="dxa"/>
              <w:bottom w:w="100" w:type="dxa"/>
              <w:left w:w="100" w:type="dxa"/>
              <w:right w:w="100" w:type="dxa"/>
            </w:tcMar>
            <w:tcBorders>
              <w:bottom w:val="single" w:sz="4" w:color="E2E8F0"/>
            </w:tcBorders>
          </w:tcPr>
          <w:p>
            <w:pPr>
              <w:spacing w:after="0"/>
              <w:jc w:val="center"/>
            </w:pPr>
            <w:r>
              <w:rPr>
                <w:sz w:val="18"/>
              </w:rPr>
              <w:t>Balanced Engine</w:t>
              <w:br/>
              <w:t>(40% Graph / 40% Vec)</w:t>
            </w:r>
          </w:p>
        </w:tc>
        <w:tc>
          <w:tcPr>
            <w:tcW w:type="dxa" w:w="3269"/>
            <w:shd w:fill="FFFFFF"/>
            <w:tcMar>
              <w:top w:w="100" w:type="dxa"/>
              <w:bottom w:w="100" w:type="dxa"/>
              <w:left w:w="100" w:type="dxa"/>
              <w:right w:w="100" w:type="dxa"/>
            </w:tcMar>
            <w:tcBorders>
              <w:bottom w:val="single" w:sz="4" w:color="E2E8F0"/>
            </w:tcBorders>
          </w:tcPr>
          <w:p>
            <w:pPr>
              <w:spacing w:after="0"/>
              <w:jc w:val="left"/>
            </w:pPr>
            <w:r>
              <w:rPr>
                <w:sz w:val="18"/>
              </w:rPr>
              <w:t>Triggers background Louvain/Leiden tasks. Hydrates structural degree indices and deploys dynamic hub filters.</w:t>
            </w:r>
          </w:p>
        </w:tc>
      </w:tr>
      <w:tr>
        <w:tc>
          <w:tcPr>
            <w:tcW w:type="dxa" w:w="1728"/>
            <w:shd w:fill="F7FAFC"/>
            <w:tcMar>
              <w:top w:w="100" w:type="dxa"/>
              <w:bottom w:w="100" w:type="dxa"/>
              <w:left w:w="100" w:type="dxa"/>
              <w:right w:w="100" w:type="dxa"/>
            </w:tcMar>
            <w:tcBorders>
              <w:bottom w:val="single" w:sz="4" w:color="E2E8F0"/>
            </w:tcBorders>
          </w:tcPr>
          <w:p>
            <w:pPr>
              <w:spacing w:after="0"/>
              <w:jc w:val="center"/>
            </w:pPr>
            <w:r>
              <w:rPr>
                <w:b/>
                <w:color w:val="1A365D"/>
                <w:sz w:val="18"/>
              </w:rPr>
              <w:t>Stage 3</w:t>
              <w:br/>
              <w:t>Cognitive</w:t>
            </w:r>
          </w:p>
        </w:tc>
        <w:tc>
          <w:tcPr>
            <w:tcW w:type="dxa" w:w="2160"/>
            <w:shd w:fill="F7FAFC"/>
            <w:tcMar>
              <w:top w:w="100" w:type="dxa"/>
              <w:bottom w:w="100" w:type="dxa"/>
              <w:left w:w="100" w:type="dxa"/>
              <w:right w:w="100" w:type="dxa"/>
            </w:tcMar>
            <w:tcBorders>
              <w:bottom w:val="single" w:sz="4" w:color="E2E8F0"/>
            </w:tcBorders>
          </w:tcPr>
          <w:p>
            <w:pPr>
              <w:spacing w:after="0"/>
              <w:jc w:val="center"/>
            </w:pPr>
            <w:r>
              <w:rPr>
                <w:sz w:val="18"/>
              </w:rPr>
              <w:t>50,000+</w:t>
              <w:br/>
              <w:t>Triples</w:t>
            </w:r>
          </w:p>
        </w:tc>
        <w:tc>
          <w:tcPr>
            <w:tcW w:type="dxa" w:w="1872"/>
            <w:shd w:fill="F7FAFC"/>
            <w:tcMar>
              <w:top w:w="100" w:type="dxa"/>
              <w:bottom w:w="100" w:type="dxa"/>
              <w:left w:w="100" w:type="dxa"/>
              <w:right w:w="100" w:type="dxa"/>
            </w:tcMar>
            <w:tcBorders>
              <w:bottom w:val="single" w:sz="4" w:color="E2E8F0"/>
            </w:tcBorders>
          </w:tcPr>
          <w:p>
            <w:pPr>
              <w:spacing w:after="0"/>
              <w:jc w:val="center"/>
            </w:pPr>
            <w:r>
              <w:rPr>
                <w:sz w:val="18"/>
              </w:rPr>
              <w:t>Graph Native</w:t>
              <w:br/>
              <w:t>(60% Pure Topology)</w:t>
            </w:r>
          </w:p>
        </w:tc>
        <w:tc>
          <w:tcPr>
            <w:tcW w:type="dxa" w:w="3269"/>
            <w:shd w:fill="F7FAFC"/>
            <w:tcMar>
              <w:top w:w="100" w:type="dxa"/>
              <w:bottom w:w="100" w:type="dxa"/>
              <w:left w:w="100" w:type="dxa"/>
              <w:right w:w="100" w:type="dxa"/>
            </w:tcMar>
            <w:tcBorders>
              <w:bottom w:val="single" w:sz="4" w:color="E2E8F0"/>
            </w:tcBorders>
          </w:tcPr>
          <w:p>
            <w:pPr>
              <w:spacing w:after="0"/>
              <w:jc w:val="left"/>
            </w:pPr>
            <w:r>
              <w:rPr>
                <w:sz w:val="18"/>
              </w:rPr>
              <w:t>Graph behaves as deterministic reality standard. Embeddings localized for syntax checking. Web updates strictly for validation.</w:t>
            </w:r>
          </w:p>
        </w:tc>
      </w:tr>
    </w:tbl>
    <w:p/>
    <w:p>
      <w:pPr>
        <w:keepNext/>
        <w:spacing w:before="240" w:after="80"/>
        <w:pBdr>
          <w:bottom w:val="single" w:sz="12" w:space="4" w:color="2B6CB0"/>
        </w:pBdr>
      </w:pPr>
      <w:r>
        <w:rPr>
          <w:b/>
          <w:color w:val="1A365D"/>
          <w:sz w:val="36"/>
        </w:rPr>
        <w:t>Failure Modes &amp; Mitigation Strategies</w:t>
      </w:r>
    </w:p>
    <w:p>
      <w:pPr>
        <w:keepNext/>
        <w:spacing w:before="240" w:after="80"/>
      </w:pPr>
      <w:r>
        <w:rPr>
          <w:b/>
          <w:color w:val="2B6CB0"/>
          <w:sz w:val="28"/>
        </w:rPr>
        <w:t>1. Entity Resolution Collisions (Cross-Domain Namespace Merging)</w:t>
      </w:r>
    </w:p>
    <w:tbl>
      <w:tblPr>
        <w:tblW w:type="auto" w:w="0"/>
        <w:jc w:val="center"/>
        <w:tblLayout w:type="fixed"/>
        <w:tblLook w:firstColumn="1" w:firstRow="1" w:lastColumn="0" w:lastRow="0" w:noHBand="0" w:noVBand="1" w:val="04A0"/>
      </w:tblPr>
      <w:tblGrid>
        <w:gridCol w:w="9029"/>
      </w:tblGrid>
      <w:tr>
        <w:tc>
          <w:tcPr>
            <w:tcW w:type="dxa" w:w="9029"/>
            <w:shd w:fill="F7FAFC"/>
            <w:tcBorders>
              <w:left w:val="single" w:sz="24" w:space="0" w:color="DD6B20"/>
              <w:top w:val="none"/>
              <w:bottom w:val="none"/>
              <w:right w:val="none"/>
            </w:tcBorders>
            <w:tcMar>
              <w:top w:w="140" w:type="dxa"/>
              <w:bottom w:w="140" w:type="dxa"/>
              <w:left w:w="200" w:type="dxa"/>
              <w:right w:w="150" w:type="dxa"/>
            </w:tcMar>
          </w:tcPr>
          <w:p>
            <w:pPr>
              <w:spacing w:after="0"/>
            </w:pPr>
            <w:r>
              <w:rPr>
                <w:i/>
                <w:color w:val="2D3748"/>
                <w:sz w:val="20"/>
              </w:rPr>
              <w:t>CRITICAL ANOMALY: Highly generalized text terms (e.g., 'Apple' the electronics corporation vs. 'Apple' the agricultural organic fruit asset) score matching lexical profiles, causing improper node collapses.</w:t>
            </w:r>
          </w:p>
        </w:tc>
      </w:tr>
    </w:tbl>
    <w:p/>
    <w:p>
      <w:r>
        <w:t>Mitigation Architecture: Implement a hard Topological Context Break. If incoming metadata traces reveal an absolute 0.0 structural connection index with historical nodes in that neighborhood space, the engine completely terminates automated convergence routines. The mismatched extraction payload is redirected into an administrative Potential Duplicate Queue for manual resolution, overriding standard mathematical calculation limits entirely.</w:t>
      </w:r>
    </w:p>
    <w:p>
      <w:pPr>
        <w:keepNext/>
        <w:spacing w:before="240" w:after="80"/>
      </w:pPr>
      <w:r>
        <w:rPr>
          <w:b/>
          <w:color w:val="2B6CB0"/>
          <w:sz w:val="28"/>
        </w:rPr>
        <w:t>2. Synchronous Validation Drift (Active Refresh Cascading System Lag)</w:t>
      </w:r>
    </w:p>
    <w:tbl>
      <w:tblPr>
        <w:tblW w:type="auto" w:w="0"/>
        <w:jc w:val="center"/>
        <w:tblLayout w:type="fixed"/>
        <w:tblLook w:firstColumn="1" w:firstRow="1" w:lastColumn="0" w:lastRow="0" w:noHBand="0" w:noVBand="1" w:val="04A0"/>
      </w:tblPr>
      <w:tblGrid>
        <w:gridCol w:w="9029"/>
      </w:tblGrid>
      <w:tr>
        <w:tc>
          <w:tcPr>
            <w:tcW w:type="dxa" w:w="9029"/>
            <w:shd w:fill="F7FAFC"/>
            <w:tcBorders>
              <w:left w:val="single" w:sz="24" w:space="0" w:color="DD6B20"/>
              <w:top w:val="none"/>
              <w:bottom w:val="none"/>
              <w:right w:val="none"/>
            </w:tcBorders>
            <w:tcMar>
              <w:top w:w="140" w:type="dxa"/>
              <w:bottom w:w="140" w:type="dxa"/>
              <w:left w:w="200" w:type="dxa"/>
              <w:right w:w="150" w:type="dxa"/>
            </w:tcMar>
          </w:tcPr>
          <w:p>
            <w:pPr>
              <w:spacing w:after="0"/>
            </w:pPr>
            <w:r>
              <w:rPr>
                <w:i/>
                <w:color w:val="2D3748"/>
                <w:sz w:val="20"/>
              </w:rPr>
              <w:t>CRITICAL ANOMALY: A generalized client inquiry maps to multiple outdated data records simultaneously. Launching synchronous real-time web verification sweeps blocks pipeline loops, triggers external API safety caps, and destroys throughput stability.</w:t>
            </w:r>
          </w:p>
        </w:tc>
      </w:tr>
    </w:tbl>
    <w:p/>
    <w:p>
      <w:r>
        <w:t>Mitigation Architecture: Migrate pipeline executions to an Asynchronous Lazy Refresh Strategy. The operational core immediately surfaces historical records to complete prompt delivery tasks, append-marking the output blocks with clear 'Low-Confidence/Aged Context' markers. Concurrently, the workflow manager sends update requests down to independent out-of-band background workers, handling refresh routines cleanly outside the critical user transaction path.</w:t>
      </w:r>
    </w:p>
    <w:p>
      <w:pPr>
        <w:keepNext/>
        <w:spacing w:before="240" w:after="80"/>
      </w:pPr>
      <w:r>
        <w:rPr>
          <w:b/>
          <w:color w:val="2B6CB0"/>
          <w:sz w:val="28"/>
        </w:rPr>
        <w:t>3. Lightweight Parser Instability (Format Violation Noise)</w:t>
      </w:r>
    </w:p>
    <w:tbl>
      <w:tblPr>
        <w:tblW w:type="auto" w:w="0"/>
        <w:jc w:val="center"/>
        <w:tblLayout w:type="fixed"/>
        <w:tblLook w:firstColumn="1" w:firstRow="1" w:lastColumn="0" w:lastRow="0" w:noHBand="0" w:noVBand="1" w:val="04A0"/>
      </w:tblPr>
      <w:tblGrid>
        <w:gridCol w:w="9029"/>
      </w:tblGrid>
      <w:tr>
        <w:tc>
          <w:tcPr>
            <w:tcW w:type="dxa" w:w="9029"/>
            <w:shd w:fill="F7FAFC"/>
            <w:tcBorders>
              <w:left w:val="single" w:sz="24" w:space="0" w:color="DD6B20"/>
              <w:top w:val="none"/>
              <w:bottom w:val="none"/>
              <w:right w:val="none"/>
            </w:tcBorders>
            <w:tcMar>
              <w:top w:w="140" w:type="dxa"/>
              <w:bottom w:w="140" w:type="dxa"/>
              <w:left w:w="200" w:type="dxa"/>
              <w:right w:w="150" w:type="dxa"/>
            </w:tcMar>
          </w:tcPr>
          <w:p>
            <w:pPr>
              <w:spacing w:after="0"/>
            </w:pPr>
            <w:r>
              <w:rPr>
                <w:i/>
                <w:color w:val="2D3748"/>
                <w:sz w:val="20"/>
              </w:rPr>
              <w:t>CRITICAL ANOMALY: Utilizing smaller open-source models inside low-tier filtering phases to manage execution budgets causes occasional formatting syntax breaks, outputting invalid data segments that crash relational code schemas.</w:t>
            </w:r>
          </w:p>
        </w:tc>
      </w:tr>
    </w:tbl>
    <w:p/>
    <w:p>
      <w:r>
        <w:t>Mitigation Architecture: Interpose a strict Pydantic / Instructor Validation Guardrail layer. The extraction middleware enforces rigorous typing checks directly on raw token blocks. If a lower-tier parsing execution fails to export data that maps cleanly to the expected structural JSON schema, the pipeline discards the corrupted entry immediately, isolating downstream engines from processing corrupted files.</w:t>
      </w:r>
    </w:p>
    <w:p>
      <w:pPr>
        <w:keepNext/>
        <w:spacing w:before="240" w:after="80"/>
        <w:pBdr>
          <w:bottom w:val="single" w:sz="12" w:space="4" w:color="2B6CB0"/>
        </w:pBdr>
      </w:pPr>
      <w:r>
        <w:rPr>
          <w:b/>
          <w:color w:val="1A365D"/>
          <w:sz w:val="36"/>
        </w:rPr>
        <w:t>Working End-Product Specification</w:t>
      </w:r>
    </w:p>
    <w:p>
      <w:pPr>
        <w:keepNext/>
        <w:spacing w:before="240" w:after="80"/>
      </w:pPr>
      <w:r>
        <w:rPr>
          <w:b/>
          <w:color w:val="2B6CB0"/>
          <w:sz w:val="28"/>
        </w:rPr>
        <w:t>1. Execution Ingestion Command Structure</w:t>
      </w:r>
    </w:p>
    <w:p>
      <w:r>
        <w:t>The interface purposefully circumvents continuous chatting loops in favor of definitive compilation sweeps. Engineers interact with the engine utilizing explicit configuration inputs:</w:t>
      </w:r>
    </w:p>
    <w:tbl>
      <w:tblPr>
        <w:tblW w:type="auto" w:w="0"/>
        <w:jc w:val="center"/>
        <w:tblLayout w:type="fixed"/>
        <w:tblLook w:firstColumn="1" w:firstRow="1" w:lastColumn="0" w:lastRow="0" w:noHBand="0" w:noVBand="1" w:val="04A0"/>
      </w:tblPr>
      <w:tblGrid>
        <w:gridCol w:w="9029"/>
      </w:tblGrid>
      <w:tr>
        <w:tc>
          <w:tcPr>
            <w:tcW w:type="dxa" w:w="9029"/>
            <w:shd w:fill="F8FAFC"/>
            <w:tcMar>
              <w:top w:w="100" w:type="dxa"/>
              <w:bottom w:w="10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after="0"/>
            </w:pPr>
            <w:r>
              <w:rPr>
                <w:rFonts w:ascii="Consolas" w:hAnsi="Consolas"/>
                <w:color w:val="23272A"/>
                <w:sz w:val="19"/>
              </w:rPr>
              <w:t>memoria research "Compare performance implications of LangGraph vs CrewAI state management models"</w:t>
            </w:r>
          </w:p>
        </w:tc>
      </w:tr>
    </w:tbl>
    <w:p/>
    <w:p>
      <w:pPr>
        <w:keepNext/>
        <w:spacing w:before="240" w:after="80"/>
      </w:pPr>
      <w:r>
        <w:rPr>
          <w:b/>
          <w:color w:val="2B6CB0"/>
          <w:sz w:val="28"/>
        </w:rPr>
        <w:t>2. Structure of Compiled Deliverable Report Artifacts</w:t>
      </w:r>
    </w:p>
    <w:p>
      <w:r>
        <w:t>Instead of returning raw, unformatted LLM prose laced with conversational fill, the generation layer outputs a predictable, highly formatted schema comprising five critical tracking frameworks:</w:t>
      </w:r>
    </w:p>
    <w:p>
      <w:pPr>
        <w:pStyle w:val="ListBullet"/>
        <w:spacing w:after="80"/>
      </w:pPr>
      <w:r>
        <w:rPr>
          <w:b/>
          <w:color w:val="2D3748"/>
        </w:rPr>
        <w:t xml:space="preserve">Executive Intelligence Matrix: </w:t>
      </w:r>
      <w:r>
        <w:t>A high-level conceptual mapping highlighting established graph axioms vs freshly integrated variables.</w:t>
      </w:r>
    </w:p>
    <w:p>
      <w:pPr>
        <w:pStyle w:val="ListBullet"/>
        <w:spacing w:after="80"/>
      </w:pPr>
      <w:r>
        <w:rPr>
          <w:b/>
          <w:color w:val="2D3748"/>
        </w:rPr>
        <w:t xml:space="preserve">Factual Triple Trace: </w:t>
      </w:r>
      <w:r>
        <w:t>An open logging record detailing the specific Neo4j identifiers, edge links, and confidence values utilized to generate the synthesis data layout.</w:t>
      </w:r>
    </w:p>
    <w:p>
      <w:pPr>
        <w:pStyle w:val="ListBullet"/>
        <w:spacing w:after="80"/>
      </w:pPr>
      <w:r>
        <w:rPr>
          <w:b/>
          <w:color w:val="2D3748"/>
        </w:rPr>
        <w:t xml:space="preserve">Divergence &amp; Contradiction Matrices: </w:t>
      </w:r>
      <w:r>
        <w:t>Explicit, parsed callouts detailing where conflicting source links offered diverging analytical data patterns during web extraction loops.</w:t>
      </w:r>
    </w:p>
    <w:p>
      <w:pPr>
        <w:pStyle w:val="ListBullet"/>
        <w:spacing w:after="80"/>
      </w:pPr>
      <w:r>
        <w:rPr>
          <w:b/>
          <w:color w:val="2D3748"/>
        </w:rPr>
        <w:t xml:space="preserve">Temporal Stability Indices: </w:t>
      </w:r>
      <w:r>
        <w:t>Real-time accuracy and truth-security values computed dynamically using temporal decay metrics ($e^{-age/ttl}$).</w:t>
      </w:r>
    </w:p>
    <w:p>
      <w:pPr>
        <w:pStyle w:val="ListBullet"/>
        <w:spacing w:after="80"/>
      </w:pPr>
      <w:r>
        <w:rPr>
          <w:b/>
          <w:color w:val="2D3748"/>
        </w:rPr>
        <w:t xml:space="preserve">Knowledge-Gap Footprint: </w:t>
      </w:r>
      <w:r>
        <w:t>A clear technical index mapping unverified variables or missing node structures to guide subsequent web research loops.</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60"/>
    </w:pPr>
    <w:rPr>
      <w:rFonts w:ascii="Arial" w:hAnsi="Arial"/>
      <w:color w:val="2D374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