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Board Briefing Packet - Growth Investment and Guidance</w:t>
      </w:r>
    </w:p>
    <w:p>
      <w:pPr>
        <w:jc w:val="center"/>
      </w:pPr>
      <w:r>
        <w:rPr>
          <w:i/>
          <w:color w:val="666666"/>
          <w:sz w:val="22"/>
        </w:rPr>
        <w:t>Synthetic data pack for Financial Analyst Copilot capstone - not real company data</w:t>
      </w:r>
    </w:p>
    <w:p/>
    <w:p>
      <w:pPr>
        <w:pStyle w:val="Heading1"/>
      </w:pPr>
      <w:r>
        <w:rPr>
          <w:color w:val="1F4E79"/>
        </w:rPr>
        <w:t>Board-Level Themes</w:t>
      </w:r>
    </w:p>
    <w:p>
      <w:pPr>
        <w:pStyle w:val="ListBullet"/>
      </w:pPr>
      <w:r>
        <w:t>Management is balancing growth investments with EBITDA discipline.</w:t>
      </w:r>
    </w:p>
    <w:p>
      <w:pPr>
        <w:pStyle w:val="ListBullet"/>
      </w:pPr>
      <w:r>
        <w:t>The recurring revenue mix is improving as Cloud Services and Managed Operations expand.</w:t>
      </w:r>
    </w:p>
    <w:p>
      <w:pPr>
        <w:pStyle w:val="ListBullet"/>
      </w:pPr>
      <w:r>
        <w:t>Gross margin remains the key financial quality indicator due to hosting and delivery labor dynamics.</w:t>
      </w:r>
    </w:p>
    <w:p>
      <w:pPr>
        <w:pStyle w:val="ListBullet"/>
      </w:pPr>
      <w:r>
        <w:t>The board should monitor whether Q3 growth is translating into cash conversion and lower subcontractor dependence.</w:t>
      </w:r>
    </w:p>
    <w:p>
      <w:pPr>
        <w:pStyle w:val="Heading1"/>
      </w:pPr>
      <w:r>
        <w:rPr>
          <w:color w:val="1F4E79"/>
        </w:rPr>
        <w:t>CEO Perspective - Elena Marquez</w:t>
      </w:r>
    </w:p>
    <w:p>
      <w:r>
        <w:t>The CEO narrative emphasizes durable client demand for modernization and a disciplined approach to portfolio mix. Management believes the company can grow faster in managed services while maintaining consulting selectivity. Elena Marquez views the AI delivery platform as both an internal productivity lever and a client-facing differentiator.</w:t>
      </w:r>
    </w:p>
    <w:p>
      <w:pPr>
        <w:pStyle w:val="Heading1"/>
      </w:pPr>
      <w:r>
        <w:rPr>
          <w:color w:val="1F4E79"/>
        </w:rPr>
        <w:t>CFO Perspective - Nathan Okafor</w:t>
      </w:r>
    </w:p>
    <w:p>
      <w:r>
        <w:t>The CFO perspective focuses on forecast accuracy, repeatable KPI definitions, and variance traceability. Nathan Okafor expects finance reporting to clearly separate actuals, budget, forecast, and guidance. He wants all numerical answers to show source tables, formulas, and assumptions.</w:t>
      </w:r>
    </w:p>
    <w:p>
      <w:pPr>
        <w:pStyle w:val="Heading1"/>
      </w:pPr>
      <w:r>
        <w:rPr>
          <w:color w:val="1F4E79"/>
        </w:rPr>
        <w:t>Board Questions to Prepare For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
              <w:rPr>
                <w:b/>
                <w:color w:val="FFFFFF"/>
              </w:rPr>
              <w:t>Question</w:t>
            </w:r>
          </w:p>
        </w:tc>
        <w:tc>
          <w:tcPr>
            <w:tcW w:type="dxa" w:w="1872"/>
            <w:vAlign w:val="center"/>
            <w:shd w:fill="1F4E79"/>
          </w:tcPr>
          <w:p>
            <w:r/>
            <w:r>
              <w:rPr>
                <w:b/>
                <w:color w:val="FFFFFF"/>
              </w:rPr>
              <w:t>Likely Owner</w:t>
            </w:r>
          </w:p>
        </w:tc>
        <w:tc>
          <w:tcPr>
            <w:tcW w:type="dxa" w:w="2448"/>
            <w:vAlign w:val="center"/>
            <w:shd w:fill="1F4E79"/>
          </w:tcPr>
          <w:p>
            <w:r/>
            <w:r>
              <w:rPr>
                <w:b/>
                <w:color w:val="FFFFFF"/>
              </w:rPr>
              <w:t>Data Needed</w:t>
            </w:r>
          </w:p>
        </w:tc>
        <w:tc>
          <w:tcPr>
            <w:tcW w:type="dxa" w:w="3600"/>
            <w:vAlign w:val="center"/>
            <w:shd w:fill="1F4E79"/>
          </w:tcPr>
          <w:p>
            <w:r/>
            <w:r>
              <w:rPr>
                <w:b/>
                <w:color w:val="FFFFFF"/>
              </w:rPr>
              <w:t>Copilot Use Case</w:t>
            </w:r>
          </w:p>
        </w:tc>
      </w:tr>
      <w:tr>
        <w:tc>
          <w:tcPr>
            <w:tcW w:type="dxa" w:w="2592"/>
            <w:vAlign w:val="center"/>
          </w:tcPr>
          <w:p>
            <w:r/>
            <w:r>
              <w:rPr>
                <w:b w:val="0"/>
              </w:rPr>
              <w:t>Are Q3 results tracking within revenue guidance?</w:t>
            </w:r>
          </w:p>
        </w:tc>
        <w:tc>
          <w:tcPr>
            <w:tcW w:type="dxa" w:w="1872"/>
            <w:vAlign w:val="center"/>
          </w:tcPr>
          <w:p>
            <w:r/>
            <w:r>
              <w:rPr>
                <w:b w:val="0"/>
              </w:rPr>
              <w:t>CFO</w:t>
            </w:r>
          </w:p>
        </w:tc>
        <w:tc>
          <w:tcPr>
            <w:tcW w:type="dxa" w:w="2448"/>
            <w:vAlign w:val="center"/>
          </w:tcPr>
          <w:p>
            <w:r/>
            <w:r>
              <w:rPr>
                <w:b w:val="0"/>
              </w:rPr>
              <w:t>Actuals, budget, guidance ranges</w:t>
            </w:r>
          </w:p>
        </w:tc>
        <w:tc>
          <w:tcPr>
            <w:tcW w:type="dxa" w:w="3600"/>
            <w:vAlign w:val="center"/>
          </w:tcPr>
          <w:p>
            <w:r/>
            <w:r>
              <w:rPr>
                <w:b w:val="0"/>
              </w:rPr>
              <w:t>Calculate actuals vs midpoint and explain variance</w:t>
            </w:r>
          </w:p>
        </w:tc>
      </w:tr>
      <w:tr>
        <w:tc>
          <w:tcPr>
            <w:tcW w:type="dxa" w:w="2592"/>
            <w:vAlign w:val="center"/>
          </w:tcPr>
          <w:p>
            <w:r/>
            <w:r>
              <w:rPr>
                <w:b w:val="0"/>
              </w:rPr>
              <w:t>Is Cloud Services margin pressure temporary?</w:t>
            </w:r>
          </w:p>
        </w:tc>
        <w:tc>
          <w:tcPr>
            <w:tcW w:type="dxa" w:w="1872"/>
            <w:vAlign w:val="center"/>
          </w:tcPr>
          <w:p>
            <w:r/>
            <w:r>
              <w:rPr>
                <w:b w:val="0"/>
              </w:rPr>
              <w:t>CTO / Cloud Finance</w:t>
            </w:r>
          </w:p>
        </w:tc>
        <w:tc>
          <w:tcPr>
            <w:tcW w:type="dxa" w:w="2448"/>
            <w:vAlign w:val="center"/>
          </w:tcPr>
          <w:p>
            <w:r/>
            <w:r>
              <w:rPr>
                <w:b w:val="0"/>
              </w:rPr>
              <w:t>COGS, hosting costs, margin narrative</w:t>
            </w:r>
          </w:p>
        </w:tc>
        <w:tc>
          <w:tcPr>
            <w:tcW w:type="dxa" w:w="3600"/>
            <w:vAlign w:val="center"/>
          </w:tcPr>
          <w:p>
            <w:r/>
            <w:r>
              <w:rPr>
                <w:b w:val="0"/>
              </w:rPr>
              <w:t>Retrieve margin commentary and compute trend</w:t>
            </w:r>
          </w:p>
        </w:tc>
      </w:tr>
      <w:tr>
        <w:tc>
          <w:tcPr>
            <w:tcW w:type="dxa" w:w="2592"/>
            <w:vAlign w:val="center"/>
          </w:tcPr>
          <w:p>
            <w:r/>
            <w:r>
              <w:rPr>
                <w:b w:val="0"/>
              </w:rPr>
              <w:t>Are growth investments paying off?</w:t>
            </w:r>
          </w:p>
        </w:tc>
        <w:tc>
          <w:tcPr>
            <w:tcW w:type="dxa" w:w="1872"/>
            <w:vAlign w:val="center"/>
          </w:tcPr>
          <w:p>
            <w:r/>
            <w:r>
              <w:rPr>
                <w:b w:val="0"/>
              </w:rPr>
              <w:t>CEO / CFO</w:t>
            </w:r>
          </w:p>
        </w:tc>
        <w:tc>
          <w:tcPr>
            <w:tcW w:type="dxa" w:w="2448"/>
            <w:vAlign w:val="center"/>
          </w:tcPr>
          <w:p>
            <w:r/>
            <w:r>
              <w:rPr>
                <w:b w:val="0"/>
              </w:rPr>
              <w:t>Opex, bookings, revenue growth</w:t>
            </w:r>
          </w:p>
        </w:tc>
        <w:tc>
          <w:tcPr>
            <w:tcW w:type="dxa" w:w="3600"/>
            <w:vAlign w:val="center"/>
          </w:tcPr>
          <w:p>
            <w:r/>
            <w:r>
              <w:rPr>
                <w:b w:val="0"/>
              </w:rPr>
              <w:t>Compare revenue growth to operating expense trend</w:t>
            </w:r>
          </w:p>
        </w:tc>
      </w:tr>
      <w:tr>
        <w:tc>
          <w:tcPr>
            <w:tcW w:type="dxa" w:w="2592"/>
            <w:vAlign w:val="center"/>
          </w:tcPr>
          <w:p>
            <w:r/>
            <w:r>
              <w:rPr>
                <w:b w:val="0"/>
              </w:rPr>
              <w:t>Which business unit is driving EBITDA?</w:t>
            </w:r>
          </w:p>
        </w:tc>
        <w:tc>
          <w:tcPr>
            <w:tcW w:type="dxa" w:w="1872"/>
            <w:vAlign w:val="center"/>
          </w:tcPr>
          <w:p>
            <w:r/>
            <w:r>
              <w:rPr>
                <w:b w:val="0"/>
              </w:rPr>
              <w:t>CFO / COO</w:t>
            </w:r>
          </w:p>
        </w:tc>
        <w:tc>
          <w:tcPr>
            <w:tcW w:type="dxa" w:w="2448"/>
            <w:vAlign w:val="center"/>
          </w:tcPr>
          <w:p>
            <w:r/>
            <w:r>
              <w:rPr>
                <w:b w:val="0"/>
              </w:rPr>
              <w:t>Revenue, COGS, Opex by BU</w:t>
            </w:r>
          </w:p>
        </w:tc>
        <w:tc>
          <w:tcPr>
            <w:tcW w:type="dxa" w:w="3600"/>
            <w:vAlign w:val="center"/>
          </w:tcPr>
          <w:p>
            <w:r/>
            <w:r>
              <w:rPr>
                <w:b w:val="0"/>
              </w:rPr>
              <w:t>Compute EBITDA by business unit</w:t>
            </w:r>
          </w:p>
        </w:tc>
      </w:tr>
      <w:tr>
        <w:tc>
          <w:tcPr>
            <w:tcW w:type="dxa" w:w="2592"/>
            <w:vAlign w:val="center"/>
          </w:tcPr>
          <w:p>
            <w:r/>
            <w:r>
              <w:rPr>
                <w:b w:val="0"/>
              </w:rPr>
              <w:t>What could derail FY2027 growth?</w:t>
            </w:r>
          </w:p>
        </w:tc>
        <w:tc>
          <w:tcPr>
            <w:tcW w:type="dxa" w:w="1872"/>
            <w:vAlign w:val="center"/>
          </w:tcPr>
          <w:p>
            <w:r/>
            <w:r>
              <w:rPr>
                <w:b w:val="0"/>
              </w:rPr>
              <w:t>CEO / Board Chair</w:t>
            </w:r>
          </w:p>
        </w:tc>
        <w:tc>
          <w:tcPr>
            <w:tcW w:type="dxa" w:w="2448"/>
            <w:vAlign w:val="center"/>
          </w:tcPr>
          <w:p>
            <w:r/>
            <w:r>
              <w:rPr>
                <w:b w:val="0"/>
              </w:rPr>
              <w:t>Outlook, headwinds, scenario assumptions</w:t>
            </w:r>
          </w:p>
        </w:tc>
        <w:tc>
          <w:tcPr>
            <w:tcW w:type="dxa" w:w="3600"/>
            <w:vAlign w:val="center"/>
          </w:tcPr>
          <w:p>
            <w:r/>
            <w:r>
              <w:rPr>
                <w:b w:val="0"/>
              </w:rPr>
              <w:t>Summarize strategic risk factors with citations</w:t>
            </w:r>
          </w:p>
        </w:tc>
      </w:tr>
    </w:tbl>
    <w:p/>
    <w:p>
      <w:pPr>
        <w:pStyle w:val="Heading1"/>
      </w:pPr>
      <w:r>
        <w:rPr>
          <w:color w:val="1F4E79"/>
        </w:rPr>
        <w:t>Guidance Governance</w:t>
      </w:r>
    </w:p>
    <w:p>
      <w:pPr>
        <w:pStyle w:val="ListBullet"/>
      </w:pPr>
      <w:r>
        <w:t>Guidance ranges should be sourced from the guidance assumptions workbook or quarterly guidance document.</w:t>
      </w:r>
    </w:p>
    <w:p>
      <w:pPr>
        <w:pStyle w:val="ListBullet"/>
      </w:pPr>
      <w:r>
        <w:t>Actual performance should be sourced from finance_actuals and reconciled to the monthly close tracker.</w:t>
      </w:r>
    </w:p>
    <w:p>
      <w:pPr>
        <w:pStyle w:val="ListBullet"/>
      </w:pPr>
      <w:r>
        <w:t>Narrative explanations should cite the relevant quarterly report section or strategic outlook section.</w:t>
      </w:r>
    </w:p>
    <w:p>
      <w:pPr>
        <w:pStyle w:val="ListBullet"/>
      </w:pPr>
      <w:r>
        <w:t>The copilot should not infer external market data or real-time performance for this MVP.</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Board Briefing Packet - Synthetic capstone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