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Cloud Services Margin Deep Dive</w:t>
      </w:r>
    </w:p>
    <w:p>
      <w:pPr>
        <w:jc w:val="center"/>
      </w:pPr>
      <w:r>
        <w:rPr>
          <w:i/>
          <w:sz w:val="20"/>
        </w:rPr>
        <w:t>Source document for Cloud Services margin and hosting cost explanations</w:t>
      </w:r>
    </w:p>
    <w:p>
      <w:pPr>
        <w:jc w:val="center"/>
      </w:pPr>
      <w:r>
        <w:t>Synthetic sample document for AI capstone training. Not client or production data.</w:t>
      </w:r>
    </w:p>
    <w:p>
      <w:pPr>
        <w:pStyle w:val="Heading1"/>
      </w:pPr>
      <w:r>
        <w:t>Executive Summary</w:t>
      </w:r>
    </w:p>
    <w:p>
      <w:r>
        <w:t>This report explains margin movement in Cloud Services. The business unit includes subscription revenue and managed services revenue. The key gross margin driver is cloud hosting cost, which is recorded as COGS.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584"/>
            <w:shd w:fill="1F4E78"/>
          </w:tcPr>
          <w:p>
            <w:r>
              <w:rPr>
                <w:b/>
              </w:rPr>
              <w:t>Month</w:t>
            </w:r>
          </w:p>
        </w:tc>
        <w:tc>
          <w:tcPr>
            <w:tcW w:type="dxa" w:w="1728"/>
            <w:shd w:fill="1F4E78"/>
          </w:tcPr>
          <w:p>
            <w:r>
              <w:rPr>
                <w:b/>
              </w:rPr>
              <w:t>Revenue</w:t>
            </w:r>
          </w:p>
        </w:tc>
        <w:tc>
          <w:tcPr>
            <w:tcW w:type="dxa" w:w="1728"/>
            <w:shd w:fill="1F4E78"/>
          </w:tcPr>
          <w:p>
            <w:r>
              <w:rPr>
                <w:b/>
              </w:rPr>
              <w:t>COGS</w:t>
            </w:r>
          </w:p>
        </w:tc>
        <w:tc>
          <w:tcPr>
            <w:tcW w:type="dxa" w:w="1728"/>
            <w:shd w:fill="1F4E78"/>
          </w:tcPr>
          <w:p>
            <w:r>
              <w:rPr>
                <w:b/>
              </w:rPr>
              <w:t>Gross Margin</w:t>
            </w:r>
          </w:p>
        </w:tc>
        <w:tc>
          <w:tcPr>
            <w:tcW w:type="dxa" w:w="1728"/>
            <w:shd w:fill="1F4E78"/>
          </w:tcPr>
          <w:p>
            <w:r>
              <w:rPr>
                <w:b/>
              </w:rPr>
              <w:t>EBITDA</w:t>
            </w:r>
          </w:p>
        </w:tc>
      </w:tr>
      <w:tr>
        <w:tc>
          <w:tcPr>
            <w:tcW w:type="dxa" w:w="1584"/>
            <w:vAlign w:val="top"/>
          </w:tcPr>
          <w:p>
            <w:r>
              <w:t>Jan 2026</w:t>
            </w:r>
          </w:p>
        </w:tc>
        <w:tc>
          <w:tcPr>
            <w:tcW w:type="dxa" w:w="1728"/>
            <w:vAlign w:val="top"/>
          </w:tcPr>
          <w:p>
            <w:r>
              <w:t>$1.07M</w:t>
            </w:r>
          </w:p>
        </w:tc>
        <w:tc>
          <w:tcPr>
            <w:tcW w:type="dxa" w:w="1728"/>
            <w:vAlign w:val="top"/>
          </w:tcPr>
          <w:p>
            <w:r>
              <w:t>$0.49M</w:t>
            </w:r>
          </w:p>
        </w:tc>
        <w:tc>
          <w:tcPr>
            <w:tcW w:type="dxa" w:w="1728"/>
            <w:vAlign w:val="top"/>
          </w:tcPr>
          <w:p>
            <w:r>
              <w:t>54.0%</w:t>
            </w:r>
          </w:p>
        </w:tc>
        <w:tc>
          <w:tcPr>
            <w:tcW w:type="dxa" w:w="1728"/>
            <w:vAlign w:val="top"/>
          </w:tcPr>
          <w:p>
            <w:r>
              <w:t>$0.33M</w:t>
            </w:r>
          </w:p>
        </w:tc>
      </w:tr>
      <w:tr>
        <w:tc>
          <w:tcPr>
            <w:tcW w:type="dxa" w:w="1584"/>
            <w:vAlign w:val="top"/>
          </w:tcPr>
          <w:p>
            <w:r>
              <w:t>Feb 2026</w:t>
            </w:r>
          </w:p>
        </w:tc>
        <w:tc>
          <w:tcPr>
            <w:tcW w:type="dxa" w:w="1728"/>
            <w:vAlign w:val="top"/>
          </w:tcPr>
          <w:p>
            <w:r>
              <w:t>$1.10M</w:t>
            </w:r>
          </w:p>
        </w:tc>
        <w:tc>
          <w:tcPr>
            <w:tcW w:type="dxa" w:w="1728"/>
            <w:vAlign w:val="top"/>
          </w:tcPr>
          <w:p>
            <w:r>
              <w:t>$0.50M</w:t>
            </w:r>
          </w:p>
        </w:tc>
        <w:tc>
          <w:tcPr>
            <w:tcW w:type="dxa" w:w="1728"/>
            <w:vAlign w:val="top"/>
          </w:tcPr>
          <w:p>
            <w:r>
              <w:t>54.0%</w:t>
            </w:r>
          </w:p>
        </w:tc>
        <w:tc>
          <w:tcPr>
            <w:tcW w:type="dxa" w:w="1728"/>
            <w:vAlign w:val="top"/>
          </w:tcPr>
          <w:p>
            <w:r>
              <w:t>$0.34M</w:t>
            </w:r>
          </w:p>
        </w:tc>
      </w:tr>
      <w:tr>
        <w:tc>
          <w:tcPr>
            <w:tcW w:type="dxa" w:w="1584"/>
            <w:vAlign w:val="top"/>
          </w:tcPr>
          <w:p>
            <w:r>
              <w:t>Mar 2026</w:t>
            </w:r>
          </w:p>
        </w:tc>
        <w:tc>
          <w:tcPr>
            <w:tcW w:type="dxa" w:w="1728"/>
            <w:vAlign w:val="top"/>
          </w:tcPr>
          <w:p>
            <w:r>
              <w:t>$1.12M</w:t>
            </w:r>
          </w:p>
        </w:tc>
        <w:tc>
          <w:tcPr>
            <w:tcW w:type="dxa" w:w="1728"/>
            <w:vAlign w:val="top"/>
          </w:tcPr>
          <w:p>
            <w:r>
              <w:t>$0.52M</w:t>
            </w:r>
          </w:p>
        </w:tc>
        <w:tc>
          <w:tcPr>
            <w:tcW w:type="dxa" w:w="1728"/>
            <w:vAlign w:val="top"/>
          </w:tcPr>
          <w:p>
            <w:r>
              <w:t>54.0%</w:t>
            </w:r>
          </w:p>
        </w:tc>
        <w:tc>
          <w:tcPr>
            <w:tcW w:type="dxa" w:w="1728"/>
            <w:vAlign w:val="top"/>
          </w:tcPr>
          <w:p>
            <w:r>
              <w:t>$0.35M</w:t>
            </w:r>
          </w:p>
        </w:tc>
      </w:tr>
      <w:tr>
        <w:tc>
          <w:tcPr>
            <w:tcW w:type="dxa" w:w="1584"/>
            <w:vAlign w:val="top"/>
          </w:tcPr>
          <w:p>
            <w:r>
              <w:t>Apr 2026</w:t>
            </w:r>
          </w:p>
        </w:tc>
        <w:tc>
          <w:tcPr>
            <w:tcW w:type="dxa" w:w="1728"/>
            <w:vAlign w:val="top"/>
          </w:tcPr>
          <w:p>
            <w:r>
              <w:t>$1.15M</w:t>
            </w:r>
          </w:p>
        </w:tc>
        <w:tc>
          <w:tcPr>
            <w:tcW w:type="dxa" w:w="1728"/>
            <w:vAlign w:val="top"/>
          </w:tcPr>
          <w:p>
            <w:r>
              <w:t>$0.53M</w:t>
            </w:r>
          </w:p>
        </w:tc>
        <w:tc>
          <w:tcPr>
            <w:tcW w:type="dxa" w:w="1728"/>
            <w:vAlign w:val="top"/>
          </w:tcPr>
          <w:p>
            <w:r>
              <w:t>54.0%</w:t>
            </w:r>
          </w:p>
        </w:tc>
        <w:tc>
          <w:tcPr>
            <w:tcW w:type="dxa" w:w="1728"/>
            <w:vAlign w:val="top"/>
          </w:tcPr>
          <w:p>
            <w:r>
              <w:t>$0.36M</w:t>
            </w:r>
          </w:p>
        </w:tc>
      </w:tr>
      <w:tr>
        <w:tc>
          <w:tcPr>
            <w:tcW w:type="dxa" w:w="1584"/>
            <w:vAlign w:val="top"/>
          </w:tcPr>
          <w:p>
            <w:r>
              <w:t>May 2026</w:t>
            </w:r>
          </w:p>
        </w:tc>
        <w:tc>
          <w:tcPr>
            <w:tcW w:type="dxa" w:w="1728"/>
            <w:vAlign w:val="top"/>
          </w:tcPr>
          <w:p>
            <w:r>
              <w:t>$1.21M</w:t>
            </w:r>
          </w:p>
        </w:tc>
        <w:tc>
          <w:tcPr>
            <w:tcW w:type="dxa" w:w="1728"/>
            <w:vAlign w:val="top"/>
          </w:tcPr>
          <w:p>
            <w:r>
              <w:t>$0.56M</w:t>
            </w:r>
          </w:p>
        </w:tc>
        <w:tc>
          <w:tcPr>
            <w:tcW w:type="dxa" w:w="1728"/>
            <w:vAlign w:val="top"/>
          </w:tcPr>
          <w:p>
            <w:r>
              <w:t>54.0%</w:t>
            </w:r>
          </w:p>
        </w:tc>
        <w:tc>
          <w:tcPr>
            <w:tcW w:type="dxa" w:w="1728"/>
            <w:vAlign w:val="top"/>
          </w:tcPr>
          <w:p>
            <w:r>
              <w:t>$0.38M</w:t>
            </w:r>
          </w:p>
        </w:tc>
      </w:tr>
      <w:tr>
        <w:tc>
          <w:tcPr>
            <w:tcW w:type="dxa" w:w="1584"/>
            <w:vAlign w:val="top"/>
          </w:tcPr>
          <w:p>
            <w:r>
              <w:t>Jun 2026</w:t>
            </w:r>
          </w:p>
        </w:tc>
        <w:tc>
          <w:tcPr>
            <w:tcW w:type="dxa" w:w="1728"/>
            <w:vAlign w:val="top"/>
          </w:tcPr>
          <w:p>
            <w:r>
              <w:t>$1.24M</w:t>
            </w:r>
          </w:p>
        </w:tc>
        <w:tc>
          <w:tcPr>
            <w:tcW w:type="dxa" w:w="1728"/>
            <w:vAlign w:val="top"/>
          </w:tcPr>
          <w:p>
            <w:r>
              <w:t>$0.61M</w:t>
            </w:r>
          </w:p>
        </w:tc>
        <w:tc>
          <w:tcPr>
            <w:tcW w:type="dxa" w:w="1728"/>
            <w:vAlign w:val="top"/>
          </w:tcPr>
          <w:p>
            <w:r>
              <w:t>51.0%</w:t>
            </w:r>
          </w:p>
        </w:tc>
        <w:tc>
          <w:tcPr>
            <w:tcW w:type="dxa" w:w="1728"/>
            <w:vAlign w:val="top"/>
          </w:tcPr>
          <w:p>
            <w:r>
              <w:t>$0.34M</w:t>
            </w:r>
          </w:p>
        </w:tc>
      </w:tr>
      <w:tr>
        <w:tc>
          <w:tcPr>
            <w:tcW w:type="dxa" w:w="1584"/>
            <w:vAlign w:val="top"/>
          </w:tcPr>
          <w:p>
            <w:r>
              <w:t>Jul 2026</w:t>
            </w:r>
          </w:p>
        </w:tc>
        <w:tc>
          <w:tcPr>
            <w:tcW w:type="dxa" w:w="1728"/>
            <w:vAlign w:val="top"/>
          </w:tcPr>
          <w:p>
            <w:r>
              <w:t>$1.27M</w:t>
            </w:r>
          </w:p>
        </w:tc>
        <w:tc>
          <w:tcPr>
            <w:tcW w:type="dxa" w:w="1728"/>
            <w:vAlign w:val="top"/>
          </w:tcPr>
          <w:p>
            <w:r>
              <w:t>$0.58M</w:t>
            </w:r>
          </w:p>
        </w:tc>
        <w:tc>
          <w:tcPr>
            <w:tcW w:type="dxa" w:w="1728"/>
            <w:vAlign w:val="top"/>
          </w:tcPr>
          <w:p>
            <w:r>
              <w:t>54.0%</w:t>
            </w:r>
          </w:p>
        </w:tc>
        <w:tc>
          <w:tcPr>
            <w:tcW w:type="dxa" w:w="1728"/>
            <w:vAlign w:val="top"/>
          </w:tcPr>
          <w:p>
            <w:r>
              <w:t>$0.39M</w:t>
            </w:r>
          </w:p>
        </w:tc>
      </w:tr>
      <w:tr>
        <w:tc>
          <w:tcPr>
            <w:tcW w:type="dxa" w:w="1584"/>
            <w:vAlign w:val="top"/>
          </w:tcPr>
          <w:p>
            <w:r>
              <w:t>Aug 2026</w:t>
            </w:r>
          </w:p>
        </w:tc>
        <w:tc>
          <w:tcPr>
            <w:tcW w:type="dxa" w:w="1728"/>
            <w:vAlign w:val="top"/>
          </w:tcPr>
          <w:p>
            <w:r>
              <w:t>$1.29M</w:t>
            </w:r>
          </w:p>
        </w:tc>
        <w:tc>
          <w:tcPr>
            <w:tcW w:type="dxa" w:w="1728"/>
            <w:vAlign w:val="top"/>
          </w:tcPr>
          <w:p>
            <w:r>
              <w:t>$0.60M</w:t>
            </w:r>
          </w:p>
        </w:tc>
        <w:tc>
          <w:tcPr>
            <w:tcW w:type="dxa" w:w="1728"/>
            <w:vAlign w:val="top"/>
          </w:tcPr>
          <w:p>
            <w:r>
              <w:t>54.0%</w:t>
            </w:r>
          </w:p>
        </w:tc>
        <w:tc>
          <w:tcPr>
            <w:tcW w:type="dxa" w:w="1728"/>
            <w:vAlign w:val="top"/>
          </w:tcPr>
          <w:p>
            <w:r>
              <w:t>$0.40M</w:t>
            </w:r>
          </w:p>
        </w:tc>
      </w:tr>
      <w:tr>
        <w:tc>
          <w:tcPr>
            <w:tcW w:type="dxa" w:w="1584"/>
            <w:vAlign w:val="top"/>
          </w:tcPr>
          <w:p>
            <w:r>
              <w:t>Sep 2026</w:t>
            </w:r>
          </w:p>
        </w:tc>
        <w:tc>
          <w:tcPr>
            <w:tcW w:type="dxa" w:w="1728"/>
            <w:vAlign w:val="top"/>
          </w:tcPr>
          <w:p>
            <w:r>
              <w:t>$1.32M</w:t>
            </w:r>
          </w:p>
        </w:tc>
        <w:tc>
          <w:tcPr>
            <w:tcW w:type="dxa" w:w="1728"/>
            <w:vAlign w:val="top"/>
          </w:tcPr>
          <w:p>
            <w:r>
              <w:t>$0.61M</w:t>
            </w:r>
          </w:p>
        </w:tc>
        <w:tc>
          <w:tcPr>
            <w:tcW w:type="dxa" w:w="1728"/>
            <w:vAlign w:val="top"/>
          </w:tcPr>
          <w:p>
            <w:r>
              <w:t>54.0%</w:t>
            </w:r>
          </w:p>
        </w:tc>
        <w:tc>
          <w:tcPr>
            <w:tcW w:type="dxa" w:w="1728"/>
            <w:vAlign w:val="top"/>
          </w:tcPr>
          <w:p>
            <w:r>
              <w:t>$0.41M</w:t>
            </w:r>
          </w:p>
        </w:tc>
      </w:tr>
    </w:tbl>
    <w:p>
      <w:pPr>
        <w:pStyle w:val="Heading1"/>
      </w:pPr>
      <w:r>
        <w:t>Observations</w:t>
      </w:r>
    </w:p>
    <w:p>
      <w:pPr>
        <w:pStyle w:val="ListBullet"/>
      </w:pPr>
      <w:r>
        <w:t>Gross margin improved through May as subscription revenue scaled.</w:t>
      </w:r>
    </w:p>
    <w:p>
      <w:pPr>
        <w:pStyle w:val="ListBullet"/>
      </w:pPr>
      <w:r>
        <w:t>June margin softened due to higher hosting costs and planned sales campaign activity.</w:t>
      </w:r>
    </w:p>
    <w:p>
      <w:pPr>
        <w:pStyle w:val="ListBullet"/>
      </w:pPr>
      <w:r>
        <w:t>Managed services attach rate improved in Q2, supporting revenue growth.</w:t>
      </w:r>
    </w:p>
    <w:p>
      <w:pPr>
        <w:pStyle w:val="ListBullet"/>
      </w:pPr>
      <w:r>
        <w:t>The copilot should cite this report when explaining Cloud Services margin movement.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