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Company Profile and Stakeholder Overview</w:t>
      </w:r>
    </w:p>
    <w:p>
      <w:pPr>
        <w:jc w:val="center"/>
      </w:pPr>
      <w:r>
        <w:rPr>
          <w:i/>
          <w:color w:val="666666"/>
          <w:sz w:val="22"/>
        </w:rPr>
        <w:t>Synthetic data pack for Financial Analyst Copilot capstone - not real company data</w:t>
      </w:r>
    </w:p>
    <w:p/>
    <w:p>
      <w:pPr>
        <w:pStyle w:val="Heading1"/>
      </w:pPr>
      <w:r>
        <w:rPr>
          <w:color w:val="1F4E79"/>
        </w:rPr>
        <w:t>1. Company Overview</w:t>
      </w:r>
    </w:p>
    <w:p>
      <w:r>
        <w:t>Asteria Digital Solutions, Inc. is a fictional enterprise technology services company created for the Financial Analyst Copilot capstone. The company provides consulting, cloud modernization, managed operations, and data analytics services to enterprise clients. The dataset is synthetic and is designed to mimic the kind of structured and unstructured finance material a financial analyst might process during quarterly reporting.</w:t>
      </w:r>
    </w:p>
    <w:tbl>
      <w:tblPr>
        <w:tblStyle w:val="TableGrid"/>
        <w:tblW w:type="auto" w:w="0"/>
        <w:jc w:val="center"/>
        <w:tblLook w:firstColumn="1" w:firstRow="1" w:lastColumn="0" w:lastRow="0" w:noHBand="0" w:noVBand="1" w:val="04A0"/>
      </w:tblPr>
      <w:tblGrid>
        <w:gridCol w:w="5184"/>
        <w:gridCol w:w="5184"/>
      </w:tblGrid>
      <w:tr>
        <w:tc>
          <w:tcPr>
            <w:tcW w:type="dxa" w:w="2880"/>
            <w:vAlign w:val="center"/>
            <w:shd w:fill="1F4E79"/>
          </w:tcPr>
          <w:p>
            <w:r/>
            <w:r>
              <w:rPr>
                <w:b/>
                <w:color w:val="FFFFFF"/>
              </w:rPr>
              <w:t>Attribute</w:t>
            </w:r>
          </w:p>
        </w:tc>
        <w:tc>
          <w:tcPr>
            <w:tcW w:type="dxa" w:w="8064"/>
            <w:vAlign w:val="center"/>
            <w:shd w:fill="1F4E79"/>
          </w:tcPr>
          <w:p>
            <w:r/>
            <w:r>
              <w:rPr>
                <w:b/>
                <w:color w:val="FFFFFF"/>
              </w:rPr>
              <w:t>Synthetic Value</w:t>
            </w:r>
          </w:p>
        </w:tc>
      </w:tr>
      <w:tr>
        <w:tc>
          <w:tcPr>
            <w:tcW w:type="dxa" w:w="2880"/>
            <w:vAlign w:val="center"/>
          </w:tcPr>
          <w:p>
            <w:r/>
            <w:r>
              <w:rPr>
                <w:b w:val="0"/>
              </w:rPr>
              <w:t>company</w:t>
            </w:r>
          </w:p>
        </w:tc>
        <w:tc>
          <w:tcPr>
            <w:tcW w:type="dxa" w:w="8064"/>
            <w:vAlign w:val="center"/>
          </w:tcPr>
          <w:p>
            <w:r/>
            <w:r>
              <w:rPr>
                <w:b w:val="0"/>
              </w:rPr>
              <w:t>Asteria Digital Solutions, Inc.</w:t>
            </w:r>
          </w:p>
        </w:tc>
      </w:tr>
      <w:tr>
        <w:tc>
          <w:tcPr>
            <w:tcW w:type="dxa" w:w="2880"/>
            <w:vAlign w:val="center"/>
          </w:tcPr>
          <w:p>
            <w:r/>
            <w:r>
              <w:rPr>
                <w:b w:val="0"/>
              </w:rPr>
              <w:t>ticker</w:t>
            </w:r>
          </w:p>
        </w:tc>
        <w:tc>
          <w:tcPr>
            <w:tcW w:type="dxa" w:w="8064"/>
            <w:vAlign w:val="center"/>
          </w:tcPr>
          <w:p>
            <w:r/>
            <w:r>
              <w:rPr>
                <w:b w:val="0"/>
              </w:rPr>
              <w:t>ADSX (fictional)</w:t>
            </w:r>
          </w:p>
        </w:tc>
      </w:tr>
      <w:tr>
        <w:tc>
          <w:tcPr>
            <w:tcW w:type="dxa" w:w="2880"/>
            <w:vAlign w:val="center"/>
          </w:tcPr>
          <w:p>
            <w:r/>
            <w:r>
              <w:rPr>
                <w:b w:val="0"/>
              </w:rPr>
              <w:t>headquarters</w:t>
            </w:r>
          </w:p>
        </w:tc>
        <w:tc>
          <w:tcPr>
            <w:tcW w:type="dxa" w:w="8064"/>
            <w:vAlign w:val="center"/>
          </w:tcPr>
          <w:p>
            <w:r/>
            <w:r>
              <w:rPr>
                <w:b w:val="0"/>
              </w:rPr>
              <w:t>Arlington, Virginia</w:t>
            </w:r>
          </w:p>
        </w:tc>
      </w:tr>
      <w:tr>
        <w:tc>
          <w:tcPr>
            <w:tcW w:type="dxa" w:w="2880"/>
            <w:vAlign w:val="center"/>
          </w:tcPr>
          <w:p>
            <w:r/>
            <w:r>
              <w:rPr>
                <w:b w:val="0"/>
              </w:rPr>
              <w:t>industry</w:t>
            </w:r>
          </w:p>
        </w:tc>
        <w:tc>
          <w:tcPr>
            <w:tcW w:type="dxa" w:w="8064"/>
            <w:vAlign w:val="center"/>
          </w:tcPr>
          <w:p>
            <w:r/>
            <w:r>
              <w:rPr>
                <w:b w:val="0"/>
              </w:rPr>
              <w:t>Digital transformation, cloud modernization, managed operations, and data analytics services</w:t>
            </w:r>
          </w:p>
        </w:tc>
      </w:tr>
      <w:tr>
        <w:tc>
          <w:tcPr>
            <w:tcW w:type="dxa" w:w="2880"/>
            <w:vAlign w:val="center"/>
          </w:tcPr>
          <w:p>
            <w:r/>
            <w:r>
              <w:rPr>
                <w:b w:val="0"/>
              </w:rPr>
              <w:t>employees</w:t>
            </w:r>
          </w:p>
        </w:tc>
        <w:tc>
          <w:tcPr>
            <w:tcW w:type="dxa" w:w="8064"/>
            <w:vAlign w:val="center"/>
          </w:tcPr>
          <w:p>
            <w:r/>
            <w:r>
              <w:rPr>
                <w:b w:val="0"/>
              </w:rPr>
              <w:t>8,400 synthetic employee profiles across North America delivery centers</w:t>
            </w:r>
          </w:p>
        </w:tc>
      </w:tr>
      <w:tr>
        <w:tc>
          <w:tcPr>
            <w:tcW w:type="dxa" w:w="2880"/>
            <w:vAlign w:val="center"/>
          </w:tcPr>
          <w:p>
            <w:r/>
            <w:r>
              <w:rPr>
                <w:b w:val="0"/>
              </w:rPr>
              <w:t>fiscal_year</w:t>
            </w:r>
          </w:p>
        </w:tc>
        <w:tc>
          <w:tcPr>
            <w:tcW w:type="dxa" w:w="8064"/>
            <w:vAlign w:val="center"/>
          </w:tcPr>
          <w:p>
            <w:r/>
            <w:r>
              <w:rPr>
                <w:b w:val="0"/>
              </w:rPr>
              <w:t>Calendar fiscal year ending December 31</w:t>
            </w:r>
          </w:p>
        </w:tc>
      </w:tr>
      <w:tr>
        <w:tc>
          <w:tcPr>
            <w:tcW w:type="dxa" w:w="2880"/>
            <w:vAlign w:val="center"/>
          </w:tcPr>
          <w:p>
            <w:r/>
            <w:r>
              <w:rPr>
                <w:b w:val="0"/>
              </w:rPr>
              <w:t>core_segments</w:t>
            </w:r>
          </w:p>
        </w:tc>
        <w:tc>
          <w:tcPr>
            <w:tcW w:type="dxa" w:w="8064"/>
            <w:vAlign w:val="center"/>
          </w:tcPr>
          <w:p>
            <w:r/>
            <w:r>
              <w:rPr>
                <w:b w:val="0"/>
              </w:rPr>
              <w:t>North America Consulting, Cloud Services, Data &amp; Analytics, Managed Operations</w:t>
            </w:r>
          </w:p>
        </w:tc>
      </w:tr>
    </w:tbl>
    <w:p/>
    <w:p>
      <w:pPr>
        <w:pStyle w:val="Heading1"/>
      </w:pPr>
      <w:r>
        <w:rPr>
          <w:color w:val="1F4E79"/>
        </w:rPr>
        <w:t>2. Business Model</w:t>
      </w:r>
    </w:p>
    <w:p>
      <w:pPr>
        <w:pStyle w:val="ListBullet"/>
      </w:pPr>
      <w:r>
        <w:t>North America Consulting generates project-based professional services revenue tied to delivery labor and subcontractor utilization.</w:t>
      </w:r>
    </w:p>
    <w:p>
      <w:pPr>
        <w:pStyle w:val="ListBullet"/>
      </w:pPr>
      <w:r>
        <w:t>Cloud Services generates subscription and managed cloud services revenue, with gross margin sensitive to hosting costs and platform automation benefits.</w:t>
      </w:r>
    </w:p>
    <w:p>
      <w:pPr>
        <w:pStyle w:val="ListBullet"/>
      </w:pPr>
      <w:r>
        <w:t>Data &amp; Analytics delivers analytics modernization projects; revenue can fluctuate based on project milestone timing.</w:t>
      </w:r>
    </w:p>
    <w:p>
      <w:pPr>
        <w:pStyle w:val="ListBullet"/>
      </w:pPr>
      <w:r>
        <w:t>Managed Operations provides recurring managed services contracts with generally stable revenue and margin profile.</w:t>
      </w:r>
    </w:p>
    <w:p>
      <w:pPr>
        <w:pStyle w:val="Heading1"/>
      </w:pPr>
      <w:r>
        <w:rPr>
          <w:color w:val="1F4E79"/>
        </w:rPr>
        <w:t>3. Major Stakeholders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872"/>
            <w:vAlign w:val="center"/>
            <w:shd w:fill="1F4E79"/>
          </w:tcPr>
          <w:p>
            <w:r/>
            <w:r>
              <w:rPr>
                <w:b/>
                <w:color w:val="FFFFFF"/>
              </w:rPr>
              <w:t>Name</w:t>
            </w:r>
          </w:p>
        </w:tc>
        <w:tc>
          <w:tcPr>
            <w:tcW w:type="dxa" w:w="2160"/>
            <w:vAlign w:val="center"/>
            <w:shd w:fill="1F4E79"/>
          </w:tcPr>
          <w:p>
            <w:r/>
            <w:r>
              <w:rPr>
                <w:b/>
                <w:color w:val="FFFFFF"/>
              </w:rPr>
              <w:t>Role</w:t>
            </w:r>
          </w:p>
        </w:tc>
        <w:tc>
          <w:tcPr>
            <w:tcW w:type="dxa" w:w="2880"/>
            <w:vAlign w:val="center"/>
            <w:shd w:fill="1F4E79"/>
          </w:tcPr>
          <w:p>
            <w:r/>
            <w:r>
              <w:rPr>
                <w:b/>
                <w:color w:val="FFFFFF"/>
              </w:rPr>
              <w:t>Area of Interest</w:t>
            </w:r>
          </w:p>
        </w:tc>
        <w:tc>
          <w:tcPr>
            <w:tcW w:type="dxa" w:w="4032"/>
            <w:vAlign w:val="center"/>
            <w:shd w:fill="1F4E79"/>
          </w:tcPr>
          <w:p>
            <w:r/>
            <w:r>
              <w:rPr>
                <w:b/>
                <w:color w:val="FFFFFF"/>
              </w:rPr>
              <w:t>Finance Analyst Relevance</w:t>
            </w:r>
          </w:p>
        </w:tc>
      </w:tr>
      <w:tr>
        <w:tc>
          <w:tcPr>
            <w:tcW w:type="dxa" w:w="1872"/>
            <w:vAlign w:val="center"/>
          </w:tcPr>
          <w:p>
            <w:r/>
            <w:r>
              <w:rPr>
                <w:b w:val="0"/>
              </w:rPr>
              <w:t>Elena Marquez</w:t>
            </w:r>
          </w:p>
        </w:tc>
        <w:tc>
          <w:tcPr>
            <w:tcW w:type="dxa" w:w="2160"/>
            <w:vAlign w:val="center"/>
          </w:tcPr>
          <w:p>
            <w:r/>
            <w:r>
              <w:rPr>
                <w:b w:val="0"/>
              </w:rPr>
              <w:t>Chief Executive Officer</w:t>
            </w:r>
          </w:p>
        </w:tc>
        <w:tc>
          <w:tcPr>
            <w:tcW w:type="dxa" w:w="2880"/>
            <w:vAlign w:val="center"/>
          </w:tcPr>
          <w:p>
            <w:r/>
            <w:r>
              <w:rPr>
                <w:b w:val="0"/>
              </w:rPr>
              <w:t>Growth strategy, client relationships, portfolio mix</w:t>
            </w:r>
          </w:p>
        </w:tc>
        <w:tc>
          <w:tcPr>
            <w:tcW w:type="dxa" w:w="4032"/>
            <w:vAlign w:val="center"/>
          </w:tcPr>
          <w:p>
            <w:r/>
            <w:r>
              <w:rPr>
                <w:b w:val="0"/>
              </w:rPr>
              <w:t>Wants disciplined growth with a focus on recurring managed services revenue and margin resilience.</w:t>
            </w:r>
          </w:p>
        </w:tc>
      </w:tr>
      <w:tr>
        <w:tc>
          <w:tcPr>
            <w:tcW w:type="dxa" w:w="1872"/>
            <w:vAlign w:val="center"/>
          </w:tcPr>
          <w:p>
            <w:r/>
            <w:r>
              <w:rPr>
                <w:b w:val="0"/>
              </w:rPr>
              <w:t>Nathan Okafor</w:t>
            </w:r>
          </w:p>
        </w:tc>
        <w:tc>
          <w:tcPr>
            <w:tcW w:type="dxa" w:w="2160"/>
            <w:vAlign w:val="center"/>
          </w:tcPr>
          <w:p>
            <w:r/>
            <w:r>
              <w:rPr>
                <w:b w:val="0"/>
              </w:rPr>
              <w:t>Chief Financial Officer</w:t>
            </w:r>
          </w:p>
        </w:tc>
        <w:tc>
          <w:tcPr>
            <w:tcW w:type="dxa" w:w="2880"/>
            <w:vAlign w:val="center"/>
          </w:tcPr>
          <w:p>
            <w:r/>
            <w:r>
              <w:rPr>
                <w:b w:val="0"/>
              </w:rPr>
              <w:t>Financial guidance, capital allocation, investor messaging</w:t>
            </w:r>
          </w:p>
        </w:tc>
        <w:tc>
          <w:tcPr>
            <w:tcW w:type="dxa" w:w="4032"/>
            <w:vAlign w:val="center"/>
          </w:tcPr>
          <w:p>
            <w:r/>
            <w:r>
              <w:rPr>
                <w:b w:val="0"/>
              </w:rPr>
              <w:t>Prioritizes EBITDA conversion, cash collection, and clear variance explanations.</w:t>
            </w:r>
          </w:p>
        </w:tc>
      </w:tr>
      <w:tr>
        <w:tc>
          <w:tcPr>
            <w:tcW w:type="dxa" w:w="1872"/>
            <w:vAlign w:val="center"/>
          </w:tcPr>
          <w:p>
            <w:r/>
            <w:r>
              <w:rPr>
                <w:b w:val="0"/>
              </w:rPr>
              <w:t>Priya Raman</w:t>
            </w:r>
          </w:p>
        </w:tc>
        <w:tc>
          <w:tcPr>
            <w:tcW w:type="dxa" w:w="2160"/>
            <w:vAlign w:val="center"/>
          </w:tcPr>
          <w:p>
            <w:r/>
            <w:r>
              <w:rPr>
                <w:b w:val="0"/>
              </w:rPr>
              <w:t>Chief Operating Officer</w:t>
            </w:r>
          </w:p>
        </w:tc>
        <w:tc>
          <w:tcPr>
            <w:tcW w:type="dxa" w:w="2880"/>
            <w:vAlign w:val="center"/>
          </w:tcPr>
          <w:p>
            <w:r/>
            <w:r>
              <w:rPr>
                <w:b w:val="0"/>
              </w:rPr>
              <w:t>Delivery operations, utilization, staffing, quality</w:t>
            </w:r>
          </w:p>
        </w:tc>
        <w:tc>
          <w:tcPr>
            <w:tcW w:type="dxa" w:w="4032"/>
            <w:vAlign w:val="center"/>
          </w:tcPr>
          <w:p>
            <w:r/>
            <w:r>
              <w:rPr>
                <w:b w:val="0"/>
              </w:rPr>
              <w:t>Focused on improving billable utilization and reducing subcontractor dependence.</w:t>
            </w:r>
          </w:p>
        </w:tc>
      </w:tr>
      <w:tr>
        <w:tc>
          <w:tcPr>
            <w:tcW w:type="dxa" w:w="1872"/>
            <w:vAlign w:val="center"/>
          </w:tcPr>
          <w:p>
            <w:r/>
            <w:r>
              <w:rPr>
                <w:b w:val="0"/>
              </w:rPr>
              <w:t>Marcus Bell</w:t>
            </w:r>
          </w:p>
        </w:tc>
        <w:tc>
          <w:tcPr>
            <w:tcW w:type="dxa" w:w="2160"/>
            <w:vAlign w:val="center"/>
          </w:tcPr>
          <w:p>
            <w:r/>
            <w:r>
              <w:rPr>
                <w:b w:val="0"/>
              </w:rPr>
              <w:t>Chief Technology Officer</w:t>
            </w:r>
          </w:p>
        </w:tc>
        <w:tc>
          <w:tcPr>
            <w:tcW w:type="dxa" w:w="2880"/>
            <w:vAlign w:val="center"/>
          </w:tcPr>
          <w:p>
            <w:r/>
            <w:r>
              <w:rPr>
                <w:b w:val="0"/>
              </w:rPr>
              <w:t>AI delivery platform, cloud tooling, automation roadmap</w:t>
            </w:r>
          </w:p>
        </w:tc>
        <w:tc>
          <w:tcPr>
            <w:tcW w:type="dxa" w:w="4032"/>
            <w:vAlign w:val="center"/>
          </w:tcPr>
          <w:p>
            <w:r/>
            <w:r>
              <w:rPr>
                <w:b w:val="0"/>
              </w:rPr>
              <w:t>Sponsors automation investments expected to reduce cloud delivery cost per project.</w:t>
            </w:r>
          </w:p>
        </w:tc>
      </w:tr>
      <w:tr>
        <w:tc>
          <w:tcPr>
            <w:tcW w:type="dxa" w:w="1872"/>
            <w:vAlign w:val="center"/>
          </w:tcPr>
          <w:p>
            <w:r/>
            <w:r>
              <w:rPr>
                <w:b w:val="0"/>
              </w:rPr>
              <w:t>Sofia Chen</w:t>
            </w:r>
          </w:p>
        </w:tc>
        <w:tc>
          <w:tcPr>
            <w:tcW w:type="dxa" w:w="2160"/>
            <w:vAlign w:val="center"/>
          </w:tcPr>
          <w:p>
            <w:r/>
            <w:r>
              <w:rPr>
                <w:b w:val="0"/>
              </w:rPr>
              <w:t>Chief Revenue Officer</w:t>
            </w:r>
          </w:p>
        </w:tc>
        <w:tc>
          <w:tcPr>
            <w:tcW w:type="dxa" w:w="2880"/>
            <w:vAlign w:val="center"/>
          </w:tcPr>
          <w:p>
            <w:r/>
            <w:r>
              <w:rPr>
                <w:b w:val="0"/>
              </w:rPr>
              <w:t>Pipeline, pricing, retention, strategic accounts</w:t>
            </w:r>
          </w:p>
        </w:tc>
        <w:tc>
          <w:tcPr>
            <w:tcW w:type="dxa" w:w="4032"/>
            <w:vAlign w:val="center"/>
          </w:tcPr>
          <w:p>
            <w:r/>
            <w:r>
              <w:rPr>
                <w:b w:val="0"/>
              </w:rPr>
              <w:t>Tracks bookings, renewal risk, and enterprise cloud modernization demand.</w:t>
            </w:r>
          </w:p>
        </w:tc>
      </w:tr>
      <w:tr>
        <w:tc>
          <w:tcPr>
            <w:tcW w:type="dxa" w:w="1872"/>
            <w:vAlign w:val="center"/>
          </w:tcPr>
          <w:p>
            <w:r/>
            <w:r>
              <w:rPr>
                <w:b w:val="0"/>
              </w:rPr>
              <w:t>Maya Patel</w:t>
            </w:r>
          </w:p>
        </w:tc>
        <w:tc>
          <w:tcPr>
            <w:tcW w:type="dxa" w:w="2160"/>
            <w:vAlign w:val="center"/>
          </w:tcPr>
          <w:p>
            <w:r/>
            <w:r>
              <w:rPr>
                <w:b w:val="0"/>
              </w:rPr>
              <w:t>Audit Committee Chair</w:t>
            </w:r>
          </w:p>
        </w:tc>
        <w:tc>
          <w:tcPr>
            <w:tcW w:type="dxa" w:w="2880"/>
            <w:vAlign w:val="center"/>
          </w:tcPr>
          <w:p>
            <w:r/>
            <w:r>
              <w:rPr>
                <w:b w:val="0"/>
              </w:rPr>
              <w:t>Controls, data quality, risk and compliance</w:t>
            </w:r>
          </w:p>
        </w:tc>
        <w:tc>
          <w:tcPr>
            <w:tcW w:type="dxa" w:w="4032"/>
            <w:vAlign w:val="center"/>
          </w:tcPr>
          <w:p>
            <w:r/>
            <w:r>
              <w:rPr>
                <w:b w:val="0"/>
              </w:rPr>
              <w:t>Requires cited data sources and transparent metric definitions in finance reporting.</w:t>
            </w:r>
          </w:p>
        </w:tc>
      </w:tr>
      <w:tr>
        <w:tc>
          <w:tcPr>
            <w:tcW w:type="dxa" w:w="1872"/>
            <w:vAlign w:val="center"/>
          </w:tcPr>
          <w:p>
            <w:r/>
            <w:r>
              <w:rPr>
                <w:b w:val="0"/>
              </w:rPr>
              <w:t>Daniel Wexler</w:t>
            </w:r>
          </w:p>
        </w:tc>
        <w:tc>
          <w:tcPr>
            <w:tcW w:type="dxa" w:w="2160"/>
            <w:vAlign w:val="center"/>
          </w:tcPr>
          <w:p>
            <w:r/>
            <w:r>
              <w:rPr>
                <w:b w:val="0"/>
              </w:rPr>
              <w:t>Board Chair</w:t>
            </w:r>
          </w:p>
        </w:tc>
        <w:tc>
          <w:tcPr>
            <w:tcW w:type="dxa" w:w="2880"/>
            <w:vAlign w:val="center"/>
          </w:tcPr>
          <w:p>
            <w:r/>
            <w:r>
              <w:rPr>
                <w:b w:val="0"/>
              </w:rPr>
              <w:t>Board governance and long-range strategy</w:t>
            </w:r>
          </w:p>
        </w:tc>
        <w:tc>
          <w:tcPr>
            <w:tcW w:type="dxa" w:w="4032"/>
            <w:vAlign w:val="center"/>
          </w:tcPr>
          <w:p>
            <w:r/>
            <w:r>
              <w:rPr>
                <w:b w:val="0"/>
              </w:rPr>
              <w:t>Looks for simple executive narratives that connect KPIs to strategic execution.</w:t>
            </w:r>
          </w:p>
        </w:tc>
      </w:tr>
      <w:tr>
        <w:tc>
          <w:tcPr>
            <w:tcW w:type="dxa" w:w="1872"/>
            <w:vAlign w:val="center"/>
          </w:tcPr>
          <w:p>
            <w:r/>
            <w:r>
              <w:rPr>
                <w:b w:val="0"/>
              </w:rPr>
              <w:t>Jordan Ellis</w:t>
            </w:r>
          </w:p>
        </w:tc>
        <w:tc>
          <w:tcPr>
            <w:tcW w:type="dxa" w:w="2160"/>
            <w:vAlign w:val="center"/>
          </w:tcPr>
          <w:p>
            <w:r/>
            <w:r>
              <w:rPr>
                <w:b w:val="0"/>
              </w:rPr>
              <w:t>VP Finance Planning &amp; Analysis</w:t>
            </w:r>
          </w:p>
        </w:tc>
        <w:tc>
          <w:tcPr>
            <w:tcW w:type="dxa" w:w="2880"/>
            <w:vAlign w:val="center"/>
          </w:tcPr>
          <w:p>
            <w:r/>
            <w:r>
              <w:rPr>
                <w:b w:val="0"/>
              </w:rPr>
              <w:t>Quarterly guidance, budget variance, scenario modeling</w:t>
            </w:r>
          </w:p>
        </w:tc>
        <w:tc>
          <w:tcPr>
            <w:tcW w:type="dxa" w:w="4032"/>
            <w:vAlign w:val="center"/>
          </w:tcPr>
          <w:p>
            <w:r/>
            <w:r>
              <w:rPr>
                <w:b w:val="0"/>
              </w:rPr>
              <w:t>Primary internal sponsor for the Financial Analyst Copilot prototype.</w:t>
            </w:r>
          </w:p>
        </w:tc>
      </w:tr>
      <w:tr>
        <w:tc>
          <w:tcPr>
            <w:tcW w:type="dxa" w:w="1872"/>
            <w:vAlign w:val="center"/>
          </w:tcPr>
          <w:p>
            <w:r/>
            <w:r>
              <w:rPr>
                <w:b w:val="0"/>
              </w:rPr>
              <w:t>Amara Singh</w:t>
            </w:r>
          </w:p>
        </w:tc>
        <w:tc>
          <w:tcPr>
            <w:tcW w:type="dxa" w:w="2160"/>
            <w:vAlign w:val="center"/>
          </w:tcPr>
          <w:p>
            <w:r/>
            <w:r>
              <w:rPr>
                <w:b w:val="0"/>
              </w:rPr>
              <w:t>Director, Cloud Operations Finance</w:t>
            </w:r>
          </w:p>
        </w:tc>
        <w:tc>
          <w:tcPr>
            <w:tcW w:type="dxa" w:w="2880"/>
            <w:vAlign w:val="center"/>
          </w:tcPr>
          <w:p>
            <w:r/>
            <w:r>
              <w:rPr>
                <w:b w:val="0"/>
              </w:rPr>
              <w:t>Cloud gross margin, hosting costs, utilization</w:t>
            </w:r>
          </w:p>
        </w:tc>
        <w:tc>
          <w:tcPr>
            <w:tcW w:type="dxa" w:w="4032"/>
            <w:vAlign w:val="center"/>
          </w:tcPr>
          <w:p>
            <w:r/>
            <w:r>
              <w:rPr>
                <w:b w:val="0"/>
              </w:rPr>
              <w:t>Needs margin bridge analysis for Cloud Services.</w:t>
            </w:r>
          </w:p>
        </w:tc>
      </w:tr>
      <w:tr>
        <w:tc>
          <w:tcPr>
            <w:tcW w:type="dxa" w:w="1872"/>
            <w:vAlign w:val="center"/>
          </w:tcPr>
          <w:p>
            <w:r/>
            <w:r>
              <w:rPr>
                <w:b w:val="0"/>
              </w:rPr>
              <w:t>Victor Alvarez</w:t>
            </w:r>
          </w:p>
        </w:tc>
        <w:tc>
          <w:tcPr>
            <w:tcW w:type="dxa" w:w="2160"/>
            <w:vAlign w:val="center"/>
          </w:tcPr>
          <w:p>
            <w:r/>
            <w:r>
              <w:rPr>
                <w:b w:val="0"/>
              </w:rPr>
              <w:t>Controller</w:t>
            </w:r>
          </w:p>
        </w:tc>
        <w:tc>
          <w:tcPr>
            <w:tcW w:type="dxa" w:w="2880"/>
            <w:vAlign w:val="center"/>
          </w:tcPr>
          <w:p>
            <w:r/>
            <w:r>
              <w:rPr>
                <w:b w:val="0"/>
              </w:rPr>
              <w:t>Monthly close, account mapping, financial controls</w:t>
            </w:r>
          </w:p>
        </w:tc>
        <w:tc>
          <w:tcPr>
            <w:tcW w:type="dxa" w:w="4032"/>
            <w:vAlign w:val="center"/>
          </w:tcPr>
          <w:p>
            <w:r/>
            <w:r>
              <w:rPr>
                <w:b w:val="0"/>
              </w:rPr>
              <w:t>Needs consistent definitions across actuals, budget, and reporting packages.</w:t>
            </w:r>
          </w:p>
        </w:tc>
      </w:tr>
    </w:tbl>
    <w:p/>
    <w:p>
      <w:pPr>
        <w:pStyle w:val="Heading1"/>
      </w:pPr>
      <w:r>
        <w:rPr>
          <w:color w:val="1F4E79"/>
        </w:rPr>
        <w:t>4. How This Document Should Be Used by the Copilot</w:t>
      </w:r>
    </w:p>
    <w:p>
      <w:pPr>
        <w:pStyle w:val="ListBullet"/>
      </w:pPr>
      <w:r>
        <w:t>Use this document to answer high-level questions about the fictional company, its business units, and leadership team.</w:t>
      </w:r>
    </w:p>
    <w:p>
      <w:pPr>
        <w:pStyle w:val="ListBullet"/>
      </w:pPr>
      <w:r>
        <w:t>Use stakeholder profiles to enrich explanations of which executive or function is likely to care about a KPI, variance, or quarterly trend.</w:t>
      </w:r>
    </w:p>
    <w:p>
      <w:pPr>
        <w:pStyle w:val="ListBullet"/>
      </w:pPr>
      <w:r>
        <w:t>Do not use this document as a source for numeric KPI calculations. Use structured tables for calculations and cite this document only for company/stakeholder context.</w:t>
      </w:r>
    </w:p>
    <w:p>
      <w:pPr>
        <w:pStyle w:val="Heading1"/>
      </w:pPr>
      <w:r>
        <w:rPr>
          <w:color w:val="1F4E79"/>
        </w:rPr>
        <w:t>5. Example Questions Supported</w:t>
      </w:r>
    </w:p>
    <w:p>
      <w:pPr>
        <w:pStyle w:val="ListBullet"/>
      </w:pPr>
      <w:r>
        <w:t>Who is the CEO of Asteria Digital Solutions?</w:t>
      </w:r>
    </w:p>
    <w:p>
      <w:pPr>
        <w:pStyle w:val="ListBullet"/>
      </w:pPr>
      <w:r>
        <w:t>Which stakeholder owns quarterly financial guidance?</w:t>
      </w:r>
    </w:p>
    <w:p>
      <w:pPr>
        <w:pStyle w:val="ListBullet"/>
      </w:pPr>
      <w:r>
        <w:t>Who would care about Cloud Services margin pressure?</w:t>
      </w:r>
    </w:p>
    <w:p>
      <w:pPr>
        <w:pStyle w:val="ListBullet"/>
      </w:pPr>
      <w:r>
        <w:t>What business units does the company operate?</w:t>
      </w:r>
    </w:p>
    <w:sectPr w:rsidR="00FC693F" w:rsidRPr="0006063C" w:rsidSect="00034616">
      <w:footerReference w:type="default" r:id="rId9"/>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6"/>
      </w:rPr>
      <w:t>Company Profile and Stakeholder Overview - Synthetic capstone data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