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Company and Stakeholder Operating Context - Deep Dive</w:t>
      </w:r>
    </w:p>
    <w:p>
      <w:pPr>
        <w:jc w:val="center"/>
      </w:pPr>
      <w:r>
        <w:rPr>
          <w:i/>
          <w:color w:val="0E7C86"/>
          <w:sz w:val="26"/>
        </w:rPr>
        <w:t>Fictional company background, leadership priorities, stakeholder needs, and copilot context</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Stakeholder Context</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Company Profile</w:t>
      </w:r>
    </w:p>
    <w:p>
      <w:pPr>
        <w:spacing w:after="140" w:line="259" w:lineRule="auto"/>
      </w:pPr>
      <w:r>
        <w:t>Asteria Digital Solutions, Inc. is a fictional enterprise technology services company created for the Financial Analyst Copilot capstone. The company provides consulting, cloud modernization, managed operations, and data analytics services to enterprise clients. The sample business model intentionally creates multiple finance use cases: recurring revenue, project revenue, COGS mix, operating expense control, margin pressure, and management guidance.</w:t>
      </w:r>
    </w:p>
    <w:p>
      <w:pPr>
        <w:spacing w:after="140" w:line="259" w:lineRule="auto"/>
      </w:pPr>
      <w:r>
        <w:t>The company operates through four primary business units: North America Consulting, Cloud Services, Data &amp; Analytics, and Managed Operations. Corporate Shared Services supports finance, legal, HR, and technology governance. The finance analyst copilot is expected to answer questions using structured data, glossary definitions, and narrative documents rather than unsupported general knowledge.</w:t>
      </w:r>
    </w:p>
    <w:p>
      <w:pPr>
        <w:pStyle w:val="Heading1"/>
      </w:pPr>
      <w:r>
        <w:t>Business Model by Unit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Business unit</w:t>
            </w:r>
          </w:p>
        </w:tc>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Revenue model</w:t>
            </w:r>
          </w:p>
        </w:tc>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Primary KPI sensitivity</w:t>
            </w:r>
          </w:p>
        </w:tc>
        <w:tc>
          <w:tcPr>
            <w:tcW w:type="dxa" w:w="2520"/>
            <w:vAlign w:val="center"/>
            <w:tcMar>
              <w:top w:w="120" w:type="dxa"/>
              <w:start w:w="120" w:type="dxa"/>
              <w:bottom w:w="120" w:type="dxa"/>
              <w:end w:w="120" w:type="dxa"/>
            </w:tcMar>
            <w:shd w:fill="1F4E79"/>
          </w:tcPr>
          <w:p>
            <w:pPr>
              <w:spacing w:after="40"/>
            </w:pPr>
            <w:r>
              <w:rPr>
                <w:rFonts w:ascii="Aptos" w:hAnsi="Aptos"/>
                <w:b/>
                <w:color w:val="FFFFFF"/>
                <w:sz w:val="17"/>
              </w:rPr>
              <w:t>Common analyst question</w:t>
            </w:r>
          </w:p>
        </w:tc>
      </w:tr>
      <w:tr>
        <w:tc>
          <w:tcPr>
            <w:tcW w:type="dxa" w:w="2520"/>
            <w:vAlign w:val="center"/>
            <w:tcMar>
              <w:top w:w="120" w:type="dxa"/>
              <w:start w:w="120" w:type="dxa"/>
              <w:bottom w:w="120" w:type="dxa"/>
              <w:end w:w="120" w:type="dxa"/>
            </w:tcMar>
          </w:tcPr>
          <w:p>
            <w:pPr>
              <w:spacing w:after="40"/>
            </w:pPr>
            <w:r>
              <w:rPr>
                <w:rFonts w:ascii="Aptos" w:hAnsi="Aptos"/>
                <w:sz w:val="17"/>
              </w:rPr>
              <w:t>North America Consulting</w:t>
            </w:r>
          </w:p>
        </w:tc>
        <w:tc>
          <w:tcPr>
            <w:tcW w:type="dxa" w:w="2520"/>
            <w:vAlign w:val="center"/>
            <w:tcMar>
              <w:top w:w="120" w:type="dxa"/>
              <w:start w:w="120" w:type="dxa"/>
              <w:bottom w:w="120" w:type="dxa"/>
              <w:end w:w="120" w:type="dxa"/>
            </w:tcMar>
          </w:tcPr>
          <w:p>
            <w:pPr>
              <w:spacing w:after="40"/>
            </w:pPr>
            <w:r>
              <w:rPr>
                <w:rFonts w:ascii="Aptos" w:hAnsi="Aptos"/>
                <w:sz w:val="17"/>
              </w:rPr>
              <w:t>Project-based professional services</w:t>
            </w:r>
          </w:p>
        </w:tc>
        <w:tc>
          <w:tcPr>
            <w:tcW w:type="dxa" w:w="2520"/>
            <w:vAlign w:val="center"/>
            <w:tcMar>
              <w:top w:w="120" w:type="dxa"/>
              <w:start w:w="120" w:type="dxa"/>
              <w:bottom w:w="120" w:type="dxa"/>
              <w:end w:w="120" w:type="dxa"/>
            </w:tcMar>
          </w:tcPr>
          <w:p>
            <w:pPr>
              <w:spacing w:after="40"/>
            </w:pPr>
            <w:r>
              <w:rPr>
                <w:rFonts w:ascii="Aptos" w:hAnsi="Aptos"/>
                <w:sz w:val="17"/>
              </w:rPr>
              <w:t>Utilization, procurement timing, subcontractor cost</w:t>
            </w:r>
          </w:p>
        </w:tc>
        <w:tc>
          <w:tcPr>
            <w:tcW w:type="dxa" w:w="2520"/>
            <w:vAlign w:val="center"/>
            <w:tcMar>
              <w:top w:w="120" w:type="dxa"/>
              <w:start w:w="120" w:type="dxa"/>
              <w:bottom w:w="120" w:type="dxa"/>
              <w:end w:w="120" w:type="dxa"/>
            </w:tcMar>
          </w:tcPr>
          <w:p>
            <w:pPr>
              <w:spacing w:after="40"/>
            </w:pPr>
            <w:r>
              <w:rPr>
                <w:rFonts w:ascii="Aptos" w:hAnsi="Aptos"/>
                <w:sz w:val="17"/>
              </w:rPr>
              <w:t>Did consulting revenue miss budget because of demand or delayed starts?</w:t>
            </w:r>
          </w:p>
        </w:tc>
      </w:tr>
      <w:tr>
        <w:tc>
          <w:tcPr>
            <w:tcW w:type="dxa" w:w="2520"/>
            <w:vAlign w:val="center"/>
            <w:tcMar>
              <w:top w:w="120" w:type="dxa"/>
              <w:start w:w="120" w:type="dxa"/>
              <w:bottom w:w="120" w:type="dxa"/>
              <w:end w:w="120" w:type="dxa"/>
            </w:tcMar>
            <w:shd w:fill="F8FBFC"/>
          </w:tcPr>
          <w:p>
            <w:pPr>
              <w:spacing w:after="40"/>
            </w:pPr>
            <w:r>
              <w:rPr>
                <w:rFonts w:ascii="Aptos" w:hAnsi="Aptos"/>
                <w:sz w:val="17"/>
              </w:rPr>
              <w:t>Cloud Services</w:t>
            </w:r>
          </w:p>
        </w:tc>
        <w:tc>
          <w:tcPr>
            <w:tcW w:type="dxa" w:w="2520"/>
            <w:vAlign w:val="center"/>
            <w:tcMar>
              <w:top w:w="120" w:type="dxa"/>
              <w:start w:w="120" w:type="dxa"/>
              <w:bottom w:w="120" w:type="dxa"/>
              <w:end w:w="120" w:type="dxa"/>
            </w:tcMar>
            <w:shd w:fill="F8FBFC"/>
          </w:tcPr>
          <w:p>
            <w:pPr>
              <w:spacing w:after="40"/>
            </w:pPr>
            <w:r>
              <w:rPr>
                <w:rFonts w:ascii="Aptos" w:hAnsi="Aptos"/>
                <w:sz w:val="17"/>
              </w:rPr>
              <w:t>Subscription and managed cloud services</w:t>
            </w:r>
          </w:p>
        </w:tc>
        <w:tc>
          <w:tcPr>
            <w:tcW w:type="dxa" w:w="2520"/>
            <w:vAlign w:val="center"/>
            <w:tcMar>
              <w:top w:w="120" w:type="dxa"/>
              <w:start w:w="120" w:type="dxa"/>
              <w:bottom w:w="120" w:type="dxa"/>
              <w:end w:w="120" w:type="dxa"/>
            </w:tcMar>
            <w:shd w:fill="F8FBFC"/>
          </w:tcPr>
          <w:p>
            <w:pPr>
              <w:spacing w:after="40"/>
            </w:pPr>
            <w:r>
              <w:rPr>
                <w:rFonts w:ascii="Aptos" w:hAnsi="Aptos"/>
                <w:sz w:val="17"/>
              </w:rPr>
              <w:t>Hosting costs, pass-through clauses, automation savings</w:t>
            </w:r>
          </w:p>
        </w:tc>
        <w:tc>
          <w:tcPr>
            <w:tcW w:type="dxa" w:w="2520"/>
            <w:vAlign w:val="center"/>
            <w:tcMar>
              <w:top w:w="120" w:type="dxa"/>
              <w:start w:w="120" w:type="dxa"/>
              <w:bottom w:w="120" w:type="dxa"/>
              <w:end w:w="120" w:type="dxa"/>
            </w:tcMar>
            <w:shd w:fill="F8FBFC"/>
          </w:tcPr>
          <w:p>
            <w:pPr>
              <w:spacing w:after="40"/>
            </w:pPr>
            <w:r>
              <w:rPr>
                <w:rFonts w:ascii="Aptos" w:hAnsi="Aptos"/>
                <w:sz w:val="17"/>
              </w:rPr>
              <w:t>Why did Cloud Services revenue grow while margin softened?</w:t>
            </w:r>
          </w:p>
        </w:tc>
      </w:tr>
      <w:tr>
        <w:tc>
          <w:tcPr>
            <w:tcW w:type="dxa" w:w="2520"/>
            <w:vAlign w:val="center"/>
            <w:tcMar>
              <w:top w:w="120" w:type="dxa"/>
              <w:start w:w="120" w:type="dxa"/>
              <w:bottom w:w="120" w:type="dxa"/>
              <w:end w:w="120" w:type="dxa"/>
            </w:tcMar>
          </w:tcPr>
          <w:p>
            <w:pPr>
              <w:spacing w:after="40"/>
            </w:pPr>
            <w:r>
              <w:rPr>
                <w:rFonts w:ascii="Aptos" w:hAnsi="Aptos"/>
                <w:sz w:val="17"/>
              </w:rPr>
              <w:t>Data &amp; Analytics</w:t>
            </w:r>
          </w:p>
        </w:tc>
        <w:tc>
          <w:tcPr>
            <w:tcW w:type="dxa" w:w="2520"/>
            <w:vAlign w:val="center"/>
            <w:tcMar>
              <w:top w:w="120" w:type="dxa"/>
              <w:start w:w="120" w:type="dxa"/>
              <w:bottom w:w="120" w:type="dxa"/>
              <w:end w:w="120" w:type="dxa"/>
            </w:tcMar>
          </w:tcPr>
          <w:p>
            <w:pPr>
              <w:spacing w:after="40"/>
            </w:pPr>
            <w:r>
              <w:rPr>
                <w:rFonts w:ascii="Aptos" w:hAnsi="Aptos"/>
                <w:sz w:val="17"/>
              </w:rPr>
              <w:t>Milestone-based analytics modernization projects</w:t>
            </w:r>
          </w:p>
        </w:tc>
        <w:tc>
          <w:tcPr>
            <w:tcW w:type="dxa" w:w="2520"/>
            <w:vAlign w:val="center"/>
            <w:tcMar>
              <w:top w:w="120" w:type="dxa"/>
              <w:start w:w="120" w:type="dxa"/>
              <w:bottom w:w="120" w:type="dxa"/>
              <w:end w:w="120" w:type="dxa"/>
            </w:tcMar>
          </w:tcPr>
          <w:p>
            <w:pPr>
              <w:spacing w:after="40"/>
            </w:pPr>
            <w:r>
              <w:rPr>
                <w:rFonts w:ascii="Aptos" w:hAnsi="Aptos"/>
                <w:sz w:val="17"/>
              </w:rPr>
              <w:t>Client acceptance, milestone timing, project mix</w:t>
            </w:r>
          </w:p>
        </w:tc>
        <w:tc>
          <w:tcPr>
            <w:tcW w:type="dxa" w:w="2520"/>
            <w:vAlign w:val="center"/>
            <w:tcMar>
              <w:top w:w="120" w:type="dxa"/>
              <w:start w:w="120" w:type="dxa"/>
              <w:bottom w:w="120" w:type="dxa"/>
              <w:end w:w="120" w:type="dxa"/>
            </w:tcMar>
          </w:tcPr>
          <w:p>
            <w:pPr>
              <w:spacing w:after="40"/>
            </w:pPr>
            <w:r>
              <w:rPr>
                <w:rFonts w:ascii="Aptos" w:hAnsi="Aptos"/>
                <w:sz w:val="17"/>
              </w:rPr>
              <w:t>Was the June revenue decline a timing issue?</w:t>
            </w:r>
          </w:p>
        </w:tc>
      </w:tr>
      <w:tr>
        <w:tc>
          <w:tcPr>
            <w:tcW w:type="dxa" w:w="2520"/>
            <w:vAlign w:val="center"/>
            <w:tcMar>
              <w:top w:w="120" w:type="dxa"/>
              <w:start w:w="120" w:type="dxa"/>
              <w:bottom w:w="120" w:type="dxa"/>
              <w:end w:w="120" w:type="dxa"/>
            </w:tcMar>
            <w:shd w:fill="F8FBFC"/>
          </w:tcPr>
          <w:p>
            <w:pPr>
              <w:spacing w:after="40"/>
            </w:pPr>
            <w:r>
              <w:rPr>
                <w:rFonts w:ascii="Aptos" w:hAnsi="Aptos"/>
                <w:sz w:val="17"/>
              </w:rPr>
              <w:t>Managed Operations</w:t>
            </w:r>
          </w:p>
        </w:tc>
        <w:tc>
          <w:tcPr>
            <w:tcW w:type="dxa" w:w="2520"/>
            <w:vAlign w:val="center"/>
            <w:tcMar>
              <w:top w:w="120" w:type="dxa"/>
              <w:start w:w="120" w:type="dxa"/>
              <w:bottom w:w="120" w:type="dxa"/>
              <w:end w:w="120" w:type="dxa"/>
            </w:tcMar>
            <w:shd w:fill="F8FBFC"/>
          </w:tcPr>
          <w:p>
            <w:pPr>
              <w:spacing w:after="40"/>
            </w:pPr>
            <w:r>
              <w:rPr>
                <w:rFonts w:ascii="Aptos" w:hAnsi="Aptos"/>
                <w:sz w:val="17"/>
              </w:rPr>
              <w:t>Recurring managed services contracts</w:t>
            </w:r>
          </w:p>
        </w:tc>
        <w:tc>
          <w:tcPr>
            <w:tcW w:type="dxa" w:w="2520"/>
            <w:vAlign w:val="center"/>
            <w:tcMar>
              <w:top w:w="120" w:type="dxa"/>
              <w:start w:w="120" w:type="dxa"/>
              <w:bottom w:w="120" w:type="dxa"/>
              <w:end w:w="120" w:type="dxa"/>
            </w:tcMar>
            <w:shd w:fill="F8FBFC"/>
          </w:tcPr>
          <w:p>
            <w:pPr>
              <w:spacing w:after="40"/>
            </w:pPr>
            <w:r>
              <w:rPr>
                <w:rFonts w:ascii="Aptos" w:hAnsi="Aptos"/>
                <w:sz w:val="17"/>
              </w:rPr>
              <w:t>Renewals, churn, automation, service quality</w:t>
            </w:r>
          </w:p>
        </w:tc>
        <w:tc>
          <w:tcPr>
            <w:tcW w:type="dxa" w:w="2520"/>
            <w:vAlign w:val="center"/>
            <w:tcMar>
              <w:top w:w="120" w:type="dxa"/>
              <w:start w:w="120" w:type="dxa"/>
              <w:bottom w:w="120" w:type="dxa"/>
              <w:end w:w="120" w:type="dxa"/>
            </w:tcMar>
            <w:shd w:fill="F8FBFC"/>
          </w:tcPr>
          <w:p>
            <w:pPr>
              <w:spacing w:after="40"/>
            </w:pPr>
            <w:r>
              <w:rPr>
                <w:rFonts w:ascii="Aptos" w:hAnsi="Aptos"/>
                <w:sz w:val="17"/>
              </w:rPr>
              <w:t>How durable is managed operations revenue?</w:t>
            </w:r>
          </w:p>
        </w:tc>
      </w:tr>
    </w:tbl>
    <w:p/>
    <w:p>
      <w:pPr>
        <w:pStyle w:val="Heading1"/>
      </w:pPr>
      <w:r>
        <w:t>Leadership and Stakeholder Profiles</w:t>
      </w:r>
    </w:p>
    <w:p>
      <w:pPr>
        <w:pStyle w:val="Heading2"/>
      </w:pPr>
      <w:r>
        <w:t>Elena Marquez - Chief Executive Officer</w:t>
      </w:r>
    </w:p>
    <w:p>
      <w:pPr>
        <w:spacing w:after="140" w:line="259" w:lineRule="auto"/>
      </w:pPr>
      <w:r>
        <w:t>Primary focus: Growth strategy, strategic clients, portfolio mix, and long-range value creation.</w:t>
      </w:r>
    </w:p>
    <w:p>
      <w:pPr>
        <w:spacing w:after="140" w:line="259" w:lineRule="auto"/>
      </w:pPr>
      <w:r>
        <w:t>Decision style: Elena Marquez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Nathan Okafor - Chief Financial Officer</w:t>
      </w:r>
    </w:p>
    <w:p>
      <w:pPr>
        <w:spacing w:after="140" w:line="259" w:lineRule="auto"/>
      </w:pPr>
      <w:r>
        <w:t>Primary focus: Financial guidance, EBITDA conversion, cash collection, investor messaging, and governance.</w:t>
      </w:r>
    </w:p>
    <w:p>
      <w:pPr>
        <w:spacing w:after="140" w:line="259" w:lineRule="auto"/>
      </w:pPr>
      <w:r>
        <w:t>Decision style: Nathan Okafor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Priya Raman - Chief Operating Officer</w:t>
      </w:r>
    </w:p>
    <w:p>
      <w:pPr>
        <w:spacing w:after="140" w:line="259" w:lineRule="auto"/>
      </w:pPr>
      <w:r>
        <w:t>Primary focus: Delivery utilization, staffing, quality, subcontractor controls, and operational execution.</w:t>
      </w:r>
    </w:p>
    <w:p>
      <w:pPr>
        <w:spacing w:after="140" w:line="259" w:lineRule="auto"/>
      </w:pPr>
      <w:r>
        <w:t>Decision style: Priya Raman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Marcus Bell - Chief Technology Officer</w:t>
      </w:r>
    </w:p>
    <w:p>
      <w:pPr>
        <w:spacing w:after="140" w:line="259" w:lineRule="auto"/>
      </w:pPr>
      <w:r>
        <w:t>Primary focus: AI delivery platform, reusable accelerators, cloud tooling, and automation roadmap.</w:t>
      </w:r>
    </w:p>
    <w:p>
      <w:pPr>
        <w:spacing w:after="140" w:line="259" w:lineRule="auto"/>
      </w:pPr>
      <w:r>
        <w:t>Decision style: Marcus Bell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Sofia Chen - Chief Revenue Officer</w:t>
      </w:r>
    </w:p>
    <w:p>
      <w:pPr>
        <w:spacing w:after="140" w:line="259" w:lineRule="auto"/>
      </w:pPr>
      <w:r>
        <w:t>Primary focus: Pipeline quality, pricing discipline, renewals, cross-sell, and strategic accounts.</w:t>
      </w:r>
    </w:p>
    <w:p>
      <w:pPr>
        <w:spacing w:after="140" w:line="259" w:lineRule="auto"/>
      </w:pPr>
      <w:r>
        <w:t>Decision style: Sofia Chen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Maya Patel - Audit Committee Chair</w:t>
      </w:r>
    </w:p>
    <w:p>
      <w:pPr>
        <w:spacing w:after="140" w:line="259" w:lineRule="auto"/>
      </w:pPr>
      <w:r>
        <w:t>Primary focus: Controls, data lineage, disclosure discipline, and traceable financial narratives.</w:t>
      </w:r>
    </w:p>
    <w:p>
      <w:pPr>
        <w:spacing w:after="140" w:line="259" w:lineRule="auto"/>
      </w:pPr>
      <w:r>
        <w:t>Decision style: Maya Patel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Daniel Wexler - Board Chair</w:t>
      </w:r>
    </w:p>
    <w:p>
      <w:pPr>
        <w:spacing w:after="140" w:line="259" w:lineRule="auto"/>
      </w:pPr>
      <w:r>
        <w:t>Primary focus: Long-range strategy, capital allocation, and executive-level narrative simplicity.</w:t>
      </w:r>
    </w:p>
    <w:p>
      <w:pPr>
        <w:spacing w:after="140" w:line="259" w:lineRule="auto"/>
      </w:pPr>
      <w:r>
        <w:t>Decision style: Daniel Wexler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2"/>
      </w:pPr>
      <w:r>
        <w:t>Jordan Ellis - VP FP&amp;A</w:t>
      </w:r>
    </w:p>
    <w:p>
      <w:pPr>
        <w:spacing w:after="140" w:line="259" w:lineRule="auto"/>
      </w:pPr>
      <w:r>
        <w:t>Primary focus: Quarterly guidance, scenario modeling, variance bridges, and copilot adoption.</w:t>
      </w:r>
    </w:p>
    <w:p>
      <w:pPr>
        <w:spacing w:after="140" w:line="259" w:lineRule="auto"/>
      </w:pPr>
      <w:r>
        <w:t>Decision style: Jordan Ellis prefers concise, evidence-backed narratives that connect KPI movement to business action. The stakeholder expects the copilot to separate factual calculation from interpretation and to identify when the available data is insufficient.</w:t>
      </w:r>
    </w:p>
    <w:p>
      <w:pPr>
        <w:spacing w:after="140" w:line="259" w:lineRule="auto"/>
      </w:pPr>
      <w:r>
        <w:t>Likely questions: What changed, why did it change, is the change temporary or structural, what action is management taking, and what source supports the explanation?</w:t>
      </w:r>
    </w:p>
    <w:p>
      <w:pPr>
        <w:pStyle w:val="ListBullet"/>
        <w:spacing w:after="60"/>
      </w:pPr>
      <w:r>
        <w:t>Preferred output: direct answer, formula or calculation note, source citations, assumptions, and follow-up options.</w:t>
      </w:r>
    </w:p>
    <w:p>
      <w:pPr>
        <w:pStyle w:val="ListBullet"/>
        <w:spacing w:after="60"/>
      </w:pPr>
      <w:r>
        <w:t>High-risk response pattern: broad claims without metric, period, business unit, or citation.</w:t>
      </w:r>
    </w:p>
    <w:p>
      <w:pPr>
        <w:pStyle w:val="ListBullet"/>
        <w:spacing w:after="60"/>
      </w:pPr>
      <w:r>
        <w:t>Useful copilot behavior: ask a clarifying question when the prompt is too broad or unsupported.</w:t>
      </w:r>
    </w:p>
    <w:p>
      <w:pPr>
        <w:pStyle w:val="Heading1"/>
      </w:pPr>
      <w:r>
        <w:t>Stakeholder Conversation Snippets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0E7C86"/>
          </w:tcPr>
          <w:p>
            <w:pPr>
              <w:spacing w:after="40"/>
            </w:pPr>
            <w:r>
              <w:rPr>
                <w:rFonts w:ascii="Aptos" w:hAnsi="Aptos"/>
                <w:b/>
                <w:color w:val="FFFFFF"/>
                <w:sz w:val="17"/>
              </w:rPr>
              <w:t>Stakeholder</w:t>
            </w:r>
          </w:p>
        </w:tc>
        <w:tc>
          <w:tcPr>
            <w:tcW w:type="dxa" w:w="5040"/>
            <w:vAlign w:val="center"/>
            <w:tcMar>
              <w:top w:w="120" w:type="dxa"/>
              <w:start w:w="120" w:type="dxa"/>
              <w:bottom w:w="120" w:type="dxa"/>
              <w:end w:w="120" w:type="dxa"/>
            </w:tcMar>
            <w:shd w:fill="0E7C86"/>
          </w:tcPr>
          <w:p>
            <w:pPr>
              <w:spacing w:after="40"/>
            </w:pPr>
            <w:r>
              <w:rPr>
                <w:rFonts w:ascii="Aptos" w:hAnsi="Aptos"/>
                <w:b/>
                <w:color w:val="FFFFFF"/>
                <w:sz w:val="17"/>
              </w:rPr>
              <w:t>Synthetic commentary</w:t>
            </w:r>
          </w:p>
        </w:tc>
      </w:tr>
      <w:tr>
        <w:tc>
          <w:tcPr>
            <w:tcW w:type="dxa" w:w="5040"/>
            <w:vAlign w:val="center"/>
            <w:tcMar>
              <w:top w:w="120" w:type="dxa"/>
              <w:start w:w="120" w:type="dxa"/>
              <w:bottom w:w="120" w:type="dxa"/>
              <w:end w:w="120" w:type="dxa"/>
            </w:tcMar>
          </w:tcPr>
          <w:p>
            <w:pPr>
              <w:spacing w:after="40"/>
            </w:pPr>
            <w:r>
              <w:rPr>
                <w:rFonts w:ascii="Aptos" w:hAnsi="Aptos"/>
                <w:sz w:val="17"/>
              </w:rPr>
              <w:t>Elena Marquez</w:t>
            </w:r>
          </w:p>
        </w:tc>
        <w:tc>
          <w:tcPr>
            <w:tcW w:type="dxa" w:w="5040"/>
            <w:vAlign w:val="center"/>
            <w:tcMar>
              <w:top w:w="120" w:type="dxa"/>
              <w:start w:w="120" w:type="dxa"/>
              <w:bottom w:w="120" w:type="dxa"/>
              <w:end w:w="120" w:type="dxa"/>
            </w:tcMar>
          </w:tcPr>
          <w:p>
            <w:pPr>
              <w:spacing w:after="40"/>
            </w:pPr>
            <w:r>
              <w:rPr>
                <w:rFonts w:ascii="Aptos" w:hAnsi="Aptos"/>
                <w:sz w:val="17"/>
              </w:rPr>
              <w:t>When we describe growth, I want the answer to say whether growth is recurring, project-based, or timing-driven. Not all revenue is equally durable.</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Nathan Okafor</w:t>
            </w:r>
          </w:p>
        </w:tc>
        <w:tc>
          <w:tcPr>
            <w:tcW w:type="dxa" w:w="5040"/>
            <w:vAlign w:val="center"/>
            <w:tcMar>
              <w:top w:w="120" w:type="dxa"/>
              <w:start w:w="120" w:type="dxa"/>
              <w:bottom w:w="120" w:type="dxa"/>
              <w:end w:w="120" w:type="dxa"/>
            </w:tcMar>
            <w:shd w:fill="F8FBFC"/>
          </w:tcPr>
          <w:p>
            <w:pPr>
              <w:spacing w:after="40"/>
            </w:pPr>
            <w:r>
              <w:rPr>
                <w:rFonts w:ascii="Aptos" w:hAnsi="Aptos"/>
                <w:sz w:val="17"/>
              </w:rPr>
              <w:t>For any margin answer, show the formula and the COGS components. If hosting costs are the explanation, prove it with data and cite the report narrative separately.</w:t>
            </w:r>
          </w:p>
        </w:tc>
      </w:tr>
      <w:tr>
        <w:tc>
          <w:tcPr>
            <w:tcW w:type="dxa" w:w="5040"/>
            <w:vAlign w:val="center"/>
            <w:tcMar>
              <w:top w:w="120" w:type="dxa"/>
              <w:start w:w="120" w:type="dxa"/>
              <w:bottom w:w="120" w:type="dxa"/>
              <w:end w:w="120" w:type="dxa"/>
            </w:tcMar>
          </w:tcPr>
          <w:p>
            <w:pPr>
              <w:spacing w:after="40"/>
            </w:pPr>
            <w:r>
              <w:rPr>
                <w:rFonts w:ascii="Aptos" w:hAnsi="Aptos"/>
                <w:sz w:val="17"/>
              </w:rPr>
              <w:t>Priya Raman</w:t>
            </w:r>
          </w:p>
        </w:tc>
        <w:tc>
          <w:tcPr>
            <w:tcW w:type="dxa" w:w="5040"/>
            <w:vAlign w:val="center"/>
            <w:tcMar>
              <w:top w:w="120" w:type="dxa"/>
              <w:start w:w="120" w:type="dxa"/>
              <w:bottom w:w="120" w:type="dxa"/>
              <w:end w:w="120" w:type="dxa"/>
            </w:tcMar>
          </w:tcPr>
          <w:p>
            <w:pPr>
              <w:spacing w:after="40"/>
            </w:pPr>
            <w:r>
              <w:rPr>
                <w:rFonts w:ascii="Aptos" w:hAnsi="Aptos"/>
                <w:sz w:val="17"/>
              </w:rPr>
              <w:t>Delivery utilization is an operating metric, but it explains financial outcomes. The copilot should help analysts connect utilization to subcontractor spend and margin.</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Sofia Chen</w:t>
            </w:r>
          </w:p>
        </w:tc>
        <w:tc>
          <w:tcPr>
            <w:tcW w:type="dxa" w:w="5040"/>
            <w:vAlign w:val="center"/>
            <w:tcMar>
              <w:top w:w="120" w:type="dxa"/>
              <w:start w:w="120" w:type="dxa"/>
              <w:bottom w:w="120" w:type="dxa"/>
              <w:end w:w="120" w:type="dxa"/>
            </w:tcMar>
            <w:shd w:fill="F8FBFC"/>
          </w:tcPr>
          <w:p>
            <w:pPr>
              <w:spacing w:after="40"/>
            </w:pPr>
            <w:r>
              <w:rPr>
                <w:rFonts w:ascii="Aptos" w:hAnsi="Aptos"/>
                <w:sz w:val="17"/>
              </w:rPr>
              <w:t>Pipeline commentary should be clear about stage and timing. A delayed procurement cycle is different from lost demand.</w:t>
            </w:r>
          </w:p>
        </w:tc>
      </w:tr>
      <w:tr>
        <w:tc>
          <w:tcPr>
            <w:tcW w:type="dxa" w:w="5040"/>
            <w:vAlign w:val="center"/>
            <w:tcMar>
              <w:top w:w="120" w:type="dxa"/>
              <w:start w:w="120" w:type="dxa"/>
              <w:bottom w:w="120" w:type="dxa"/>
              <w:end w:w="120" w:type="dxa"/>
            </w:tcMar>
          </w:tcPr>
          <w:p>
            <w:pPr>
              <w:spacing w:after="40"/>
            </w:pPr>
            <w:r>
              <w:rPr>
                <w:rFonts w:ascii="Aptos" w:hAnsi="Aptos"/>
                <w:sz w:val="17"/>
              </w:rPr>
              <w:t>Maya Patel</w:t>
            </w:r>
          </w:p>
        </w:tc>
        <w:tc>
          <w:tcPr>
            <w:tcW w:type="dxa" w:w="5040"/>
            <w:vAlign w:val="center"/>
            <w:tcMar>
              <w:top w:w="120" w:type="dxa"/>
              <w:start w:w="120" w:type="dxa"/>
              <w:bottom w:w="120" w:type="dxa"/>
              <w:end w:w="120" w:type="dxa"/>
            </w:tcMar>
          </w:tcPr>
          <w:p>
            <w:pPr>
              <w:spacing w:after="40"/>
            </w:pPr>
            <w:r>
              <w:rPr>
                <w:rFonts w:ascii="Aptos" w:hAnsi="Aptos"/>
                <w:sz w:val="17"/>
              </w:rPr>
              <w:t>Every executive summary needs lineage. If the answer cannot cite the source, it should say that evidence is missing.</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Jordan Ellis</w:t>
            </w:r>
          </w:p>
        </w:tc>
        <w:tc>
          <w:tcPr>
            <w:tcW w:type="dxa" w:w="5040"/>
            <w:vAlign w:val="center"/>
            <w:tcMar>
              <w:top w:w="120" w:type="dxa"/>
              <w:start w:w="120" w:type="dxa"/>
              <w:bottom w:w="120" w:type="dxa"/>
              <w:end w:w="120" w:type="dxa"/>
            </w:tcMar>
            <w:shd w:fill="F8FBFC"/>
          </w:tcPr>
          <w:p>
            <w:pPr>
              <w:spacing w:after="40"/>
            </w:pPr>
            <w:r>
              <w:rPr>
                <w:rFonts w:ascii="Aptos" w:hAnsi="Aptos"/>
                <w:sz w:val="17"/>
              </w:rPr>
              <w:t>I want the prototype to be useful during variance reviews. It should quickly tell us which data table, formula, and report paragraph support the answer.</w:t>
            </w:r>
          </w:p>
        </w:tc>
      </w:tr>
    </w:tbl>
    <w:p/>
    <w:p>
      <w:pPr>
        <w:pStyle w:val="Heading1"/>
      </w:pPr>
      <w:r>
        <w:t>Governance Expectations for Copilot Responses</w:t>
      </w:r>
    </w:p>
    <w:p>
      <w:pPr>
        <w:pStyle w:val="ListNumber"/>
        <w:spacing w:after="60"/>
      </w:pPr>
      <w:r>
        <w:t>Numerical answers must be computed from structured data and should not be produced from narrative documents alone.</w:t>
      </w:r>
    </w:p>
    <w:p>
      <w:pPr>
        <w:pStyle w:val="ListNumber"/>
        <w:spacing w:after="60"/>
      </w:pPr>
      <w:r>
        <w:t>Metric definitions and formulas must come from the KPI registry or glossary source.</w:t>
      </w:r>
    </w:p>
    <w:p>
      <w:pPr>
        <w:pStyle w:val="ListNumber"/>
        <w:spacing w:after="60"/>
      </w:pPr>
      <w:r>
        <w:t>Narrative commentary should be cited as explanatory support, not as the calculation source.</w:t>
      </w:r>
    </w:p>
    <w:p>
      <w:pPr>
        <w:pStyle w:val="ListNumber"/>
        <w:spacing w:after="60"/>
      </w:pPr>
      <w:r>
        <w:t>External market data, stock prices, real-time exchange rates, or public company facts are out of scope for the synthetic MVP unless explicitly loaded into the data pack.</w:t>
      </w:r>
    </w:p>
    <w:p>
      <w:pPr>
        <w:pStyle w:val="ListNumber"/>
        <w:spacing w:after="60"/>
      </w:pPr>
      <w:r>
        <w:t>When the prompt is ambiguous, the copilot should ask the user to specify metric, period, business unit, and desired comparison.</w:t>
      </w:r>
    </w:p>
    <w:p>
      <w:r>
        <w:br w:type="page"/>
      </w:r>
    </w:p>
    <w:p>
      <w:pPr>
        <w:pStyle w:val="Heading1"/>
      </w:pPr>
      <w:r>
        <w:t>Appendix A: Expanded Stakeholder Context and Analyst Use Cases</w:t>
      </w:r>
    </w:p>
    <w:p>
      <w:pPr>
        <w:spacing w:after="140" w:line="259" w:lineRule="auto"/>
      </w:pPr>
      <w:r>
        <w:t>This appendix provides additional stakeholder detail so the copilot can answer questions about who cares about a metric, how executives interpret performance, and what level of evidence different leaders expect in finance narratives.</w:t>
      </w:r>
    </w:p>
    <w:p>
      <w:pPr>
        <w:pStyle w:val="Heading2"/>
      </w:pPr>
      <w:r>
        <w:t>Elena Marquez - expanded profile</w:t>
      </w:r>
    </w:p>
    <w:p>
      <w:pPr>
        <w:spacing w:after="140" w:line="259" w:lineRule="auto"/>
      </w:pPr>
      <w:r>
        <w:t>Elena Marquez serves as Chief Executive Officer. The primary area of interest is Portfolio growth, client confidence, and quality of revenue. This stakeholder uses finance commentary to make decisions about resourcing, investor messaging, operational tradeoffs, and risk prioritization.</w:t>
      </w:r>
    </w:p>
    <w:p>
      <w:pPr>
        <w:spacing w:after="140" w:line="259" w:lineRule="auto"/>
      </w:pPr>
      <w:r>
        <w:t>In quarterly reviews, Elena Marquez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Elena Marquez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Elena Marquez: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Nathan Okafor - expanded profile</w:t>
      </w:r>
    </w:p>
    <w:p>
      <w:pPr>
        <w:spacing w:after="140" w:line="259" w:lineRule="auto"/>
      </w:pPr>
      <w:r>
        <w:t>Nathan Okafor serves as Chief Financial Officer. The primary area of interest is Guidance accuracy, EBITDA conversion, and source-backed explanations. This stakeholder uses finance commentary to make decisions about resourcing, investor messaging, operational tradeoffs, and risk prioritization.</w:t>
      </w:r>
    </w:p>
    <w:p>
      <w:pPr>
        <w:spacing w:after="140" w:line="259" w:lineRule="auto"/>
      </w:pPr>
      <w:r>
        <w:t>In quarterly reviews, Nathan Okafor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Nathan Okafor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Nathan Okafor: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Priya Raman - expanded profile</w:t>
      </w:r>
    </w:p>
    <w:p>
      <w:pPr>
        <w:spacing w:after="140" w:line="259" w:lineRule="auto"/>
      </w:pPr>
      <w:r>
        <w:t>Priya Raman serves as Chief Operating Officer. The primary area of interest is Utilization, delivery capacity, and subcontractor controls. This stakeholder uses finance commentary to make decisions about resourcing, investor messaging, operational tradeoffs, and risk prioritization.</w:t>
      </w:r>
    </w:p>
    <w:p>
      <w:pPr>
        <w:spacing w:after="140" w:line="259" w:lineRule="auto"/>
      </w:pPr>
      <w:r>
        <w:t>In quarterly reviews, Priya Raman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Priya Raman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Priya Raman: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Marcus Bell - expanded profile</w:t>
      </w:r>
    </w:p>
    <w:p>
      <w:pPr>
        <w:spacing w:after="140" w:line="259" w:lineRule="auto"/>
      </w:pPr>
      <w:r>
        <w:t>Marcus Bell serves as Chief Technology Officer. The primary area of interest is AI delivery tooling, reusable accelerators, and cloud platform economics. This stakeholder uses finance commentary to make decisions about resourcing, investor messaging, operational tradeoffs, and risk prioritization.</w:t>
      </w:r>
    </w:p>
    <w:p>
      <w:pPr>
        <w:spacing w:after="140" w:line="259" w:lineRule="auto"/>
      </w:pPr>
      <w:r>
        <w:t>In quarterly reviews, Marcus Bell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Marcus Bell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Marcus Bell: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Sofia Chen - expanded profile</w:t>
      </w:r>
    </w:p>
    <w:p>
      <w:pPr>
        <w:spacing w:after="140" w:line="259" w:lineRule="auto"/>
      </w:pPr>
      <w:r>
        <w:t>Sofia Chen serves as Chief Revenue Officer. The primary area of interest is Pipeline conversion, pricing discipline, and renewal expansion. This stakeholder uses finance commentary to make decisions about resourcing, investor messaging, operational tradeoffs, and risk prioritization.</w:t>
      </w:r>
    </w:p>
    <w:p>
      <w:pPr>
        <w:spacing w:after="140" w:line="259" w:lineRule="auto"/>
      </w:pPr>
      <w:r>
        <w:t>In quarterly reviews, Sofia Chen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Sofia Chen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Sofia Chen: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Maya Patel - expanded profile</w:t>
      </w:r>
    </w:p>
    <w:p>
      <w:pPr>
        <w:spacing w:after="140" w:line="259" w:lineRule="auto"/>
      </w:pPr>
      <w:r>
        <w:t>Maya Patel serves as Audit Committee Chair. The primary area of interest is Controls, lineage, and citation discipline. This stakeholder uses finance commentary to make decisions about resourcing, investor messaging, operational tradeoffs, and risk prioritization.</w:t>
      </w:r>
    </w:p>
    <w:p>
      <w:pPr>
        <w:spacing w:after="140" w:line="259" w:lineRule="auto"/>
      </w:pPr>
      <w:r>
        <w:t>In quarterly reviews, Maya Patel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Maya Patel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Maya Patel: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Daniel Wexler - expanded profile</w:t>
      </w:r>
    </w:p>
    <w:p>
      <w:pPr>
        <w:spacing w:after="140" w:line="259" w:lineRule="auto"/>
      </w:pPr>
      <w:r>
        <w:t>Daniel Wexler serves as Board Chair. The primary area of interest is Long-range thesis and capital allocation narrative. This stakeholder uses finance commentary to make decisions about resourcing, investor messaging, operational tradeoffs, and risk prioritization.</w:t>
      </w:r>
    </w:p>
    <w:p>
      <w:pPr>
        <w:spacing w:after="140" w:line="259" w:lineRule="auto"/>
      </w:pPr>
      <w:r>
        <w:t>In quarterly reviews, Daniel Wexler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Daniel Wexler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Daniel Wexler: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Jordan Ellis - expanded profile</w:t>
      </w:r>
    </w:p>
    <w:p>
      <w:pPr>
        <w:spacing w:after="140" w:line="259" w:lineRule="auto"/>
      </w:pPr>
      <w:r>
        <w:t>Jordan Ellis serves as VP FP&amp;A. The primary area of interest is Scenario modeling, variance bridges, and copilot adoption. This stakeholder uses finance commentary to make decisions about resourcing, investor messaging, operational tradeoffs, and risk prioritization.</w:t>
      </w:r>
    </w:p>
    <w:p>
      <w:pPr>
        <w:spacing w:after="140" w:line="259" w:lineRule="auto"/>
      </w:pPr>
      <w:r>
        <w:t>In quarterly reviews, Jordan Ellis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Jordan Ellis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Jordan Ellis: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Amara Singh - expanded profile</w:t>
      </w:r>
    </w:p>
    <w:p>
      <w:pPr>
        <w:spacing w:after="140" w:line="259" w:lineRule="auto"/>
      </w:pPr>
      <w:r>
        <w:t>Amara Singh serves as Director, Cloud Operations Finance. The primary area of interest is Cloud gross margin, hosting cost variance, and contract-level profitability. This stakeholder uses finance commentary to make decisions about resourcing, investor messaging, operational tradeoffs, and risk prioritization.</w:t>
      </w:r>
    </w:p>
    <w:p>
      <w:pPr>
        <w:spacing w:after="140" w:line="259" w:lineRule="auto"/>
      </w:pPr>
      <w:r>
        <w:t>In quarterly reviews, Amara Singh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Amara Singh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Amara Singh: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2"/>
      </w:pPr>
      <w:r>
        <w:t>Victor Alvarez - expanded profile</w:t>
      </w:r>
    </w:p>
    <w:p>
      <w:pPr>
        <w:spacing w:after="140" w:line="259" w:lineRule="auto"/>
      </w:pPr>
      <w:r>
        <w:t>Victor Alvarez serves as Controller. The primary area of interest is Close quality, account mapping, and reconciled reporting definitions. This stakeholder uses finance commentary to make decisions about resourcing, investor messaging, operational tradeoffs, and risk prioritization.</w:t>
      </w:r>
    </w:p>
    <w:p>
      <w:pPr>
        <w:spacing w:after="140" w:line="259" w:lineRule="auto"/>
      </w:pPr>
      <w:r>
        <w:t>In quarterly reviews, Victor Alvarez expects the analyst narrative to distinguish between actual performance, forecast assumptions, and management opinion. The stakeholder is likely to challenge an answer that describes a tailwind or headwind without showing whether the related KPI actually moved.</w:t>
      </w:r>
    </w:p>
    <w:p>
      <w:pPr>
        <w:spacing w:after="140" w:line="259" w:lineRule="auto"/>
      </w:pPr>
      <w:r>
        <w:t>The copilot should tailor responses for Victor Alvarez by opening with a concise conclusion, then showing metric evidence, source citations, and limitations. If data is missing or ambiguous, the copilot should explicitly say what cannot be determined from the loaded corpus.</w:t>
      </w:r>
    </w:p>
    <w:p>
      <w:pPr>
        <w:pStyle w:val="ListBullet"/>
        <w:spacing w:after="60"/>
      </w:pPr>
      <w:r>
        <w:t>Likely question from Victor Alvarez: What changed this quarter and why?</w:t>
      </w:r>
    </w:p>
    <w:p>
      <w:pPr>
        <w:pStyle w:val="ListBullet"/>
        <w:spacing w:after="60"/>
      </w:pPr>
      <w:r>
        <w:t>Likely follow-up: Is the movement temporary, structural, or unsupported by current data?</w:t>
      </w:r>
    </w:p>
    <w:p>
      <w:pPr>
        <w:pStyle w:val="ListBullet"/>
        <w:spacing w:after="60"/>
      </w:pPr>
      <w:r>
        <w:t>Preferred evidence: KPI calculation, budget or prior-period comparison, and cited narrative context.</w:t>
      </w:r>
    </w:p>
    <w:p>
      <w:pPr>
        <w:pStyle w:val="Heading1"/>
      </w:pPr>
      <w:r>
        <w:t>Appendix B: Stakeholder-to-KPI Decision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tcMar>
              <w:top w:w="100" w:type="dxa"/>
              <w:start w:w="100" w:type="dxa"/>
              <w:bottom w:w="100" w:type="dxa"/>
              <w:end w:w="100" w:type="dxa"/>
            </w:tcMar>
            <w:shd w:fill="0E7C86"/>
          </w:tcPr>
          <w:p>
            <w:pPr>
              <w:spacing w:after="40"/>
            </w:pPr>
            <w:r>
              <w:rPr>
                <w:b/>
                <w:color w:val="FFFFFF"/>
                <w:sz w:val="17"/>
              </w:rPr>
              <w:t>Stakeholder group</w:t>
            </w:r>
          </w:p>
        </w:tc>
        <w:tc>
          <w:tcPr>
            <w:tcW w:type="dxa" w:w="2520"/>
            <w:vAlign w:val="center"/>
            <w:tcMar>
              <w:top w:w="100" w:type="dxa"/>
              <w:start w:w="100" w:type="dxa"/>
              <w:bottom w:w="100" w:type="dxa"/>
              <w:end w:w="100" w:type="dxa"/>
            </w:tcMar>
            <w:shd w:fill="0E7C86"/>
          </w:tcPr>
          <w:p>
            <w:pPr>
              <w:spacing w:after="40"/>
            </w:pPr>
            <w:r>
              <w:rPr>
                <w:b/>
                <w:color w:val="FFFFFF"/>
                <w:sz w:val="17"/>
              </w:rPr>
              <w:t>Primary KPIs</w:t>
            </w:r>
          </w:p>
        </w:tc>
        <w:tc>
          <w:tcPr>
            <w:tcW w:type="dxa" w:w="2520"/>
            <w:vAlign w:val="center"/>
            <w:tcMar>
              <w:top w:w="100" w:type="dxa"/>
              <w:start w:w="100" w:type="dxa"/>
              <w:bottom w:w="100" w:type="dxa"/>
              <w:end w:w="100" w:type="dxa"/>
            </w:tcMar>
            <w:shd w:fill="0E7C86"/>
          </w:tcPr>
          <w:p>
            <w:pPr>
              <w:spacing w:after="40"/>
            </w:pPr>
            <w:r>
              <w:rPr>
                <w:b/>
                <w:color w:val="FFFFFF"/>
                <w:sz w:val="17"/>
              </w:rPr>
              <w:t>Decision use</w:t>
            </w:r>
          </w:p>
        </w:tc>
        <w:tc>
          <w:tcPr>
            <w:tcW w:type="dxa" w:w="2520"/>
            <w:vAlign w:val="center"/>
            <w:tcMar>
              <w:top w:w="100" w:type="dxa"/>
              <w:start w:w="100" w:type="dxa"/>
              <w:bottom w:w="100" w:type="dxa"/>
              <w:end w:w="100" w:type="dxa"/>
            </w:tcMar>
            <w:shd w:fill="0E7C86"/>
          </w:tcPr>
          <w:p>
            <w:pPr>
              <w:spacing w:after="40"/>
            </w:pPr>
            <w:r>
              <w:rPr>
                <w:b/>
                <w:color w:val="FFFFFF"/>
                <w:sz w:val="17"/>
              </w:rPr>
              <w:t>Narrative risk</w:t>
            </w:r>
          </w:p>
        </w:tc>
      </w:tr>
      <w:tr>
        <w:tc>
          <w:tcPr>
            <w:tcW w:type="dxa" w:w="2520"/>
            <w:vAlign w:val="center"/>
            <w:tcMar>
              <w:top w:w="100" w:type="dxa"/>
              <w:start w:w="100" w:type="dxa"/>
              <w:bottom w:w="100" w:type="dxa"/>
              <w:end w:w="100" w:type="dxa"/>
            </w:tcMar>
          </w:tcPr>
          <w:p>
            <w:pPr>
              <w:spacing w:after="40"/>
            </w:pPr>
            <w:r>
              <w:rPr>
                <w:sz w:val="17"/>
              </w:rPr>
              <w:t>CEO and Board</w:t>
            </w:r>
          </w:p>
        </w:tc>
        <w:tc>
          <w:tcPr>
            <w:tcW w:type="dxa" w:w="2520"/>
            <w:vAlign w:val="center"/>
            <w:tcMar>
              <w:top w:w="100" w:type="dxa"/>
              <w:start w:w="100" w:type="dxa"/>
              <w:bottom w:w="100" w:type="dxa"/>
              <w:end w:w="100" w:type="dxa"/>
            </w:tcMar>
          </w:tcPr>
          <w:p>
            <w:pPr>
              <w:spacing w:after="40"/>
            </w:pPr>
            <w:r>
              <w:rPr>
                <w:sz w:val="17"/>
              </w:rPr>
              <w:t>Revenue growth, EBITDA, recurring revenue mix</w:t>
            </w:r>
          </w:p>
        </w:tc>
        <w:tc>
          <w:tcPr>
            <w:tcW w:type="dxa" w:w="2520"/>
            <w:vAlign w:val="center"/>
            <w:tcMar>
              <w:top w:w="100" w:type="dxa"/>
              <w:start w:w="100" w:type="dxa"/>
              <w:bottom w:w="100" w:type="dxa"/>
              <w:end w:w="100" w:type="dxa"/>
            </w:tcMar>
          </w:tcPr>
          <w:p>
            <w:pPr>
              <w:spacing w:after="40"/>
            </w:pPr>
            <w:r>
              <w:rPr>
                <w:sz w:val="17"/>
              </w:rPr>
              <w:t>Strategic allocation and external narrative</w:t>
            </w:r>
          </w:p>
        </w:tc>
        <w:tc>
          <w:tcPr>
            <w:tcW w:type="dxa" w:w="2520"/>
            <w:vAlign w:val="center"/>
            <w:tcMar>
              <w:top w:w="100" w:type="dxa"/>
              <w:start w:w="100" w:type="dxa"/>
              <w:bottom w:w="100" w:type="dxa"/>
              <w:end w:w="100" w:type="dxa"/>
            </w:tcMar>
          </w:tcPr>
          <w:p>
            <w:pPr>
              <w:spacing w:after="40"/>
            </w:pPr>
            <w:r>
              <w:rPr>
                <w:sz w:val="17"/>
              </w:rPr>
              <w:t>Overstating growth quality without recurrence evidence</w:t>
            </w:r>
          </w:p>
        </w:tc>
      </w:tr>
      <w:tr>
        <w:tc>
          <w:tcPr>
            <w:tcW w:type="dxa" w:w="2520"/>
            <w:vAlign w:val="center"/>
            <w:tcMar>
              <w:top w:w="100" w:type="dxa"/>
              <w:start w:w="100" w:type="dxa"/>
              <w:bottom w:w="100" w:type="dxa"/>
              <w:end w:w="100" w:type="dxa"/>
            </w:tcMar>
            <w:shd w:fill="F8FBFC"/>
          </w:tcPr>
          <w:p>
            <w:pPr>
              <w:spacing w:after="40"/>
            </w:pPr>
            <w:r>
              <w:rPr>
                <w:sz w:val="17"/>
              </w:rPr>
              <w:t>CFO and FP&amp;A</w:t>
            </w:r>
          </w:p>
        </w:tc>
        <w:tc>
          <w:tcPr>
            <w:tcW w:type="dxa" w:w="2520"/>
            <w:vAlign w:val="center"/>
            <w:tcMar>
              <w:top w:w="100" w:type="dxa"/>
              <w:start w:w="100" w:type="dxa"/>
              <w:bottom w:w="100" w:type="dxa"/>
              <w:end w:w="100" w:type="dxa"/>
            </w:tcMar>
            <w:shd w:fill="F8FBFC"/>
          </w:tcPr>
          <w:p>
            <w:pPr>
              <w:spacing w:after="40"/>
            </w:pPr>
            <w:r>
              <w:rPr>
                <w:sz w:val="17"/>
              </w:rPr>
              <w:t>Revenue, gross margin, EBITDA, budget variance</w:t>
            </w:r>
          </w:p>
        </w:tc>
        <w:tc>
          <w:tcPr>
            <w:tcW w:type="dxa" w:w="2520"/>
            <w:vAlign w:val="center"/>
            <w:tcMar>
              <w:top w:w="100" w:type="dxa"/>
              <w:start w:w="100" w:type="dxa"/>
              <w:bottom w:w="100" w:type="dxa"/>
              <w:end w:w="100" w:type="dxa"/>
            </w:tcMar>
            <w:shd w:fill="F8FBFC"/>
          </w:tcPr>
          <w:p>
            <w:pPr>
              <w:spacing w:after="40"/>
            </w:pPr>
            <w:r>
              <w:rPr>
                <w:sz w:val="17"/>
              </w:rPr>
              <w:t>Guidance and variance explanation</w:t>
            </w:r>
          </w:p>
        </w:tc>
        <w:tc>
          <w:tcPr>
            <w:tcW w:type="dxa" w:w="2520"/>
            <w:vAlign w:val="center"/>
            <w:tcMar>
              <w:top w:w="100" w:type="dxa"/>
              <w:start w:w="100" w:type="dxa"/>
              <w:bottom w:w="100" w:type="dxa"/>
              <w:end w:w="100" w:type="dxa"/>
            </w:tcMar>
            <w:shd w:fill="F8FBFC"/>
          </w:tcPr>
          <w:p>
            <w:pPr>
              <w:spacing w:after="40"/>
            </w:pPr>
            <w:r>
              <w:rPr>
                <w:sz w:val="17"/>
              </w:rPr>
              <w:t>Treating timing items as permanent changes</w:t>
            </w:r>
          </w:p>
        </w:tc>
      </w:tr>
      <w:tr>
        <w:tc>
          <w:tcPr>
            <w:tcW w:type="dxa" w:w="2520"/>
            <w:vAlign w:val="center"/>
            <w:tcMar>
              <w:top w:w="100" w:type="dxa"/>
              <w:start w:w="100" w:type="dxa"/>
              <w:bottom w:w="100" w:type="dxa"/>
              <w:end w:w="100" w:type="dxa"/>
            </w:tcMar>
          </w:tcPr>
          <w:p>
            <w:pPr>
              <w:spacing w:after="40"/>
            </w:pPr>
            <w:r>
              <w:rPr>
                <w:sz w:val="17"/>
              </w:rPr>
              <w:t>COO and Delivery</w:t>
            </w:r>
          </w:p>
        </w:tc>
        <w:tc>
          <w:tcPr>
            <w:tcW w:type="dxa" w:w="2520"/>
            <w:vAlign w:val="center"/>
            <w:tcMar>
              <w:top w:w="100" w:type="dxa"/>
              <w:start w:w="100" w:type="dxa"/>
              <w:bottom w:w="100" w:type="dxa"/>
              <w:end w:w="100" w:type="dxa"/>
            </w:tcMar>
          </w:tcPr>
          <w:p>
            <w:pPr>
              <w:spacing w:after="40"/>
            </w:pPr>
            <w:r>
              <w:rPr>
                <w:sz w:val="17"/>
              </w:rPr>
              <w:t>Utilization, COGS, subcontractor spend</w:t>
            </w:r>
          </w:p>
        </w:tc>
        <w:tc>
          <w:tcPr>
            <w:tcW w:type="dxa" w:w="2520"/>
            <w:vAlign w:val="center"/>
            <w:tcMar>
              <w:top w:w="100" w:type="dxa"/>
              <w:start w:w="100" w:type="dxa"/>
              <w:bottom w:w="100" w:type="dxa"/>
              <w:end w:w="100" w:type="dxa"/>
            </w:tcMar>
          </w:tcPr>
          <w:p>
            <w:pPr>
              <w:spacing w:after="40"/>
            </w:pPr>
            <w:r>
              <w:rPr>
                <w:sz w:val="17"/>
              </w:rPr>
              <w:t>Capacity planning and operating execution</w:t>
            </w:r>
          </w:p>
        </w:tc>
        <w:tc>
          <w:tcPr>
            <w:tcW w:type="dxa" w:w="2520"/>
            <w:vAlign w:val="center"/>
            <w:tcMar>
              <w:top w:w="100" w:type="dxa"/>
              <w:start w:w="100" w:type="dxa"/>
              <w:bottom w:w="100" w:type="dxa"/>
              <w:end w:w="100" w:type="dxa"/>
            </w:tcMar>
          </w:tcPr>
          <w:p>
            <w:pPr>
              <w:spacing w:after="40"/>
            </w:pPr>
            <w:r>
              <w:rPr>
                <w:sz w:val="17"/>
              </w:rPr>
              <w:t>Ignoring delivery constraints behind margin movement</w:t>
            </w:r>
          </w:p>
        </w:tc>
      </w:tr>
      <w:tr>
        <w:tc>
          <w:tcPr>
            <w:tcW w:type="dxa" w:w="2520"/>
            <w:vAlign w:val="center"/>
            <w:tcMar>
              <w:top w:w="100" w:type="dxa"/>
              <w:start w:w="100" w:type="dxa"/>
              <w:bottom w:w="100" w:type="dxa"/>
              <w:end w:w="100" w:type="dxa"/>
            </w:tcMar>
            <w:shd w:fill="F8FBFC"/>
          </w:tcPr>
          <w:p>
            <w:pPr>
              <w:spacing w:after="40"/>
            </w:pPr>
            <w:r>
              <w:rPr>
                <w:sz w:val="17"/>
              </w:rPr>
              <w:t>CRO and Revenue Ops</w:t>
            </w:r>
          </w:p>
        </w:tc>
        <w:tc>
          <w:tcPr>
            <w:tcW w:type="dxa" w:w="2520"/>
            <w:vAlign w:val="center"/>
            <w:tcMar>
              <w:top w:w="100" w:type="dxa"/>
              <w:start w:w="100" w:type="dxa"/>
              <w:bottom w:w="100" w:type="dxa"/>
              <w:end w:w="100" w:type="dxa"/>
            </w:tcMar>
            <w:shd w:fill="F8FBFC"/>
          </w:tcPr>
          <w:p>
            <w:pPr>
              <w:spacing w:after="40"/>
            </w:pPr>
            <w:r>
              <w:rPr>
                <w:sz w:val="17"/>
              </w:rPr>
              <w:t>Pipeline, renewal coverage, revenue conversion</w:t>
            </w:r>
          </w:p>
        </w:tc>
        <w:tc>
          <w:tcPr>
            <w:tcW w:type="dxa" w:w="2520"/>
            <w:vAlign w:val="center"/>
            <w:tcMar>
              <w:top w:w="100" w:type="dxa"/>
              <w:start w:w="100" w:type="dxa"/>
              <w:bottom w:w="100" w:type="dxa"/>
              <w:end w:w="100" w:type="dxa"/>
            </w:tcMar>
            <w:shd w:fill="F8FBFC"/>
          </w:tcPr>
          <w:p>
            <w:pPr>
              <w:spacing w:after="40"/>
            </w:pPr>
            <w:r>
              <w:rPr>
                <w:sz w:val="17"/>
              </w:rPr>
              <w:t>Sales execution and forecast confidence</w:t>
            </w:r>
          </w:p>
        </w:tc>
        <w:tc>
          <w:tcPr>
            <w:tcW w:type="dxa" w:w="2520"/>
            <w:vAlign w:val="center"/>
            <w:tcMar>
              <w:top w:w="100" w:type="dxa"/>
              <w:start w:w="100" w:type="dxa"/>
              <w:bottom w:w="100" w:type="dxa"/>
              <w:end w:w="100" w:type="dxa"/>
            </w:tcMar>
            <w:shd w:fill="F8FBFC"/>
          </w:tcPr>
          <w:p>
            <w:pPr>
              <w:spacing w:after="40"/>
            </w:pPr>
            <w:r>
              <w:rPr>
                <w:sz w:val="17"/>
              </w:rPr>
              <w:t>Confusing demand with procurement timing</w:t>
            </w:r>
          </w:p>
        </w:tc>
      </w:tr>
      <w:tr>
        <w:tc>
          <w:tcPr>
            <w:tcW w:type="dxa" w:w="2520"/>
            <w:vAlign w:val="center"/>
            <w:tcMar>
              <w:top w:w="100" w:type="dxa"/>
              <w:start w:w="100" w:type="dxa"/>
              <w:bottom w:w="100" w:type="dxa"/>
              <w:end w:w="100" w:type="dxa"/>
            </w:tcMar>
          </w:tcPr>
          <w:p>
            <w:pPr>
              <w:spacing w:after="40"/>
            </w:pPr>
            <w:r>
              <w:rPr>
                <w:sz w:val="17"/>
              </w:rPr>
              <w:t>Audit and Controller</w:t>
            </w:r>
          </w:p>
        </w:tc>
        <w:tc>
          <w:tcPr>
            <w:tcW w:type="dxa" w:w="2520"/>
            <w:vAlign w:val="center"/>
            <w:tcMar>
              <w:top w:w="100" w:type="dxa"/>
              <w:start w:w="100" w:type="dxa"/>
              <w:bottom w:w="100" w:type="dxa"/>
              <w:end w:w="100" w:type="dxa"/>
            </w:tcMar>
          </w:tcPr>
          <w:p>
            <w:pPr>
              <w:spacing w:after="40"/>
            </w:pPr>
            <w:r>
              <w:rPr>
                <w:sz w:val="17"/>
              </w:rPr>
              <w:t>Source lineage, definitions, close quality</w:t>
            </w:r>
          </w:p>
        </w:tc>
        <w:tc>
          <w:tcPr>
            <w:tcW w:type="dxa" w:w="2520"/>
            <w:vAlign w:val="center"/>
            <w:tcMar>
              <w:top w:w="100" w:type="dxa"/>
              <w:start w:w="100" w:type="dxa"/>
              <w:bottom w:w="100" w:type="dxa"/>
              <w:end w:w="100" w:type="dxa"/>
            </w:tcMar>
          </w:tcPr>
          <w:p>
            <w:pPr>
              <w:spacing w:after="40"/>
            </w:pPr>
            <w:r>
              <w:rPr>
                <w:sz w:val="17"/>
              </w:rPr>
              <w:t>Control confidence and reporting consistency</w:t>
            </w:r>
          </w:p>
        </w:tc>
        <w:tc>
          <w:tcPr>
            <w:tcW w:type="dxa" w:w="2520"/>
            <w:vAlign w:val="center"/>
            <w:tcMar>
              <w:top w:w="100" w:type="dxa"/>
              <w:start w:w="100" w:type="dxa"/>
              <w:bottom w:w="100" w:type="dxa"/>
              <w:end w:w="100" w:type="dxa"/>
            </w:tcMar>
          </w:tcPr>
          <w:p>
            <w:pPr>
              <w:spacing w:after="40"/>
            </w:pPr>
            <w:r>
              <w:rPr>
                <w:sz w:val="17"/>
              </w:rPr>
              <w:t>Missing citation or inconsistent metric definition</w:t>
            </w:r>
          </w:p>
        </w:tc>
      </w:tr>
    </w:tbl>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