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48"/>
        </w:rPr>
        <w:t>FY2027 Strategic Growth, Tailwinds, and Headwinds Outlook - Deep Dive</w:t>
      </w:r>
    </w:p>
    <w:p>
      <w:pPr>
        <w:jc w:val="center"/>
      </w:pPr>
      <w:r>
        <w:rPr>
          <w:i/>
          <w:color w:val="0E7C86"/>
          <w:sz w:val="26"/>
        </w:rPr>
        <w:t>Long-range growth thesis, scenario framework, strategic initiatives, and analyst panel notes</w:t>
      </w:r>
    </w:p>
    <w:p>
      <w:pPr>
        <w:spacing w:before="360"/>
        <w:jc w:val="center"/>
      </w:pPr>
      <w:r>
        <w:rPr>
          <w:b/>
          <w:sz w:val="28"/>
        </w:rPr>
        <w:t>Asteria Digital Solutions, Inc.</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shd w:fill="1F4E79"/>
          </w:tcPr>
          <w:p>
            <w:pPr>
              <w:spacing w:after="40"/>
            </w:pPr>
            <w:r>
              <w:rPr>
                <w:rFonts w:ascii="Aptos" w:hAnsi="Aptos"/>
                <w:b/>
                <w:color w:val="FFFFFF"/>
                <w:sz w:val="17"/>
              </w:rPr>
              <w:t>Document Type</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Strategic Outlook</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Prepared For</w:t>
            </w:r>
          </w:p>
        </w:tc>
        <w:tc>
          <w:tcPr>
            <w:tcW w:type="dxa" w:w="5040"/>
            <w:vAlign w:val="center"/>
            <w:tcMar>
              <w:top w:w="120" w:type="dxa"/>
              <w:start w:w="120" w:type="dxa"/>
              <w:bottom w:w="120" w:type="dxa"/>
              <w:end w:w="120" w:type="dxa"/>
            </w:tcMar>
          </w:tcPr>
          <w:p>
            <w:pPr>
              <w:spacing w:after="40"/>
            </w:pPr>
            <w:r>
              <w:rPr>
                <w:rFonts w:ascii="Aptos" w:hAnsi="Aptos"/>
                <w:sz w:val="17"/>
              </w:rPr>
              <w:t>Financial Analyst Copilot Capstone MVP</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Dataset</w:t>
            </w:r>
          </w:p>
        </w:tc>
        <w:tc>
          <w:tcPr>
            <w:tcW w:type="dxa" w:w="5040"/>
            <w:vAlign w:val="center"/>
            <w:tcMar>
              <w:top w:w="120" w:type="dxa"/>
              <w:start w:w="120" w:type="dxa"/>
              <w:bottom w:w="120" w:type="dxa"/>
              <w:end w:w="120" w:type="dxa"/>
            </w:tcMar>
            <w:shd w:fill="F8FBFC"/>
          </w:tcPr>
          <w:p>
            <w:pPr>
              <w:spacing w:after="40"/>
            </w:pPr>
            <w:r>
              <w:rPr>
                <w:rFonts w:ascii="Aptos" w:hAnsi="Aptos"/>
                <w:sz w:val="17"/>
              </w:rPr>
              <w:t>Synthetic company and finance data</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Document Date</w:t>
            </w:r>
          </w:p>
        </w:tc>
        <w:tc>
          <w:tcPr>
            <w:tcW w:type="dxa" w:w="5040"/>
            <w:vAlign w:val="center"/>
            <w:tcMar>
              <w:top w:w="120" w:type="dxa"/>
              <w:start w:w="120" w:type="dxa"/>
              <w:bottom w:w="120" w:type="dxa"/>
              <w:end w:w="120" w:type="dxa"/>
            </w:tcMar>
          </w:tcPr>
          <w:p>
            <w:pPr>
              <w:spacing w:after="40"/>
            </w:pPr>
            <w:r>
              <w:rPr>
                <w:rFonts w:ascii="Aptos" w:hAnsi="Aptos"/>
                <w:sz w:val="17"/>
              </w:rPr>
              <w:t>September 30, 2026</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RAG Use</w:t>
            </w:r>
          </w:p>
        </w:tc>
        <w:tc>
          <w:tcPr>
            <w:tcW w:type="dxa" w:w="5040"/>
            <w:vAlign w:val="center"/>
            <w:tcMar>
              <w:top w:w="120" w:type="dxa"/>
              <w:start w:w="120" w:type="dxa"/>
              <w:bottom w:w="120" w:type="dxa"/>
              <w:end w:w="120" w:type="dxa"/>
            </w:tcMar>
            <w:shd w:fill="F8FBFC"/>
          </w:tcPr>
          <w:p>
            <w:pPr>
              <w:spacing w:after="40"/>
            </w:pPr>
            <w:r>
              <w:rPr>
                <w:rFonts w:ascii="Aptos" w:hAnsi="Aptos"/>
                <w:sz w:val="17"/>
              </w:rPr>
              <w:t>Chunking, retrieval, citation tests, narrative grounding</w:t>
            </w:r>
          </w:p>
        </w:tc>
      </w:tr>
    </w:tbl>
    <w:p>
      <w:pPr>
        <w:spacing w:before="360"/>
        <w:jc w:val="center"/>
      </w:pPr>
      <w:r>
        <w:rPr>
          <w:color w:val="646464"/>
          <w:sz w:val="18"/>
        </w:rPr>
        <w:t>Synthetic data pack for Financial Analyst Copilot capstone - not real company data</w:t>
      </w:r>
    </w:p>
    <w:p>
      <w:r>
        <w:br w:type="page"/>
      </w:r>
    </w:p>
    <w:p>
      <w:pPr>
        <w:pStyle w:val="Heading1"/>
      </w:pPr>
      <w:r>
        <w:t>Long-Range Growth Thesis</w:t>
      </w:r>
    </w:p>
    <w:p>
      <w:pPr>
        <w:spacing w:after="140" w:line="259" w:lineRule="auto"/>
      </w:pPr>
      <w:r>
        <w:t>The FY2027 outlook for Asteria Digital Solutions, Inc. is based on disciplined expansion in recurring and repeatable services. Management does not want growth at any cost. The preferred strategic posture is to grow in areas where the company can protect margin through automation, contract structure, reusable delivery assets, and a high-quality renewal base.</w:t>
      </w:r>
    </w:p>
    <w:p>
      <w:pPr>
        <w:spacing w:after="140" w:line="259" w:lineRule="auto"/>
      </w:pPr>
      <w:r>
        <w:t>The base case assumes revenue growth of 6 to 8 percent, gross margin in the mid-50 percent range, and EBITDA margin improvement from automation and scale. Upside depends on faster cloud modernization conversion, managed operations expansion, and data modernization cross-sell. Downside is tied to procurement delays, hosting cost inflation, talent scarcity, and milestone volatility.</w:t>
      </w:r>
    </w:p>
    <w:tbl>
      <w:tblPr>
        <w:tblStyle w:val="TableGrid"/>
        <w:tblW w:type="auto" w:w="0"/>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pPr>
              <w:spacing w:after="60"/>
            </w:pPr>
            <w:r>
              <w:rPr>
                <w:b/>
                <w:i w:val="0"/>
                <w:color w:val="1F4E79"/>
              </w:rPr>
              <w:t xml:space="preserve">Analyst framing: </w:t>
            </w:r>
            <w:r>
              <w:rPr>
                <w:b w:val="0"/>
                <w:i w:val="0"/>
              </w:rPr>
              <w:t>The long-range thesis is not a forecast generated by the copilot. It is management narrative context. Actual numerical analysis should still come from structured finance data and approved formulas.</w:t>
            </w:r>
          </w:p>
        </w:tc>
      </w:tr>
    </w:tbl>
    <w:p/>
    <w:p>
      <w:pPr>
        <w:pStyle w:val="Heading1"/>
      </w:pPr>
      <w:r>
        <w:t>Scenario Framework</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Scenario</w:t>
            </w:r>
          </w:p>
        </w:tc>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Revenue growth</w:t>
            </w:r>
          </w:p>
        </w:tc>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Gross margin</w:t>
            </w:r>
          </w:p>
        </w:tc>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EBITDA margin</w:t>
            </w:r>
          </w:p>
        </w:tc>
        <w:tc>
          <w:tcPr>
            <w:tcW w:type="dxa" w:w="2016"/>
            <w:vAlign w:val="center"/>
            <w:tcMar>
              <w:top w:w="120" w:type="dxa"/>
              <w:start w:w="120" w:type="dxa"/>
              <w:bottom w:w="120" w:type="dxa"/>
              <w:end w:w="120" w:type="dxa"/>
            </w:tcMar>
            <w:shd w:fill="0E7C86"/>
          </w:tcPr>
          <w:p>
            <w:pPr>
              <w:spacing w:after="40"/>
            </w:pPr>
            <w:r>
              <w:rPr>
                <w:rFonts w:ascii="Aptos" w:hAnsi="Aptos"/>
                <w:b/>
                <w:color w:val="FFFFFF"/>
                <w:sz w:val="17"/>
              </w:rPr>
              <w:t>Narrative</w:t>
            </w:r>
          </w:p>
        </w:tc>
      </w:tr>
      <w:tr>
        <w:tc>
          <w:tcPr>
            <w:tcW w:type="dxa" w:w="2016"/>
            <w:vAlign w:val="center"/>
            <w:tcMar>
              <w:top w:w="120" w:type="dxa"/>
              <w:start w:w="120" w:type="dxa"/>
              <w:bottom w:w="120" w:type="dxa"/>
              <w:end w:w="120" w:type="dxa"/>
            </w:tcMar>
          </w:tcPr>
          <w:p>
            <w:pPr>
              <w:spacing w:after="40"/>
            </w:pPr>
            <w:r>
              <w:rPr>
                <w:rFonts w:ascii="Aptos" w:hAnsi="Aptos"/>
                <w:sz w:val="17"/>
              </w:rPr>
              <w:t>Downside</w:t>
            </w:r>
          </w:p>
        </w:tc>
        <w:tc>
          <w:tcPr>
            <w:tcW w:type="dxa" w:w="2016"/>
            <w:vAlign w:val="center"/>
            <w:tcMar>
              <w:top w:w="120" w:type="dxa"/>
              <w:start w:w="120" w:type="dxa"/>
              <w:bottom w:w="120" w:type="dxa"/>
              <w:end w:w="120" w:type="dxa"/>
            </w:tcMar>
          </w:tcPr>
          <w:p>
            <w:pPr>
              <w:spacing w:after="40"/>
            </w:pPr>
            <w:r>
              <w:rPr>
                <w:rFonts w:ascii="Aptos" w:hAnsi="Aptos"/>
                <w:sz w:val="17"/>
              </w:rPr>
              <w:t>4% to 5%</w:t>
            </w:r>
          </w:p>
        </w:tc>
        <w:tc>
          <w:tcPr>
            <w:tcW w:type="dxa" w:w="2016"/>
            <w:vAlign w:val="center"/>
            <w:tcMar>
              <w:top w:w="120" w:type="dxa"/>
              <w:start w:w="120" w:type="dxa"/>
              <w:bottom w:w="120" w:type="dxa"/>
              <w:end w:w="120" w:type="dxa"/>
            </w:tcMar>
          </w:tcPr>
          <w:p>
            <w:pPr>
              <w:spacing w:after="40"/>
            </w:pPr>
            <w:r>
              <w:rPr>
                <w:rFonts w:ascii="Aptos" w:hAnsi="Aptos"/>
                <w:sz w:val="17"/>
              </w:rPr>
              <w:t>52% to 54%</w:t>
            </w:r>
          </w:p>
        </w:tc>
        <w:tc>
          <w:tcPr>
            <w:tcW w:type="dxa" w:w="2016"/>
            <w:vAlign w:val="center"/>
            <w:tcMar>
              <w:top w:w="120" w:type="dxa"/>
              <w:start w:w="120" w:type="dxa"/>
              <w:bottom w:w="120" w:type="dxa"/>
              <w:end w:w="120" w:type="dxa"/>
            </w:tcMar>
          </w:tcPr>
          <w:p>
            <w:pPr>
              <w:spacing w:after="40"/>
            </w:pPr>
            <w:r>
              <w:rPr>
                <w:rFonts w:ascii="Aptos" w:hAnsi="Aptos"/>
                <w:sz w:val="17"/>
              </w:rPr>
              <w:t>23% to 25%</w:t>
            </w:r>
          </w:p>
        </w:tc>
        <w:tc>
          <w:tcPr>
            <w:tcW w:type="dxa" w:w="2016"/>
            <w:vAlign w:val="center"/>
            <w:tcMar>
              <w:top w:w="120" w:type="dxa"/>
              <w:start w:w="120" w:type="dxa"/>
              <w:bottom w:w="120" w:type="dxa"/>
              <w:end w:w="120" w:type="dxa"/>
            </w:tcMar>
          </w:tcPr>
          <w:p>
            <w:pPr>
              <w:spacing w:after="40"/>
            </w:pPr>
            <w:r>
              <w:rPr>
                <w:rFonts w:ascii="Aptos" w:hAnsi="Aptos"/>
                <w:sz w:val="17"/>
              </w:rPr>
              <w:t>Procurement delays persist, hosting costs remain high, and automation savings are delayed.</w:t>
            </w:r>
          </w:p>
        </w:tc>
      </w:tr>
      <w:tr>
        <w:tc>
          <w:tcPr>
            <w:tcW w:type="dxa" w:w="2016"/>
            <w:vAlign w:val="center"/>
            <w:tcMar>
              <w:top w:w="120" w:type="dxa"/>
              <w:start w:w="120" w:type="dxa"/>
              <w:bottom w:w="120" w:type="dxa"/>
              <w:end w:w="120" w:type="dxa"/>
            </w:tcMar>
            <w:shd w:fill="F8FBFC"/>
          </w:tcPr>
          <w:p>
            <w:pPr>
              <w:spacing w:after="40"/>
            </w:pPr>
            <w:r>
              <w:rPr>
                <w:rFonts w:ascii="Aptos" w:hAnsi="Aptos"/>
                <w:sz w:val="17"/>
              </w:rPr>
              <w:t>Base</w:t>
            </w:r>
          </w:p>
        </w:tc>
        <w:tc>
          <w:tcPr>
            <w:tcW w:type="dxa" w:w="2016"/>
            <w:vAlign w:val="center"/>
            <w:tcMar>
              <w:top w:w="120" w:type="dxa"/>
              <w:start w:w="120" w:type="dxa"/>
              <w:bottom w:w="120" w:type="dxa"/>
              <w:end w:w="120" w:type="dxa"/>
            </w:tcMar>
            <w:shd w:fill="F8FBFC"/>
          </w:tcPr>
          <w:p>
            <w:pPr>
              <w:spacing w:after="40"/>
            </w:pPr>
            <w:r>
              <w:rPr>
                <w:rFonts w:ascii="Aptos" w:hAnsi="Aptos"/>
                <w:sz w:val="17"/>
              </w:rPr>
              <w:t>6% to 8%</w:t>
            </w:r>
          </w:p>
        </w:tc>
        <w:tc>
          <w:tcPr>
            <w:tcW w:type="dxa" w:w="2016"/>
            <w:vAlign w:val="center"/>
            <w:tcMar>
              <w:top w:w="120" w:type="dxa"/>
              <w:start w:w="120" w:type="dxa"/>
              <w:bottom w:w="120" w:type="dxa"/>
              <w:end w:w="120" w:type="dxa"/>
            </w:tcMar>
            <w:shd w:fill="F8FBFC"/>
          </w:tcPr>
          <w:p>
            <w:pPr>
              <w:spacing w:after="40"/>
            </w:pPr>
            <w:r>
              <w:rPr>
                <w:rFonts w:ascii="Aptos" w:hAnsi="Aptos"/>
                <w:sz w:val="17"/>
              </w:rPr>
              <w:t>54% to 56%</w:t>
            </w:r>
          </w:p>
        </w:tc>
        <w:tc>
          <w:tcPr>
            <w:tcW w:type="dxa" w:w="2016"/>
            <w:vAlign w:val="center"/>
            <w:tcMar>
              <w:top w:w="120" w:type="dxa"/>
              <w:start w:w="120" w:type="dxa"/>
              <w:bottom w:w="120" w:type="dxa"/>
              <w:end w:w="120" w:type="dxa"/>
            </w:tcMar>
            <w:shd w:fill="F8FBFC"/>
          </w:tcPr>
          <w:p>
            <w:pPr>
              <w:spacing w:after="40"/>
            </w:pPr>
            <w:r>
              <w:rPr>
                <w:rFonts w:ascii="Aptos" w:hAnsi="Aptos"/>
                <w:sz w:val="17"/>
              </w:rPr>
              <w:t>25% to 27%</w:t>
            </w:r>
          </w:p>
        </w:tc>
        <w:tc>
          <w:tcPr>
            <w:tcW w:type="dxa" w:w="2016"/>
            <w:vAlign w:val="center"/>
            <w:tcMar>
              <w:top w:w="120" w:type="dxa"/>
              <w:start w:w="120" w:type="dxa"/>
              <w:bottom w:w="120" w:type="dxa"/>
              <w:end w:w="120" w:type="dxa"/>
            </w:tcMar>
            <w:shd w:fill="F8FBFC"/>
          </w:tcPr>
          <w:p>
            <w:pPr>
              <w:spacing w:after="40"/>
            </w:pPr>
            <w:r>
              <w:rPr>
                <w:rFonts w:ascii="Aptos" w:hAnsi="Aptos"/>
                <w:sz w:val="17"/>
              </w:rPr>
              <w:t>Recurring revenue improves, cloud demand remains healthy, and delivery automation offsets some cost pressure.</w:t>
            </w:r>
          </w:p>
        </w:tc>
      </w:tr>
      <w:tr>
        <w:tc>
          <w:tcPr>
            <w:tcW w:type="dxa" w:w="2016"/>
            <w:vAlign w:val="center"/>
            <w:tcMar>
              <w:top w:w="120" w:type="dxa"/>
              <w:start w:w="120" w:type="dxa"/>
              <w:bottom w:w="120" w:type="dxa"/>
              <w:end w:w="120" w:type="dxa"/>
            </w:tcMar>
          </w:tcPr>
          <w:p>
            <w:pPr>
              <w:spacing w:after="40"/>
            </w:pPr>
            <w:r>
              <w:rPr>
                <w:rFonts w:ascii="Aptos" w:hAnsi="Aptos"/>
                <w:sz w:val="17"/>
              </w:rPr>
              <w:t>Upside</w:t>
            </w:r>
          </w:p>
        </w:tc>
        <w:tc>
          <w:tcPr>
            <w:tcW w:type="dxa" w:w="2016"/>
            <w:vAlign w:val="center"/>
            <w:tcMar>
              <w:top w:w="120" w:type="dxa"/>
              <w:start w:w="120" w:type="dxa"/>
              <w:bottom w:w="120" w:type="dxa"/>
              <w:end w:w="120" w:type="dxa"/>
            </w:tcMar>
          </w:tcPr>
          <w:p>
            <w:pPr>
              <w:spacing w:after="40"/>
            </w:pPr>
            <w:r>
              <w:rPr>
                <w:rFonts w:ascii="Aptos" w:hAnsi="Aptos"/>
                <w:sz w:val="17"/>
              </w:rPr>
              <w:t>9% to 11%</w:t>
            </w:r>
          </w:p>
        </w:tc>
        <w:tc>
          <w:tcPr>
            <w:tcW w:type="dxa" w:w="2016"/>
            <w:vAlign w:val="center"/>
            <w:tcMar>
              <w:top w:w="120" w:type="dxa"/>
              <w:start w:w="120" w:type="dxa"/>
              <w:bottom w:w="120" w:type="dxa"/>
              <w:end w:w="120" w:type="dxa"/>
            </w:tcMar>
          </w:tcPr>
          <w:p>
            <w:pPr>
              <w:spacing w:after="40"/>
            </w:pPr>
            <w:r>
              <w:rPr>
                <w:rFonts w:ascii="Aptos" w:hAnsi="Aptos"/>
                <w:sz w:val="17"/>
              </w:rPr>
              <w:t>56% to 58%</w:t>
            </w:r>
          </w:p>
        </w:tc>
        <w:tc>
          <w:tcPr>
            <w:tcW w:type="dxa" w:w="2016"/>
            <w:vAlign w:val="center"/>
            <w:tcMar>
              <w:top w:w="120" w:type="dxa"/>
              <w:start w:w="120" w:type="dxa"/>
              <w:bottom w:w="120" w:type="dxa"/>
              <w:end w:w="120" w:type="dxa"/>
            </w:tcMar>
          </w:tcPr>
          <w:p>
            <w:pPr>
              <w:spacing w:after="40"/>
            </w:pPr>
            <w:r>
              <w:rPr>
                <w:rFonts w:ascii="Aptos" w:hAnsi="Aptos"/>
                <w:sz w:val="17"/>
              </w:rPr>
              <w:t>27% to 29%</w:t>
            </w:r>
          </w:p>
        </w:tc>
        <w:tc>
          <w:tcPr>
            <w:tcW w:type="dxa" w:w="2016"/>
            <w:vAlign w:val="center"/>
            <w:tcMar>
              <w:top w:w="120" w:type="dxa"/>
              <w:start w:w="120" w:type="dxa"/>
              <w:bottom w:w="120" w:type="dxa"/>
              <w:end w:w="120" w:type="dxa"/>
            </w:tcMar>
          </w:tcPr>
          <w:p>
            <w:pPr>
              <w:spacing w:after="40"/>
            </w:pPr>
            <w:r>
              <w:rPr>
                <w:rFonts w:ascii="Aptos" w:hAnsi="Aptos"/>
                <w:sz w:val="17"/>
              </w:rPr>
              <w:t>Cloud and managed operations convert above plan, cross-sell accelerates, and automation improves utilization faster.</w:t>
            </w:r>
          </w:p>
        </w:tc>
      </w:tr>
    </w:tbl>
    <w:p/>
    <w:p>
      <w:pPr>
        <w:pStyle w:val="Heading1"/>
      </w:pPr>
      <w:r>
        <w:t>Strategic Initiatives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Initiative</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Description and expected benefit</w:t>
            </w:r>
          </w:p>
        </w:tc>
      </w:tr>
      <w:tr>
        <w:tc>
          <w:tcPr>
            <w:tcW w:type="dxa" w:w="5040"/>
            <w:vAlign w:val="center"/>
            <w:tcMar>
              <w:top w:w="120" w:type="dxa"/>
              <w:start w:w="120" w:type="dxa"/>
              <w:bottom w:w="120" w:type="dxa"/>
              <w:end w:w="120" w:type="dxa"/>
            </w:tcMar>
          </w:tcPr>
          <w:p>
            <w:pPr>
              <w:spacing w:after="40"/>
            </w:pPr>
            <w:r>
              <w:rPr>
                <w:rFonts w:ascii="Aptos" w:hAnsi="Aptos"/>
                <w:sz w:val="17"/>
              </w:rPr>
              <w:t>Cloud Modernization Factory</w:t>
            </w:r>
          </w:p>
        </w:tc>
        <w:tc>
          <w:tcPr>
            <w:tcW w:type="dxa" w:w="5040"/>
            <w:vAlign w:val="center"/>
            <w:tcMar>
              <w:top w:w="120" w:type="dxa"/>
              <w:start w:w="120" w:type="dxa"/>
              <w:bottom w:w="120" w:type="dxa"/>
              <w:end w:w="120" w:type="dxa"/>
            </w:tcMar>
          </w:tcPr>
          <w:p>
            <w:pPr>
              <w:spacing w:after="40"/>
            </w:pPr>
            <w:r>
              <w:rPr>
                <w:rFonts w:ascii="Aptos" w:hAnsi="Aptos"/>
                <w:sz w:val="17"/>
              </w:rPr>
              <w:t>Standardize discovery, migration, observability, security hardening, and FinOps tasks into repeatable delivery playbooks. Expected benefit is faster proposal conversion and improved project delivery consistency.</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Managed Operations Renewal Desk</w:t>
            </w:r>
          </w:p>
        </w:tc>
        <w:tc>
          <w:tcPr>
            <w:tcW w:type="dxa" w:w="5040"/>
            <w:vAlign w:val="center"/>
            <w:tcMar>
              <w:top w:w="120" w:type="dxa"/>
              <w:start w:w="120" w:type="dxa"/>
              <w:bottom w:w="120" w:type="dxa"/>
              <w:end w:w="120" w:type="dxa"/>
            </w:tcMar>
            <w:shd w:fill="F8FBFC"/>
          </w:tcPr>
          <w:p>
            <w:pPr>
              <w:spacing w:after="40"/>
            </w:pPr>
            <w:r>
              <w:rPr>
                <w:rFonts w:ascii="Aptos" w:hAnsi="Aptos"/>
                <w:sz w:val="17"/>
              </w:rPr>
              <w:t>Centralize renewal risk tracking, expansion opportunity identification, and contract term improvements. Expected benefit is better recurring revenue visibility and lower churn risk.</w:t>
            </w:r>
          </w:p>
        </w:tc>
      </w:tr>
      <w:tr>
        <w:tc>
          <w:tcPr>
            <w:tcW w:type="dxa" w:w="5040"/>
            <w:vAlign w:val="center"/>
            <w:tcMar>
              <w:top w:w="120" w:type="dxa"/>
              <w:start w:w="120" w:type="dxa"/>
              <w:bottom w:w="120" w:type="dxa"/>
              <w:end w:w="120" w:type="dxa"/>
            </w:tcMar>
          </w:tcPr>
          <w:p>
            <w:pPr>
              <w:spacing w:after="40"/>
            </w:pPr>
            <w:r>
              <w:rPr>
                <w:rFonts w:ascii="Aptos" w:hAnsi="Aptos"/>
                <w:sz w:val="17"/>
              </w:rPr>
              <w:t>AI Delivery Accelerator Program</w:t>
            </w:r>
          </w:p>
        </w:tc>
        <w:tc>
          <w:tcPr>
            <w:tcW w:type="dxa" w:w="5040"/>
            <w:vAlign w:val="center"/>
            <w:tcMar>
              <w:top w:w="120" w:type="dxa"/>
              <w:start w:w="120" w:type="dxa"/>
              <w:bottom w:w="120" w:type="dxa"/>
              <w:end w:w="120" w:type="dxa"/>
            </w:tcMar>
          </w:tcPr>
          <w:p>
            <w:pPr>
              <w:spacing w:after="40"/>
            </w:pPr>
            <w:r>
              <w:rPr>
                <w:rFonts w:ascii="Aptos" w:hAnsi="Aptos"/>
                <w:sz w:val="17"/>
              </w:rPr>
              <w:t>Deploy reusable AI-assisted delivery tooling, knowledge retrieval, ticket triage, and implementation templates. Expected benefit is reduced manual effort, lower subcontractor reliance, and margin lift.</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Data Modernization Cross-Sell Motion</w:t>
            </w:r>
          </w:p>
        </w:tc>
        <w:tc>
          <w:tcPr>
            <w:tcW w:type="dxa" w:w="5040"/>
            <w:vAlign w:val="center"/>
            <w:tcMar>
              <w:top w:w="120" w:type="dxa"/>
              <w:start w:w="120" w:type="dxa"/>
              <w:bottom w:w="120" w:type="dxa"/>
              <w:end w:w="120" w:type="dxa"/>
            </w:tcMar>
            <w:shd w:fill="F8FBFC"/>
          </w:tcPr>
          <w:p>
            <w:pPr>
              <w:spacing w:after="40"/>
            </w:pPr>
            <w:r>
              <w:rPr>
                <w:rFonts w:ascii="Aptos" w:hAnsi="Aptos"/>
                <w:sz w:val="17"/>
              </w:rPr>
              <w:t>Attach analytics modernization and KPI governance offers to cloud migration opportunities. Expected benefit is higher account penetration and improved Data &amp; Analytics growth.</w:t>
            </w:r>
          </w:p>
        </w:tc>
      </w:tr>
      <w:tr>
        <w:tc>
          <w:tcPr>
            <w:tcW w:type="dxa" w:w="5040"/>
            <w:vAlign w:val="center"/>
            <w:tcMar>
              <w:top w:w="120" w:type="dxa"/>
              <w:start w:w="120" w:type="dxa"/>
              <w:bottom w:w="120" w:type="dxa"/>
              <w:end w:w="120" w:type="dxa"/>
            </w:tcMar>
          </w:tcPr>
          <w:p>
            <w:pPr>
              <w:spacing w:after="40"/>
            </w:pPr>
            <w:r>
              <w:rPr>
                <w:rFonts w:ascii="Aptos" w:hAnsi="Aptos"/>
                <w:sz w:val="17"/>
              </w:rPr>
              <w:t>Finance Data Governance Program</w:t>
            </w:r>
          </w:p>
        </w:tc>
        <w:tc>
          <w:tcPr>
            <w:tcW w:type="dxa" w:w="5040"/>
            <w:vAlign w:val="center"/>
            <w:tcMar>
              <w:top w:w="120" w:type="dxa"/>
              <w:start w:w="120" w:type="dxa"/>
              <w:bottom w:w="120" w:type="dxa"/>
              <w:end w:w="120" w:type="dxa"/>
            </w:tcMar>
          </w:tcPr>
          <w:p>
            <w:pPr>
              <w:spacing w:after="40"/>
            </w:pPr>
            <w:r>
              <w:rPr>
                <w:rFonts w:ascii="Aptos" w:hAnsi="Aptos"/>
                <w:sz w:val="17"/>
              </w:rPr>
              <w:t>Improve metric definitions, source traceability, and variance narratives. Expected benefit is faster close commentary and more trusted copilot responses.</w:t>
            </w:r>
          </w:p>
        </w:tc>
      </w:tr>
    </w:tbl>
    <w:p/>
    <w:p>
      <w:pPr>
        <w:pStyle w:val="Heading2"/>
      </w:pPr>
      <w:r>
        <w:t>Cloud Modernization Factory</w:t>
      </w:r>
    </w:p>
    <w:p>
      <w:pPr>
        <w:spacing w:after="140" w:line="259" w:lineRule="auto"/>
      </w:pPr>
      <w:r>
        <w:t>Standardize discovery, migration, observability, security hardening, and FinOps tasks into repeatable delivery playbooks. Expected benefit is faster proposal conversion and improved project delivery consistency.</w:t>
      </w:r>
    </w:p>
    <w:p>
      <w:pPr>
        <w:spacing w:after="140" w:line="259" w:lineRule="auto"/>
      </w:pPr>
      <w:r>
        <w:t>Finance analyst angle: the copilot should relate cloud modernization factory to leading indicators and affected KPIs rather than treating it as generic positive commentary. For example, the system can connect the initiative to revenue growth, gross margin, EBITDA, operating expense, or renewal visibility depending on user intent.</w:t>
      </w:r>
    </w:p>
    <w:p>
      <w:pPr>
        <w:pStyle w:val="Heading2"/>
      </w:pPr>
      <w:r>
        <w:t>Managed Operations Renewal Desk</w:t>
      </w:r>
    </w:p>
    <w:p>
      <w:pPr>
        <w:spacing w:after="140" w:line="259" w:lineRule="auto"/>
      </w:pPr>
      <w:r>
        <w:t>Centralize renewal risk tracking, expansion opportunity identification, and contract term improvements. Expected benefit is better recurring revenue visibility and lower churn risk.</w:t>
      </w:r>
    </w:p>
    <w:p>
      <w:pPr>
        <w:spacing w:after="140" w:line="259" w:lineRule="auto"/>
      </w:pPr>
      <w:r>
        <w:t>Finance analyst angle: the copilot should relate managed operations renewal desk to leading indicators and affected KPIs rather than treating it as generic positive commentary. For example, the system can connect the initiative to revenue growth, gross margin, EBITDA, operating expense, or renewal visibility depending on user intent.</w:t>
      </w:r>
    </w:p>
    <w:p>
      <w:pPr>
        <w:pStyle w:val="Heading2"/>
      </w:pPr>
      <w:r>
        <w:t>AI Delivery Accelerator Program</w:t>
      </w:r>
    </w:p>
    <w:p>
      <w:pPr>
        <w:spacing w:after="140" w:line="259" w:lineRule="auto"/>
      </w:pPr>
      <w:r>
        <w:t>Deploy reusable AI-assisted delivery tooling, knowledge retrieval, ticket triage, and implementation templates. Expected benefit is reduced manual effort, lower subcontractor reliance, and margin lift.</w:t>
      </w:r>
    </w:p>
    <w:p>
      <w:pPr>
        <w:spacing w:after="140" w:line="259" w:lineRule="auto"/>
      </w:pPr>
      <w:r>
        <w:t>Finance analyst angle: the copilot should relate ai delivery accelerator program to leading indicators and affected KPIs rather than treating it as generic positive commentary. For example, the system can connect the initiative to revenue growth, gross margin, EBITDA, operating expense, or renewal visibility depending on user intent.</w:t>
      </w:r>
    </w:p>
    <w:p>
      <w:pPr>
        <w:pStyle w:val="Heading2"/>
      </w:pPr>
      <w:r>
        <w:t>Data Modernization Cross-Sell Motion</w:t>
      </w:r>
    </w:p>
    <w:p>
      <w:pPr>
        <w:spacing w:after="140" w:line="259" w:lineRule="auto"/>
      </w:pPr>
      <w:r>
        <w:t>Attach analytics modernization and KPI governance offers to cloud migration opportunities. Expected benefit is higher account penetration and improved Data &amp; Analytics growth.</w:t>
      </w:r>
    </w:p>
    <w:p>
      <w:pPr>
        <w:spacing w:after="140" w:line="259" w:lineRule="auto"/>
      </w:pPr>
      <w:r>
        <w:t>Finance analyst angle: the copilot should relate data modernization cross-sell motion to leading indicators and affected KPIs rather than treating it as generic positive commentary. For example, the system can connect the initiative to revenue growth, gross margin, EBITDA, operating expense, or renewal visibility depending on user intent.</w:t>
      </w:r>
    </w:p>
    <w:p>
      <w:pPr>
        <w:pStyle w:val="Heading2"/>
      </w:pPr>
      <w:r>
        <w:t>Finance Data Governance Program</w:t>
      </w:r>
    </w:p>
    <w:p>
      <w:pPr>
        <w:spacing w:after="140" w:line="259" w:lineRule="auto"/>
      </w:pPr>
      <w:r>
        <w:t>Improve metric definitions, source traceability, and variance narratives. Expected benefit is faster close commentary and more trusted copilot responses.</w:t>
      </w:r>
    </w:p>
    <w:p>
      <w:pPr>
        <w:spacing w:after="140" w:line="259" w:lineRule="auto"/>
      </w:pPr>
      <w:r>
        <w:t>Finance analyst angle: the copilot should relate finance data governance program to leading indicators and affected KPIs rather than treating it as generic positive commentary. For example, the system can connect the initiative to revenue growth, gross margin, EBITDA, operating expense, or renewal visibility depending on user intent.</w:t>
      </w:r>
    </w:p>
    <w:p>
      <w:pPr>
        <w:pStyle w:val="Heading1"/>
      </w:pPr>
      <w:r>
        <w:t>Tailwind and Headwind Dossier</w:t>
      </w:r>
    </w:p>
    <w:p>
      <w:pPr>
        <w:pStyle w:val="Heading2"/>
      </w:pPr>
      <w:r>
        <w:t>1. Tailwind: Cloud migration demand</w:t>
      </w:r>
    </w:p>
    <w:p>
      <w:pPr>
        <w:spacing w:after="140" w:line="259" w:lineRule="auto"/>
      </w:pPr>
      <w:r>
        <w:t>Business context: Enterprise clients continue to migrate legacy workloads to managed cloud environments. Demand is strongest where clients need modernization, security hardening, observability, and cost optimization at the same time. This supports new bookings and expansion of managed services contracts.</w:t>
      </w:r>
    </w:p>
    <w:p>
      <w:pPr>
        <w:spacing w:after="140" w:line="259" w:lineRule="auto"/>
      </w:pPr>
      <w:r>
        <w:t>Source signals analysts should monitor: Qualified pipeline expansion, higher attach rate for managed operations, and more multi-year proposals.</w:t>
      </w:r>
    </w:p>
    <w:p>
      <w:pPr>
        <w:spacing w:after="140" w:line="259" w:lineRule="auto"/>
      </w:pPr>
      <w:r>
        <w:t>Affected metric and unit: Revenue for Cloud Services. Impact level is High based on the synthetic guidance pack.</w:t>
      </w:r>
    </w:p>
    <w:p>
      <w:pPr>
        <w:spacing w:after="140" w:line="259" w:lineRule="auto"/>
      </w:pPr>
      <w:r>
        <w:t>Management actions and mitigation: Prioritize enterprise modernization pipeline, package FinOps reviews with implementation work, and protect margin through pass-through clauses.</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cloud migration demand, retrieve this section for narrative context. Do not use it to calculate KPI values; use finance_actuals, finance_budget, and KPI registry for numbers.</w:t>
            </w:r>
          </w:p>
        </w:tc>
      </w:tr>
    </w:tbl>
    <w:p/>
    <w:p>
      <w:pPr>
        <w:pStyle w:val="Heading2"/>
      </w:pPr>
      <w:r>
        <w:t>2. Tailwind: Managed Operations renewal base</w:t>
      </w:r>
    </w:p>
    <w:p>
      <w:pPr>
        <w:spacing w:after="140" w:line="259" w:lineRule="auto"/>
      </w:pPr>
      <w:r>
        <w:t>Business context: The managed operations base provides recurring revenue visibility. Renewals have higher gross margin potential when service automation is already deployed and the delivery team can reuse runbooks and monitoring templates.</w:t>
      </w:r>
    </w:p>
    <w:p>
      <w:pPr>
        <w:spacing w:after="140" w:line="259" w:lineRule="auto"/>
      </w:pPr>
      <w:r>
        <w:t>Source signals analysts should monitor: Renewal coverage above plan, low churn in strategic accounts, and expanding scope within existing contracts.</w:t>
      </w:r>
    </w:p>
    <w:p>
      <w:pPr>
        <w:spacing w:after="140" w:line="259" w:lineRule="auto"/>
      </w:pPr>
      <w:r>
        <w:t>Affected metric and unit: Revenue visibility for Managed Operations. Impact level is High based on the synthetic guidance pack.</w:t>
      </w:r>
    </w:p>
    <w:p>
      <w:pPr>
        <w:spacing w:after="140" w:line="259" w:lineRule="auto"/>
      </w:pPr>
      <w:r>
        <w:t>Management actions and mitigation: Strengthen renewal desk process, identify accounts for scope expansion, and refresh renewal risk scoring monthly.</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managed operations renewal base, retrieve this section for narrative context. Do not use it to calculate KPI values; use finance_actuals, finance_budget, and KPI registry for numbers.</w:t>
            </w:r>
          </w:p>
        </w:tc>
      </w:tr>
    </w:tbl>
    <w:p/>
    <w:p>
      <w:pPr>
        <w:pStyle w:val="Heading2"/>
      </w:pPr>
      <w:r>
        <w:t>3. Tailwind: AI-enabled delivery automation</w:t>
      </w:r>
    </w:p>
    <w:p>
      <w:pPr>
        <w:spacing w:after="140" w:line="259" w:lineRule="auto"/>
      </w:pPr>
      <w:r>
        <w:t>Business context: Automation reduces manual triage, accelerates knowledge retrieval, and standardizes repeatable delivery tasks. Benefits appear first as avoided subcontractor usage, then as improved delivery labor utilization.</w:t>
      </w:r>
    </w:p>
    <w:p>
      <w:pPr>
        <w:spacing w:after="140" w:line="259" w:lineRule="auto"/>
      </w:pPr>
      <w:r>
        <w:t>Source signals analysts should monitor: Lower ticket handling time, higher billable utilization, and fewer escalations requiring specialized subcontractors.</w:t>
      </w:r>
    </w:p>
    <w:p>
      <w:pPr>
        <w:spacing w:after="140" w:line="259" w:lineRule="auto"/>
      </w:pPr>
      <w:r>
        <w:t>Affected metric and unit: Gross Margin for Managed Operations; Cloud Services. Impact level is Medium based on the synthetic guidance pack.</w:t>
      </w:r>
    </w:p>
    <w:p>
      <w:pPr>
        <w:spacing w:after="140" w:line="259" w:lineRule="auto"/>
      </w:pPr>
      <w:r>
        <w:t>Management actions and mitigation: Scale automation toolkit, measure hours saved by workflow, and include realized savings in margin bridges.</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ai-enabled delivery automation, retrieve this section for narrative context. Do not use it to calculate KPI values; use finance_actuals, finance_budget, and KPI registry for numbers.</w:t>
            </w:r>
          </w:p>
        </w:tc>
      </w:tr>
    </w:tbl>
    <w:p/>
    <w:p>
      <w:pPr>
        <w:pStyle w:val="Heading2"/>
      </w:pPr>
      <w:r>
        <w:t>4. Tailwind: Data modernization cross-sell</w:t>
      </w:r>
    </w:p>
    <w:p>
      <w:pPr>
        <w:spacing w:after="140" w:line="259" w:lineRule="auto"/>
      </w:pPr>
      <w:r>
        <w:t>Business context: Cloud modernization clients often need analytics, governed data pipelines, and reporting rationalization after platform migration. Cross-sell opportunities are strongest in accounts with fragmented data marts and manual KPI reconciliation.</w:t>
      </w:r>
    </w:p>
    <w:p>
      <w:pPr>
        <w:spacing w:after="140" w:line="259" w:lineRule="auto"/>
      </w:pPr>
      <w:r>
        <w:t>Source signals analysts should monitor: Joint pursuits between Cloud Services and Data &amp; Analytics, increase in analytics discovery workshops, and more data governance add-ons.</w:t>
      </w:r>
    </w:p>
    <w:p>
      <w:pPr>
        <w:spacing w:after="140" w:line="259" w:lineRule="auto"/>
      </w:pPr>
      <w:r>
        <w:t>Affected metric and unit: Revenue Growth for Data &amp; Analytics. Impact level is Medium based on the synthetic guidance pack.</w:t>
      </w:r>
    </w:p>
    <w:p>
      <w:pPr>
        <w:spacing w:after="140" w:line="259" w:lineRule="auto"/>
      </w:pPr>
      <w:r>
        <w:t>Management actions and mitigation: Run joint go-to-market motions, attach data assessment to cloud migration proposals, and standardize KPI governance offers.</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data modernization cross-sell, retrieve this section for narrative context. Do not use it to calculate KPI values; use finance_actuals, finance_budget, and KPI registry for numbers.</w:t>
            </w:r>
          </w:p>
        </w:tc>
      </w:tr>
    </w:tbl>
    <w:p/>
    <w:p>
      <w:pPr>
        <w:pStyle w:val="Heading2"/>
      </w:pPr>
      <w:r>
        <w:t>5. Headwind: Cloud hosting cost inflation</w:t>
      </w:r>
    </w:p>
    <w:p>
      <w:pPr>
        <w:spacing w:after="140" w:line="259" w:lineRule="auto"/>
      </w:pPr>
      <w:r>
        <w:t>Business context: Hosting costs remain elevated as workload volumes grow and vendor pricing pressure persists. Margin is most sensitive where contracts lack pass-through clauses or workload optimization activities lag client growth.</w:t>
      </w:r>
    </w:p>
    <w:p>
      <w:pPr>
        <w:spacing w:after="140" w:line="259" w:lineRule="auto"/>
      </w:pPr>
      <w:r>
        <w:t>Source signals analysts should monitor: Hosting cost growth above revenue growth, lower workload utilization efficiency, and contract terms without indexation.</w:t>
      </w:r>
    </w:p>
    <w:p>
      <w:pPr>
        <w:spacing w:after="140" w:line="259" w:lineRule="auto"/>
      </w:pPr>
      <w:r>
        <w:t>Affected metric and unit: Gross Margin for Cloud Services. Impact level is High based on the synthetic guidance pack.</w:t>
      </w:r>
    </w:p>
    <w:p>
      <w:pPr>
        <w:spacing w:after="140" w:line="259" w:lineRule="auto"/>
      </w:pPr>
      <w:r>
        <w:t>Management actions and mitigation: Renegotiate pass-through clauses, run workload optimization, and create contract-level margin watchlists.</w:t>
      </w:r>
    </w:p>
    <w:tbl>
      <w:tblPr>
        <w:tblStyle w:val="TableGrid"/>
        <w:tblW w:type="auto" w:w="0"/>
        <w:tblLook w:firstColumn="1" w:firstRow="1" w:lastColumn="0" w:lastRow="0" w:noHBand="0" w:noVBand="1" w:val="04A0"/>
      </w:tblPr>
      <w:tblGrid>
        <w:gridCol w:w="10080"/>
      </w:tblGrid>
      <w:tr>
        <w:tc>
          <w:tcPr>
            <w:tcW w:type="dxa" w:w="10080"/>
            <w:shd w:fill="FFF1CC"/>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cloud hosting cost inflation, retrieve this section for narrative context. Do not use it to calculate KPI values; use finance_actuals, finance_budget, and KPI registry for numbers.</w:t>
            </w:r>
          </w:p>
        </w:tc>
      </w:tr>
    </w:tbl>
    <w:p/>
    <w:p>
      <w:pPr>
        <w:pStyle w:val="Heading2"/>
      </w:pPr>
      <w:r>
        <w:t>6. Headwind: Enterprise procurement delays</w:t>
      </w:r>
    </w:p>
    <w:p>
      <w:pPr>
        <w:spacing w:after="140" w:line="259" w:lineRule="auto"/>
      </w:pPr>
      <w:r>
        <w:t>Business context: Large enterprise buying committees are extending approval cycles. This does not necessarily reduce demand, but it can delay bookings and defer revenue recognition into later quarters.</w:t>
      </w:r>
    </w:p>
    <w:p>
      <w:pPr>
        <w:spacing w:after="140" w:line="259" w:lineRule="auto"/>
      </w:pPr>
      <w:r>
        <w:t>Source signals analysts should monitor: More opportunities stuck in legal/procurement, lower same-quarter conversion, and delayed purchase order issuance.</w:t>
      </w:r>
    </w:p>
    <w:p>
      <w:pPr>
        <w:spacing w:after="140" w:line="259" w:lineRule="auto"/>
      </w:pPr>
      <w:r>
        <w:t>Affected metric and unit: Revenue for North America Consulting. Impact level is Medium based on the synthetic guidance pack.</w:t>
      </w:r>
    </w:p>
    <w:p>
      <w:pPr>
        <w:spacing w:after="140" w:line="259" w:lineRule="auto"/>
      </w:pPr>
      <w:r>
        <w:t>Management actions and mitigation: Improve forecast scenario discipline, track late-stage deal slippage weekly, and separate demand health from timing risk.</w:t>
      </w:r>
    </w:p>
    <w:tbl>
      <w:tblPr>
        <w:tblStyle w:val="TableGrid"/>
        <w:tblW w:type="auto" w:w="0"/>
        <w:tblLook w:firstColumn="1" w:firstRow="1" w:lastColumn="0" w:lastRow="0" w:noHBand="0" w:noVBand="1" w:val="04A0"/>
      </w:tblPr>
      <w:tblGrid>
        <w:gridCol w:w="10080"/>
      </w:tblGrid>
      <w:tr>
        <w:tc>
          <w:tcPr>
            <w:tcW w:type="dxa" w:w="10080"/>
            <w:shd w:fill="FFF1CC"/>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enterprise procurement delays, retrieve this section for narrative context. Do not use it to calculate KPI values; use finance_actuals, finance_budget, and KPI registry for numbers.</w:t>
            </w:r>
          </w:p>
        </w:tc>
      </w:tr>
    </w:tbl>
    <w:p/>
    <w:p>
      <w:pPr>
        <w:pStyle w:val="Heading2"/>
      </w:pPr>
      <w:r>
        <w:t>7. Headwind: Talent scarcity in cloud architecture</w:t>
      </w:r>
    </w:p>
    <w:p>
      <w:pPr>
        <w:spacing w:after="140" w:line="259" w:lineRule="auto"/>
      </w:pPr>
      <w:r>
        <w:t>Business context: Specialized cloud architects remain difficult to hire. When demand spikes, the business unit may rely on subcontractors, which raises COGS and can dilute gross margin.</w:t>
      </w:r>
    </w:p>
    <w:p>
      <w:pPr>
        <w:spacing w:after="140" w:line="259" w:lineRule="auto"/>
      </w:pPr>
      <w:r>
        <w:t>Source signals analysts should monitor: Open requisitions aging beyond plan, subcontractor spend above budget, and utilization rates above sustainable thresholds.</w:t>
      </w:r>
    </w:p>
    <w:p>
      <w:pPr>
        <w:spacing w:after="140" w:line="259" w:lineRule="auto"/>
      </w:pPr>
      <w:r>
        <w:t>Affected metric and unit: COGS for Cloud Services. Impact level is Medium based on the synthetic guidance pack.</w:t>
      </w:r>
    </w:p>
    <w:p>
      <w:pPr>
        <w:spacing w:after="140" w:line="259" w:lineRule="auto"/>
      </w:pPr>
      <w:r>
        <w:t>Management actions and mitigation: Target certifications, accelerate internal cross-training, and maintain preferred subcontractor rate cards.</w:t>
      </w:r>
    </w:p>
    <w:tbl>
      <w:tblPr>
        <w:tblStyle w:val="TableGrid"/>
        <w:tblW w:type="auto" w:w="0"/>
        <w:tblLook w:firstColumn="1" w:firstRow="1" w:lastColumn="0" w:lastRow="0" w:noHBand="0" w:noVBand="1" w:val="04A0"/>
      </w:tblPr>
      <w:tblGrid>
        <w:gridCol w:w="10080"/>
      </w:tblGrid>
      <w:tr>
        <w:tc>
          <w:tcPr>
            <w:tcW w:type="dxa" w:w="10080"/>
            <w:shd w:fill="FFF1CC"/>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talent scarcity in cloud architecture, retrieve this section for narrative context. Do not use it to calculate KPI values; use finance_actuals, finance_budget, and KPI registry for numbers.</w:t>
            </w:r>
          </w:p>
        </w:tc>
      </w:tr>
    </w:tbl>
    <w:p/>
    <w:p>
      <w:pPr>
        <w:pStyle w:val="Heading2"/>
      </w:pPr>
      <w:r>
        <w:t>8. Headwind: Project milestone timing</w:t>
      </w:r>
    </w:p>
    <w:p>
      <w:pPr>
        <w:spacing w:after="140" w:line="259" w:lineRule="auto"/>
      </w:pPr>
      <w:r>
        <w:t>Business context: Milestone-based data projects create monthly revenue volatility. A delayed client signoff can shift revenue from one month or quarter to the next even when delivery work remains on track.</w:t>
      </w:r>
    </w:p>
    <w:p>
      <w:pPr>
        <w:spacing w:after="140" w:line="259" w:lineRule="auto"/>
      </w:pPr>
      <w:r>
        <w:t>Source signals analysts should monitor: Late client acceptance, delayed data access, unresolved scope dependencies, and uneven milestone billing.</w:t>
      </w:r>
    </w:p>
    <w:p>
      <w:pPr>
        <w:spacing w:after="140" w:line="259" w:lineRule="auto"/>
      </w:pPr>
      <w:r>
        <w:t>Affected metric and unit: Revenue volatility for Data &amp; Analytics. Impact level is Medium based on the synthetic guidance pack.</w:t>
      </w:r>
    </w:p>
    <w:p>
      <w:pPr>
        <w:spacing w:after="140" w:line="259" w:lineRule="auto"/>
      </w:pPr>
      <w:r>
        <w:t>Management actions and mitigation: Improve milestone governance, track acceptance risk, and distinguish timing variance from demand deterioration.</w:t>
      </w:r>
    </w:p>
    <w:tbl>
      <w:tblPr>
        <w:tblStyle w:val="TableGrid"/>
        <w:tblW w:type="auto" w:w="0"/>
        <w:tblLook w:firstColumn="1" w:firstRow="1" w:lastColumn="0" w:lastRow="0" w:noHBand="0" w:noVBand="1" w:val="04A0"/>
      </w:tblPr>
      <w:tblGrid>
        <w:gridCol w:w="10080"/>
      </w:tblGrid>
      <w:tr>
        <w:tc>
          <w:tcPr>
            <w:tcW w:type="dxa" w:w="10080"/>
            <w:shd w:fill="FFF1CC"/>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project milestone timing, retrieve this section for narrative context. Do not use it to calculate KPI values; use finance_actuals, finance_budget, and KPI registry for numbers.</w:t>
            </w:r>
          </w:p>
        </w:tc>
      </w:tr>
    </w:tbl>
    <w:p/>
    <w:p>
      <w:pPr>
        <w:pStyle w:val="Heading1"/>
      </w:pPr>
      <w:r>
        <w:t>Analyst Panel Notes on FY2027 Growth Drivers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Analyst</w:t>
            </w:r>
          </w:p>
        </w:tc>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Question</w:t>
            </w:r>
          </w:p>
        </w:tc>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Management response summary</w:t>
            </w:r>
          </w:p>
        </w:tc>
      </w:tr>
      <w:tr>
        <w:tc>
          <w:tcPr>
            <w:tcW w:type="dxa" w:w="3360"/>
            <w:vAlign w:val="center"/>
            <w:tcMar>
              <w:top w:w="120" w:type="dxa"/>
              <w:start w:w="120" w:type="dxa"/>
              <w:bottom w:w="120" w:type="dxa"/>
              <w:end w:w="120" w:type="dxa"/>
            </w:tcMar>
          </w:tcPr>
          <w:p>
            <w:pPr>
              <w:spacing w:after="40"/>
            </w:pPr>
            <w:r>
              <w:rPr>
                <w:rFonts w:ascii="Aptos" w:hAnsi="Aptos"/>
                <w:sz w:val="17"/>
              </w:rPr>
              <w:t>Mira Cole</w:t>
            </w:r>
          </w:p>
        </w:tc>
        <w:tc>
          <w:tcPr>
            <w:tcW w:type="dxa" w:w="3360"/>
            <w:vAlign w:val="center"/>
            <w:tcMar>
              <w:top w:w="120" w:type="dxa"/>
              <w:start w:w="120" w:type="dxa"/>
              <w:bottom w:w="120" w:type="dxa"/>
              <w:end w:w="120" w:type="dxa"/>
            </w:tcMar>
          </w:tcPr>
          <w:p>
            <w:pPr>
              <w:spacing w:after="40"/>
            </w:pPr>
            <w:r>
              <w:rPr>
                <w:rFonts w:ascii="Aptos" w:hAnsi="Aptos"/>
                <w:sz w:val="17"/>
              </w:rPr>
              <w:t>How should we separate true demand growth from revenue that simply shifted because of milestone timing?</w:t>
            </w:r>
          </w:p>
        </w:tc>
        <w:tc>
          <w:tcPr>
            <w:tcW w:type="dxa" w:w="3360"/>
            <w:vAlign w:val="center"/>
            <w:tcMar>
              <w:top w:w="120" w:type="dxa"/>
              <w:start w:w="120" w:type="dxa"/>
              <w:bottom w:w="120" w:type="dxa"/>
              <w:end w:w="120" w:type="dxa"/>
            </w:tcMar>
          </w:tcPr>
          <w:p>
            <w:pPr>
              <w:spacing w:after="40"/>
            </w:pPr>
            <w:r>
              <w:rPr>
                <w:rFonts w:ascii="Aptos" w:hAnsi="Aptos"/>
                <w:sz w:val="17"/>
              </w:rPr>
              <w:t>Management should compare bookings, backlog, signed statements of work, and client acceptance milestones. If pipeline and backlog are healthy but revenue recognition shifts, the answer should be framed as timing risk rather than demand deterioration.</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Owen Hughes</w:t>
            </w:r>
          </w:p>
        </w:tc>
        <w:tc>
          <w:tcPr>
            <w:tcW w:type="dxa" w:w="3360"/>
            <w:vAlign w:val="center"/>
            <w:tcMar>
              <w:top w:w="120" w:type="dxa"/>
              <w:start w:w="120" w:type="dxa"/>
              <w:bottom w:w="120" w:type="dxa"/>
              <w:end w:w="120" w:type="dxa"/>
            </w:tcMar>
            <w:shd w:fill="F8FBFC"/>
          </w:tcPr>
          <w:p>
            <w:pPr>
              <w:spacing w:after="40"/>
            </w:pPr>
            <w:r>
              <w:rPr>
                <w:rFonts w:ascii="Aptos" w:hAnsi="Aptos"/>
                <w:sz w:val="17"/>
              </w:rPr>
              <w:t>What is the biggest driver of gross margin movement this quarter: labor utilization, subcontractor mix, or hosting costs?</w:t>
            </w:r>
          </w:p>
        </w:tc>
        <w:tc>
          <w:tcPr>
            <w:tcW w:type="dxa" w:w="3360"/>
            <w:vAlign w:val="center"/>
            <w:tcMar>
              <w:top w:w="120" w:type="dxa"/>
              <w:start w:w="120" w:type="dxa"/>
              <w:bottom w:w="120" w:type="dxa"/>
              <w:end w:w="120" w:type="dxa"/>
            </w:tcMar>
            <w:shd w:fill="F8FBFC"/>
          </w:tcPr>
          <w:p>
            <w:pPr>
              <w:spacing w:after="40"/>
            </w:pPr>
            <w:r>
              <w:rPr>
                <w:rFonts w:ascii="Aptos" w:hAnsi="Aptos"/>
                <w:sz w:val="17"/>
              </w:rPr>
              <w:t>The quarter shows a mixed pattern. Utilization helped margins in May, subcontractor usage was controlled, but hosting cost inflation pressured June. The answer should bridge revenue, COGS categories, and any report narrative about hosting costs.</w:t>
            </w:r>
          </w:p>
        </w:tc>
      </w:tr>
      <w:tr>
        <w:tc>
          <w:tcPr>
            <w:tcW w:type="dxa" w:w="3360"/>
            <w:vAlign w:val="center"/>
            <w:tcMar>
              <w:top w:w="120" w:type="dxa"/>
              <w:start w:w="120" w:type="dxa"/>
              <w:bottom w:w="120" w:type="dxa"/>
              <w:end w:w="120" w:type="dxa"/>
            </w:tcMar>
          </w:tcPr>
          <w:p>
            <w:pPr>
              <w:spacing w:after="40"/>
            </w:pPr>
            <w:r>
              <w:rPr>
                <w:rFonts w:ascii="Aptos" w:hAnsi="Aptos"/>
                <w:sz w:val="17"/>
              </w:rPr>
              <w:t>Leena Shah</w:t>
            </w:r>
          </w:p>
        </w:tc>
        <w:tc>
          <w:tcPr>
            <w:tcW w:type="dxa" w:w="3360"/>
            <w:vAlign w:val="center"/>
            <w:tcMar>
              <w:top w:w="120" w:type="dxa"/>
              <w:start w:w="120" w:type="dxa"/>
              <w:bottom w:w="120" w:type="dxa"/>
              <w:end w:w="120" w:type="dxa"/>
            </w:tcMar>
          </w:tcPr>
          <w:p>
            <w:pPr>
              <w:spacing w:after="40"/>
            </w:pPr>
            <w:r>
              <w:rPr>
                <w:rFonts w:ascii="Aptos" w:hAnsi="Aptos"/>
                <w:sz w:val="17"/>
              </w:rPr>
              <w:t>What assumptions should the guidance model treat as most sensitive for Q3 and FY2027?</w:t>
            </w:r>
          </w:p>
        </w:tc>
        <w:tc>
          <w:tcPr>
            <w:tcW w:type="dxa" w:w="3360"/>
            <w:vAlign w:val="center"/>
            <w:tcMar>
              <w:top w:w="120" w:type="dxa"/>
              <w:start w:w="120" w:type="dxa"/>
              <w:bottom w:w="120" w:type="dxa"/>
              <w:end w:w="120" w:type="dxa"/>
            </w:tcMar>
          </w:tcPr>
          <w:p>
            <w:pPr>
              <w:spacing w:after="40"/>
            </w:pPr>
            <w:r>
              <w:rPr>
                <w:rFonts w:ascii="Aptos" w:hAnsi="Aptos"/>
                <w:sz w:val="17"/>
              </w:rPr>
              <w:t>The most sensitive assumptions are revenue conversion from late-stage enterprise deals, cloud hosting cost inflation, delivery utilization, subcontractor reliance, and the pace of automation savings. The copilot should cite guidance documents for assumptions a...</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Carlos Mendes</w:t>
            </w:r>
          </w:p>
        </w:tc>
        <w:tc>
          <w:tcPr>
            <w:tcW w:type="dxa" w:w="3360"/>
            <w:vAlign w:val="center"/>
            <w:tcMar>
              <w:top w:w="120" w:type="dxa"/>
              <w:start w:w="120" w:type="dxa"/>
              <w:bottom w:w="120" w:type="dxa"/>
              <w:end w:w="120" w:type="dxa"/>
            </w:tcMar>
            <w:shd w:fill="F8FBFC"/>
          </w:tcPr>
          <w:p>
            <w:pPr>
              <w:spacing w:after="40"/>
            </w:pPr>
            <w:r>
              <w:rPr>
                <w:rFonts w:ascii="Aptos" w:hAnsi="Aptos"/>
                <w:sz w:val="17"/>
              </w:rPr>
              <w:t>Are procurement delays creating a demand problem or just a timing problem in the pipeline?</w:t>
            </w:r>
          </w:p>
        </w:tc>
        <w:tc>
          <w:tcPr>
            <w:tcW w:type="dxa" w:w="3360"/>
            <w:vAlign w:val="center"/>
            <w:tcMar>
              <w:top w:w="120" w:type="dxa"/>
              <w:start w:w="120" w:type="dxa"/>
              <w:bottom w:w="120" w:type="dxa"/>
              <w:end w:w="120" w:type="dxa"/>
            </w:tcMar>
            <w:shd w:fill="F8FBFC"/>
          </w:tcPr>
          <w:p>
            <w:pPr>
              <w:spacing w:after="40"/>
            </w:pPr>
            <w:r>
              <w:rPr>
                <w:rFonts w:ascii="Aptos" w:hAnsi="Aptos"/>
                <w:sz w:val="17"/>
              </w:rPr>
              <w:t>The current evidence points more to timing than demand destruction. However, prolonged procurement delays can become a revenue risk if opportunities slip across multiple quarters. The copilot should avoid stating that demand is weak unless supporting pipeline ...</w:t>
            </w:r>
          </w:p>
        </w:tc>
      </w:tr>
      <w:tr>
        <w:tc>
          <w:tcPr>
            <w:tcW w:type="dxa" w:w="3360"/>
            <w:vAlign w:val="center"/>
            <w:tcMar>
              <w:top w:w="120" w:type="dxa"/>
              <w:start w:w="120" w:type="dxa"/>
              <w:bottom w:w="120" w:type="dxa"/>
              <w:end w:w="120" w:type="dxa"/>
            </w:tcMar>
          </w:tcPr>
          <w:p>
            <w:pPr>
              <w:spacing w:after="40"/>
            </w:pPr>
            <w:r>
              <w:rPr>
                <w:rFonts w:ascii="Aptos" w:hAnsi="Aptos"/>
                <w:sz w:val="17"/>
              </w:rPr>
              <w:t>Bethany Luo</w:t>
            </w:r>
          </w:p>
        </w:tc>
        <w:tc>
          <w:tcPr>
            <w:tcW w:type="dxa" w:w="3360"/>
            <w:vAlign w:val="center"/>
            <w:tcMar>
              <w:top w:w="120" w:type="dxa"/>
              <w:start w:w="120" w:type="dxa"/>
              <w:bottom w:w="120" w:type="dxa"/>
              <w:end w:w="120" w:type="dxa"/>
            </w:tcMar>
          </w:tcPr>
          <w:p>
            <w:pPr>
              <w:spacing w:after="40"/>
            </w:pPr>
            <w:r>
              <w:rPr>
                <w:rFonts w:ascii="Aptos" w:hAnsi="Aptos"/>
                <w:sz w:val="17"/>
              </w:rPr>
              <w:t>Which citations should the copilot use when explaining a variance to avoid unsupported narrative?</w:t>
            </w:r>
          </w:p>
        </w:tc>
        <w:tc>
          <w:tcPr>
            <w:tcW w:type="dxa" w:w="3360"/>
            <w:vAlign w:val="center"/>
            <w:tcMar>
              <w:top w:w="120" w:type="dxa"/>
              <w:start w:w="120" w:type="dxa"/>
              <w:bottom w:w="120" w:type="dxa"/>
              <w:end w:w="120" w:type="dxa"/>
            </w:tcMar>
          </w:tcPr>
          <w:p>
            <w:pPr>
              <w:spacing w:after="40"/>
            </w:pPr>
            <w:r>
              <w:rPr>
                <w:rFonts w:ascii="Aptos" w:hAnsi="Aptos"/>
                <w:sz w:val="17"/>
              </w:rPr>
              <w:t>For a variance explanation, cite the structured actuals and budget tables for the number, the KPI registry for the definition or formula, and the quarterly report narrative for management commentary. Narrative alone should not be used to calculate the variance...</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Theo Bennett</w:t>
            </w:r>
          </w:p>
        </w:tc>
        <w:tc>
          <w:tcPr>
            <w:tcW w:type="dxa" w:w="3360"/>
            <w:vAlign w:val="center"/>
            <w:tcMar>
              <w:top w:w="120" w:type="dxa"/>
              <w:start w:w="120" w:type="dxa"/>
              <w:bottom w:w="120" w:type="dxa"/>
              <w:end w:w="120" w:type="dxa"/>
            </w:tcMar>
            <w:shd w:fill="F8FBFC"/>
          </w:tcPr>
          <w:p>
            <w:pPr>
              <w:spacing w:after="40"/>
            </w:pPr>
            <w:r>
              <w:rPr>
                <w:rFonts w:ascii="Aptos" w:hAnsi="Aptos"/>
                <w:sz w:val="17"/>
              </w:rPr>
              <w:t>How much of the Cloud Services margin pressure is structural versus correctable through workload optimization?</w:t>
            </w:r>
          </w:p>
        </w:tc>
        <w:tc>
          <w:tcPr>
            <w:tcW w:type="dxa" w:w="3360"/>
            <w:vAlign w:val="center"/>
            <w:tcMar>
              <w:top w:w="120" w:type="dxa"/>
              <w:start w:w="120" w:type="dxa"/>
              <w:bottom w:w="120" w:type="dxa"/>
              <w:end w:w="120" w:type="dxa"/>
            </w:tcMar>
            <w:shd w:fill="F8FBFC"/>
          </w:tcPr>
          <w:p>
            <w:pPr>
              <w:spacing w:after="40"/>
            </w:pPr>
            <w:r>
              <w:rPr>
                <w:rFonts w:ascii="Aptos" w:hAnsi="Aptos"/>
                <w:sz w:val="17"/>
              </w:rPr>
              <w:t>Some pressure is structural because hosting volumes are rising. A meaningful portion is correctable through workload optimization, contract pass-through language, and FinOps governance. The copilot should avoid declaring full recovery unless savings are visibl...</w:t>
            </w:r>
          </w:p>
        </w:tc>
      </w:tr>
      <w:tr>
        <w:tc>
          <w:tcPr>
            <w:tcW w:type="dxa" w:w="3360"/>
            <w:vAlign w:val="center"/>
            <w:tcMar>
              <w:top w:w="120" w:type="dxa"/>
              <w:start w:w="120" w:type="dxa"/>
              <w:bottom w:w="120" w:type="dxa"/>
              <w:end w:w="120" w:type="dxa"/>
            </w:tcMar>
          </w:tcPr>
          <w:p>
            <w:pPr>
              <w:spacing w:after="40"/>
            </w:pPr>
            <w:r>
              <w:rPr>
                <w:rFonts w:ascii="Aptos" w:hAnsi="Aptos"/>
                <w:sz w:val="17"/>
              </w:rPr>
              <w:t>Anika Desai</w:t>
            </w:r>
          </w:p>
        </w:tc>
        <w:tc>
          <w:tcPr>
            <w:tcW w:type="dxa" w:w="3360"/>
            <w:vAlign w:val="center"/>
            <w:tcMar>
              <w:top w:w="120" w:type="dxa"/>
              <w:start w:w="120" w:type="dxa"/>
              <w:bottom w:w="120" w:type="dxa"/>
              <w:end w:w="120" w:type="dxa"/>
            </w:tcMar>
          </w:tcPr>
          <w:p>
            <w:pPr>
              <w:spacing w:after="40"/>
            </w:pPr>
            <w:r>
              <w:rPr>
                <w:rFonts w:ascii="Aptos" w:hAnsi="Aptos"/>
                <w:sz w:val="17"/>
              </w:rPr>
              <w:t>Could delayed billing milestones create a cash collection issue even if revenue remains on track?</w:t>
            </w:r>
          </w:p>
        </w:tc>
        <w:tc>
          <w:tcPr>
            <w:tcW w:type="dxa" w:w="3360"/>
            <w:vAlign w:val="center"/>
            <w:tcMar>
              <w:top w:w="120" w:type="dxa"/>
              <w:start w:w="120" w:type="dxa"/>
              <w:bottom w:w="120" w:type="dxa"/>
              <w:end w:w="120" w:type="dxa"/>
            </w:tcMar>
          </w:tcPr>
          <w:p>
            <w:pPr>
              <w:spacing w:after="40"/>
            </w:pPr>
            <w:r>
              <w:rPr>
                <w:rFonts w:ascii="Aptos" w:hAnsi="Aptos"/>
                <w:sz w:val="17"/>
              </w:rPr>
              <w:t>Yes. A milestone delay can leave revenue recognized later than planned and also delay billing or collection. Analysts should review billing status, milestone acceptance, and days sales outstanding before concluding that cash conversion is normal.</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Reed Kim</w:t>
            </w:r>
          </w:p>
        </w:tc>
        <w:tc>
          <w:tcPr>
            <w:tcW w:type="dxa" w:w="3360"/>
            <w:vAlign w:val="center"/>
            <w:tcMar>
              <w:top w:w="120" w:type="dxa"/>
              <w:start w:w="120" w:type="dxa"/>
              <w:bottom w:w="120" w:type="dxa"/>
              <w:end w:w="120" w:type="dxa"/>
            </w:tcMar>
            <w:shd w:fill="F8FBFC"/>
          </w:tcPr>
          <w:p>
            <w:pPr>
              <w:spacing w:after="40"/>
            </w:pPr>
            <w:r>
              <w:rPr>
                <w:rFonts w:ascii="Aptos" w:hAnsi="Aptos"/>
                <w:sz w:val="17"/>
              </w:rPr>
              <w:t>What should analysts watch in Data &amp; Analytics to distinguish project execution issues from client acceptance timing?</w:t>
            </w:r>
          </w:p>
        </w:tc>
        <w:tc>
          <w:tcPr>
            <w:tcW w:type="dxa" w:w="3360"/>
            <w:vAlign w:val="center"/>
            <w:tcMar>
              <w:top w:w="120" w:type="dxa"/>
              <w:start w:w="120" w:type="dxa"/>
              <w:bottom w:w="120" w:type="dxa"/>
              <w:end w:w="120" w:type="dxa"/>
            </w:tcMar>
            <w:shd w:fill="F8FBFC"/>
          </w:tcPr>
          <w:p>
            <w:pPr>
              <w:spacing w:after="40"/>
            </w:pPr>
            <w:r>
              <w:rPr>
                <w:rFonts w:ascii="Aptos" w:hAnsi="Aptos"/>
                <w:sz w:val="17"/>
              </w:rPr>
              <w:t>Watch client acceptance dates, scope change logs, backlog, and utilization. If delivery hours are on plan but acceptance is delayed, the issue is timing. If utilization and backlog fall together, the concern is broader execution or demand risk.</w:t>
            </w:r>
          </w:p>
        </w:tc>
      </w:tr>
      <w:tr>
        <w:tc>
          <w:tcPr>
            <w:tcW w:type="dxa" w:w="3360"/>
            <w:vAlign w:val="center"/>
            <w:tcMar>
              <w:top w:w="120" w:type="dxa"/>
              <w:start w:w="120" w:type="dxa"/>
              <w:bottom w:w="120" w:type="dxa"/>
              <w:end w:w="120" w:type="dxa"/>
            </w:tcMar>
          </w:tcPr>
          <w:p>
            <w:pPr>
              <w:spacing w:after="40"/>
            </w:pPr>
            <w:r>
              <w:rPr>
                <w:rFonts w:ascii="Aptos" w:hAnsi="Aptos"/>
                <w:sz w:val="17"/>
              </w:rPr>
              <w:t>Mira Cole</w:t>
            </w:r>
          </w:p>
        </w:tc>
        <w:tc>
          <w:tcPr>
            <w:tcW w:type="dxa" w:w="3360"/>
            <w:vAlign w:val="center"/>
            <w:tcMar>
              <w:top w:w="120" w:type="dxa"/>
              <w:start w:w="120" w:type="dxa"/>
              <w:bottom w:w="120" w:type="dxa"/>
              <w:end w:w="120" w:type="dxa"/>
            </w:tcMar>
          </w:tcPr>
          <w:p>
            <w:pPr>
              <w:spacing w:after="40"/>
            </w:pPr>
            <w:r>
              <w:rPr>
                <w:rFonts w:ascii="Aptos" w:hAnsi="Aptos"/>
                <w:sz w:val="17"/>
              </w:rPr>
              <w:t>Do we have enough recurring revenue visibility to support the midpoint of guidance?</w:t>
            </w:r>
          </w:p>
        </w:tc>
        <w:tc>
          <w:tcPr>
            <w:tcW w:type="dxa" w:w="3360"/>
            <w:vAlign w:val="center"/>
            <w:tcMar>
              <w:top w:w="120" w:type="dxa"/>
              <w:start w:w="120" w:type="dxa"/>
              <w:bottom w:w="120" w:type="dxa"/>
              <w:end w:w="120" w:type="dxa"/>
            </w:tcMar>
          </w:tcPr>
          <w:p>
            <w:pPr>
              <w:spacing w:after="40"/>
            </w:pPr>
            <w:r>
              <w:rPr>
                <w:rFonts w:ascii="Aptos" w:hAnsi="Aptos"/>
                <w:sz w:val="17"/>
              </w:rPr>
              <w:t>The renewal base in Managed Operations and recurring Cloud Services contracts provide visibility. The risk is whether new conversion and expansion can offset procurement slippage and hosting cost pressure.</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Owen Hughes</w:t>
            </w:r>
          </w:p>
        </w:tc>
        <w:tc>
          <w:tcPr>
            <w:tcW w:type="dxa" w:w="3360"/>
            <w:vAlign w:val="center"/>
            <w:tcMar>
              <w:top w:w="120" w:type="dxa"/>
              <w:start w:w="120" w:type="dxa"/>
              <w:bottom w:w="120" w:type="dxa"/>
              <w:end w:w="120" w:type="dxa"/>
            </w:tcMar>
            <w:shd w:fill="F8FBFC"/>
          </w:tcPr>
          <w:p>
            <w:pPr>
              <w:spacing w:after="40"/>
            </w:pPr>
            <w:r>
              <w:rPr>
                <w:rFonts w:ascii="Aptos" w:hAnsi="Aptos"/>
                <w:sz w:val="17"/>
              </w:rPr>
              <w:t>How should the copilot frame favorable expense variance if spending is simply delayed?</w:t>
            </w:r>
          </w:p>
        </w:tc>
        <w:tc>
          <w:tcPr>
            <w:tcW w:type="dxa" w:w="3360"/>
            <w:vAlign w:val="center"/>
            <w:tcMar>
              <w:top w:w="120" w:type="dxa"/>
              <w:start w:w="120" w:type="dxa"/>
              <w:bottom w:w="120" w:type="dxa"/>
              <w:end w:w="120" w:type="dxa"/>
            </w:tcMar>
            <w:shd w:fill="F8FBFC"/>
          </w:tcPr>
          <w:p>
            <w:pPr>
              <w:spacing w:after="40"/>
            </w:pPr>
            <w:r>
              <w:rPr>
                <w:rFonts w:ascii="Aptos" w:hAnsi="Aptos"/>
                <w:sz w:val="17"/>
              </w:rPr>
              <w:t>Label it as a timing item unless there is clear evidence of permanent savings. For example, delayed hiring or campaign spend may improve EBITDA in the current quarter but reverse in a future quarter.</w:t>
            </w:r>
          </w:p>
        </w:tc>
      </w:tr>
      <w:tr>
        <w:tc>
          <w:tcPr>
            <w:tcW w:type="dxa" w:w="3360"/>
            <w:vAlign w:val="center"/>
            <w:tcMar>
              <w:top w:w="120" w:type="dxa"/>
              <w:start w:w="120" w:type="dxa"/>
              <w:bottom w:w="120" w:type="dxa"/>
              <w:end w:w="120" w:type="dxa"/>
            </w:tcMar>
          </w:tcPr>
          <w:p>
            <w:pPr>
              <w:spacing w:after="40"/>
            </w:pPr>
            <w:r>
              <w:rPr>
                <w:rFonts w:ascii="Aptos" w:hAnsi="Aptos"/>
                <w:sz w:val="17"/>
              </w:rPr>
              <w:t>Leena Shah</w:t>
            </w:r>
          </w:p>
        </w:tc>
        <w:tc>
          <w:tcPr>
            <w:tcW w:type="dxa" w:w="3360"/>
            <w:vAlign w:val="center"/>
            <w:tcMar>
              <w:top w:w="120" w:type="dxa"/>
              <w:start w:w="120" w:type="dxa"/>
              <w:bottom w:w="120" w:type="dxa"/>
              <w:end w:w="120" w:type="dxa"/>
            </w:tcMar>
          </w:tcPr>
          <w:p>
            <w:pPr>
              <w:spacing w:after="40"/>
            </w:pPr>
            <w:r>
              <w:rPr>
                <w:rFonts w:ascii="Aptos" w:hAnsi="Aptos"/>
                <w:sz w:val="17"/>
              </w:rPr>
              <w:t>What leading indicators would cause us to move from base case to downside case?</w:t>
            </w:r>
          </w:p>
        </w:tc>
        <w:tc>
          <w:tcPr>
            <w:tcW w:type="dxa" w:w="3360"/>
            <w:vAlign w:val="center"/>
            <w:tcMar>
              <w:top w:w="120" w:type="dxa"/>
              <w:start w:w="120" w:type="dxa"/>
              <w:bottom w:w="120" w:type="dxa"/>
              <w:end w:w="120" w:type="dxa"/>
            </w:tcMar>
          </w:tcPr>
          <w:p>
            <w:pPr>
              <w:spacing w:after="40"/>
            </w:pPr>
            <w:r>
              <w:rPr>
                <w:rFonts w:ascii="Aptos" w:hAnsi="Aptos"/>
                <w:sz w:val="17"/>
              </w:rPr>
              <w:t>Triggers include revenue conversion below the low end of guidance, hosting cost growth outpacing revenue for two consecutive months, subcontractor spend above budget, and delayed client acceptances accumulating near quarter-end.</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Carlos Mendes</w:t>
            </w:r>
          </w:p>
        </w:tc>
        <w:tc>
          <w:tcPr>
            <w:tcW w:type="dxa" w:w="3360"/>
            <w:vAlign w:val="center"/>
            <w:tcMar>
              <w:top w:w="120" w:type="dxa"/>
              <w:start w:w="120" w:type="dxa"/>
              <w:bottom w:w="120" w:type="dxa"/>
              <w:end w:w="120" w:type="dxa"/>
            </w:tcMar>
            <w:shd w:fill="F8FBFC"/>
          </w:tcPr>
          <w:p>
            <w:pPr>
              <w:spacing w:after="40"/>
            </w:pPr>
            <w:r>
              <w:rPr>
                <w:rFonts w:ascii="Aptos" w:hAnsi="Aptos"/>
                <w:sz w:val="17"/>
              </w:rPr>
              <w:t>Which growth drivers should be emphasized in executive commentary next quarter?</w:t>
            </w:r>
          </w:p>
        </w:tc>
        <w:tc>
          <w:tcPr>
            <w:tcW w:type="dxa" w:w="3360"/>
            <w:vAlign w:val="center"/>
            <w:tcMar>
              <w:top w:w="120" w:type="dxa"/>
              <w:start w:w="120" w:type="dxa"/>
              <w:bottom w:w="120" w:type="dxa"/>
              <w:end w:w="120" w:type="dxa"/>
            </w:tcMar>
            <w:shd w:fill="F8FBFC"/>
          </w:tcPr>
          <w:p>
            <w:pPr>
              <w:spacing w:after="40"/>
            </w:pPr>
            <w:r>
              <w:rPr>
                <w:rFonts w:ascii="Aptos" w:hAnsi="Aptos"/>
                <w:sz w:val="17"/>
              </w:rPr>
              <w:t>Executive commentary should emphasize recurring revenue, cloud modernization demand, automation-led margin improvement, and data modernization cross-sell. It should also acknowledge procurement and hosting cost headwinds.</w:t>
            </w:r>
          </w:p>
        </w:tc>
      </w:tr>
      <w:tr>
        <w:tc>
          <w:tcPr>
            <w:tcW w:type="dxa" w:w="3360"/>
            <w:vAlign w:val="center"/>
            <w:tcMar>
              <w:top w:w="120" w:type="dxa"/>
              <w:start w:w="120" w:type="dxa"/>
              <w:bottom w:w="120" w:type="dxa"/>
              <w:end w:w="120" w:type="dxa"/>
            </w:tcMar>
          </w:tcPr>
          <w:p>
            <w:pPr>
              <w:spacing w:after="40"/>
            </w:pPr>
            <w:r>
              <w:rPr>
                <w:rFonts w:ascii="Aptos" w:hAnsi="Aptos"/>
                <w:sz w:val="17"/>
              </w:rPr>
              <w:t>Bethany Luo</w:t>
            </w:r>
          </w:p>
        </w:tc>
        <w:tc>
          <w:tcPr>
            <w:tcW w:type="dxa" w:w="3360"/>
            <w:vAlign w:val="center"/>
            <w:tcMar>
              <w:top w:w="120" w:type="dxa"/>
              <w:start w:w="120" w:type="dxa"/>
              <w:bottom w:w="120" w:type="dxa"/>
              <w:end w:w="120" w:type="dxa"/>
            </w:tcMar>
          </w:tcPr>
          <w:p>
            <w:pPr>
              <w:spacing w:after="40"/>
            </w:pPr>
            <w:r>
              <w:rPr>
                <w:rFonts w:ascii="Aptos" w:hAnsi="Aptos"/>
                <w:sz w:val="17"/>
              </w:rPr>
              <w:t>What should the system do if a user asks a broad question like are we on track?</w:t>
            </w:r>
          </w:p>
        </w:tc>
        <w:tc>
          <w:tcPr>
            <w:tcW w:type="dxa" w:w="3360"/>
            <w:vAlign w:val="center"/>
            <w:tcMar>
              <w:top w:w="120" w:type="dxa"/>
              <w:start w:w="120" w:type="dxa"/>
              <w:bottom w:w="120" w:type="dxa"/>
              <w:end w:w="120" w:type="dxa"/>
            </w:tcMar>
          </w:tcPr>
          <w:p>
            <w:pPr>
              <w:spacing w:after="40"/>
            </w:pPr>
            <w:r>
              <w:rPr>
                <w:rFonts w:ascii="Aptos" w:hAnsi="Aptos"/>
                <w:sz w:val="17"/>
              </w:rPr>
              <w:t>The system should ask for metric, period, and business unit. A broad question should not trigger a generic performance answer unless the user accepts a default executive summary.</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Theo Bennett</w:t>
            </w:r>
          </w:p>
        </w:tc>
        <w:tc>
          <w:tcPr>
            <w:tcW w:type="dxa" w:w="3360"/>
            <w:vAlign w:val="center"/>
            <w:tcMar>
              <w:top w:w="120" w:type="dxa"/>
              <w:start w:w="120" w:type="dxa"/>
              <w:bottom w:w="120" w:type="dxa"/>
              <w:end w:w="120" w:type="dxa"/>
            </w:tcMar>
            <w:shd w:fill="F8FBFC"/>
          </w:tcPr>
          <w:p>
            <w:pPr>
              <w:spacing w:after="40"/>
            </w:pPr>
            <w:r>
              <w:rPr>
                <w:rFonts w:ascii="Aptos" w:hAnsi="Aptos"/>
                <w:sz w:val="17"/>
              </w:rPr>
              <w:t>Where should we look first when Cloud Services revenue grows but EBITDA does not expand?</w:t>
            </w:r>
          </w:p>
        </w:tc>
        <w:tc>
          <w:tcPr>
            <w:tcW w:type="dxa" w:w="3360"/>
            <w:vAlign w:val="center"/>
            <w:tcMar>
              <w:top w:w="120" w:type="dxa"/>
              <w:start w:w="120" w:type="dxa"/>
              <w:bottom w:w="120" w:type="dxa"/>
              <w:end w:w="120" w:type="dxa"/>
            </w:tcMar>
            <w:shd w:fill="F8FBFC"/>
          </w:tcPr>
          <w:p>
            <w:pPr>
              <w:spacing w:after="40"/>
            </w:pPr>
            <w:r>
              <w:rPr>
                <w:rFonts w:ascii="Aptos" w:hAnsi="Aptos"/>
                <w:sz w:val="17"/>
              </w:rPr>
              <w:t>Start with COGS mix. The likely causes are higher hosting costs, subcontractor spend, or lower delivery labor utilization. Then compare operating expense timing and budget variance.</w:t>
            </w:r>
          </w:p>
        </w:tc>
      </w:tr>
    </w:tbl>
    <w:p/>
    <w:p>
      <w:pPr>
        <w:pStyle w:val="Heading1"/>
      </w:pPr>
      <w:r>
        <w:t>Company Commentary by Executive Stakeholder</w:t>
      </w:r>
    </w:p>
    <w:p>
      <w:pPr>
        <w:pStyle w:val="Heading2"/>
      </w:pPr>
      <w:r>
        <w:t>Elena Marquez - Chief Executive Officer</w:t>
      </w:r>
    </w:p>
    <w:p>
      <w:pPr>
        <w:spacing w:after="140" w:line="259" w:lineRule="auto"/>
      </w:pPr>
      <w:r>
        <w:t>Focus area: Growth strategy, strategic clients, portfolio mix, and long-range value creation.</w:t>
      </w:r>
    </w:p>
    <w:p>
      <w:pPr>
        <w:spacing w:after="140" w:line="259" w:lineRule="auto"/>
      </w:pPr>
      <w:r>
        <w:t>Commentary: Elena Marquez emphasizes that FY2027 performance should be assessed through both growth and quality of growth. The executive perspective favors clear linkage between business drivers, financial metrics, and source evidence. When the copilot uses this stakeholder context, it should explain which KPI the stakeholder is likely to prioritize and why.</w:t>
      </w:r>
    </w:p>
    <w:p>
      <w:pPr>
        <w:pStyle w:val="Heading2"/>
      </w:pPr>
      <w:r>
        <w:t>Nathan Okafor - Chief Financial Officer</w:t>
      </w:r>
    </w:p>
    <w:p>
      <w:pPr>
        <w:spacing w:after="140" w:line="259" w:lineRule="auto"/>
      </w:pPr>
      <w:r>
        <w:t>Focus area: Financial guidance, EBITDA conversion, cash collection, investor messaging, and governance.</w:t>
      </w:r>
    </w:p>
    <w:p>
      <w:pPr>
        <w:spacing w:after="140" w:line="259" w:lineRule="auto"/>
      </w:pPr>
      <w:r>
        <w:t>Commentary: Nathan Okafor emphasizes that FY2027 performance should be assessed through both growth and quality of growth. The executive perspective favors clear linkage between business drivers, financial metrics, and source evidence. When the copilot uses this stakeholder context, it should explain which KPI the stakeholder is likely to prioritize and why.</w:t>
      </w:r>
    </w:p>
    <w:p>
      <w:pPr>
        <w:pStyle w:val="Heading2"/>
      </w:pPr>
      <w:r>
        <w:t>Priya Raman - Chief Operating Officer</w:t>
      </w:r>
    </w:p>
    <w:p>
      <w:pPr>
        <w:spacing w:after="140" w:line="259" w:lineRule="auto"/>
      </w:pPr>
      <w:r>
        <w:t>Focus area: Delivery utilization, staffing, quality, subcontractor controls, and operational execution.</w:t>
      </w:r>
    </w:p>
    <w:p>
      <w:pPr>
        <w:spacing w:after="140" w:line="259" w:lineRule="auto"/>
      </w:pPr>
      <w:r>
        <w:t>Commentary: Priya Raman emphasizes that FY2027 performance should be assessed through both growth and quality of growth. The executive perspective favors clear linkage between business drivers, financial metrics, and source evidence. When the copilot uses this stakeholder context, it should explain which KPI the stakeholder is likely to prioritize and why.</w:t>
      </w:r>
    </w:p>
    <w:p>
      <w:pPr>
        <w:pStyle w:val="Heading2"/>
      </w:pPr>
      <w:r>
        <w:t>Marcus Bell - Chief Technology Officer</w:t>
      </w:r>
    </w:p>
    <w:p>
      <w:pPr>
        <w:spacing w:after="140" w:line="259" w:lineRule="auto"/>
      </w:pPr>
      <w:r>
        <w:t>Focus area: AI delivery platform, reusable accelerators, cloud tooling, and automation roadmap.</w:t>
      </w:r>
    </w:p>
    <w:p>
      <w:pPr>
        <w:spacing w:after="140" w:line="259" w:lineRule="auto"/>
      </w:pPr>
      <w:r>
        <w:t>Commentary: Marcus Bell emphasizes that FY2027 performance should be assessed through both growth and quality of growth. The executive perspective favors clear linkage between business drivers, financial metrics, and source evidence. When the copilot uses this stakeholder context, it should explain which KPI the stakeholder is likely to prioritize and why.</w:t>
      </w:r>
    </w:p>
    <w:p>
      <w:pPr>
        <w:pStyle w:val="Heading2"/>
      </w:pPr>
      <w:r>
        <w:t>Sofia Chen - Chief Revenue Officer</w:t>
      </w:r>
    </w:p>
    <w:p>
      <w:pPr>
        <w:spacing w:after="140" w:line="259" w:lineRule="auto"/>
      </w:pPr>
      <w:r>
        <w:t>Focus area: Pipeline quality, pricing discipline, renewals, cross-sell, and strategic accounts.</w:t>
      </w:r>
    </w:p>
    <w:p>
      <w:pPr>
        <w:spacing w:after="140" w:line="259" w:lineRule="auto"/>
      </w:pPr>
      <w:r>
        <w:t>Commentary: Sofia Chen emphasizes that FY2027 performance should be assessed through both growth and quality of growth. The executive perspective favors clear linkage between business drivers, financial metrics, and source evidence. When the copilot uses this stakeholder context, it should explain which KPI the stakeholder is likely to prioritize and why.</w:t>
      </w:r>
    </w:p>
    <w:p>
      <w:pPr>
        <w:pStyle w:val="Heading2"/>
      </w:pPr>
      <w:r>
        <w:t>Maya Patel - Audit Committee Chair</w:t>
      </w:r>
    </w:p>
    <w:p>
      <w:pPr>
        <w:spacing w:after="140" w:line="259" w:lineRule="auto"/>
      </w:pPr>
      <w:r>
        <w:t>Focus area: Controls, data lineage, disclosure discipline, and traceable financial narratives.</w:t>
      </w:r>
    </w:p>
    <w:p>
      <w:pPr>
        <w:spacing w:after="140" w:line="259" w:lineRule="auto"/>
      </w:pPr>
      <w:r>
        <w:t>Commentary: Maya Patel emphasizes that FY2027 performance should be assessed through both growth and quality of growth. The executive perspective favors clear linkage between business drivers, financial metrics, and source evidence. When the copilot uses this stakeholder context, it should explain which KPI the stakeholder is likely to prioritize and why.</w:t>
      </w:r>
    </w:p>
    <w:p>
      <w:pPr>
        <w:pStyle w:val="Heading2"/>
      </w:pPr>
      <w:r>
        <w:t>Daniel Wexler - Board Chair</w:t>
      </w:r>
    </w:p>
    <w:p>
      <w:pPr>
        <w:spacing w:after="140" w:line="259" w:lineRule="auto"/>
      </w:pPr>
      <w:r>
        <w:t>Focus area: Long-range strategy, capital allocation, and executive-level narrative simplicity.</w:t>
      </w:r>
    </w:p>
    <w:p>
      <w:pPr>
        <w:spacing w:after="140" w:line="259" w:lineRule="auto"/>
      </w:pPr>
      <w:r>
        <w:t>Commentary: Daniel Wexler emphasizes that FY2027 performance should be assessed through both growth and quality of growth. The executive perspective favors clear linkage between business drivers, financial metrics, and source evidence. When the copilot uses this stakeholder context, it should explain which KPI the stakeholder is likely to prioritize and why.</w:t>
      </w:r>
    </w:p>
    <w:p>
      <w:pPr>
        <w:pStyle w:val="Heading2"/>
      </w:pPr>
      <w:r>
        <w:t>Jordan Ellis - VP FP&amp;A</w:t>
      </w:r>
    </w:p>
    <w:p>
      <w:pPr>
        <w:spacing w:after="140" w:line="259" w:lineRule="auto"/>
      </w:pPr>
      <w:r>
        <w:t>Focus area: Quarterly guidance, scenario modeling, variance bridges, and copilot adoption.</w:t>
      </w:r>
    </w:p>
    <w:p>
      <w:pPr>
        <w:spacing w:after="140" w:line="259" w:lineRule="auto"/>
      </w:pPr>
      <w:r>
        <w:t>Commentary: Jordan Ellis emphasizes that FY2027 performance should be assessed through both growth and quality of growth. The executive perspective favors clear linkage between business drivers, financial metrics, and source evidence. When the copilot uses this stakeholder context, it should explain which KPI the stakeholder is likely to prioritize and why.</w:t>
      </w:r>
    </w:p>
    <w:p>
      <w:pPr>
        <w:pStyle w:val="Heading1"/>
      </w:pPr>
      <w:r>
        <w:t>Copilot Retrieval and Chunking Notes</w:t>
      </w:r>
    </w:p>
    <w:p>
      <w:pPr>
        <w:pStyle w:val="ListBullet"/>
        <w:spacing w:after="60"/>
      </w:pPr>
      <w:r>
        <w:t>Chunk by H1/H2 headings to preserve topic boundaries.</w:t>
      </w:r>
    </w:p>
    <w:p>
      <w:pPr>
        <w:pStyle w:val="ListBullet"/>
        <w:spacing w:after="60"/>
      </w:pPr>
      <w:r>
        <w:t>Treat scenario tables as high-value retrieval targets for guidance questions.</w:t>
      </w:r>
    </w:p>
    <w:p>
      <w:pPr>
        <w:pStyle w:val="ListBullet"/>
        <w:spacing w:after="60"/>
      </w:pPr>
      <w:r>
        <w:t>Use tailwind/headwind sections for qualitative explanation and structured finance tables for numeric validation.</w:t>
      </w:r>
    </w:p>
    <w:p>
      <w:pPr>
        <w:pStyle w:val="ListBullet"/>
        <w:spacing w:after="60"/>
      </w:pPr>
      <w:r>
        <w:t>Cite stakeholder commentary only for company context, not for numerical calculation.</w:t>
      </w:r>
    </w:p>
    <w:p>
      <w:r>
        <w:br w:type="page"/>
      </w:r>
    </w:p>
    <w:p>
      <w:pPr>
        <w:pStyle w:val="Heading1"/>
      </w:pPr>
      <w:r>
        <w:t>Appendix A: Extended FY2027 Analyst Dialogue and Management Commentary</w:t>
      </w:r>
    </w:p>
    <w:p>
      <w:pPr>
        <w:spacing w:after="140" w:line="259" w:lineRule="auto"/>
      </w:pPr>
      <w:r>
        <w:t>This appendix adds richer conversation detail for FY2027. It is meant to mimic internal analyst review notes and management preparation materials that a finance analyst might search during quarterly variance analysis.</w:t>
      </w:r>
    </w:p>
    <w:p>
      <w:pPr>
        <w:pStyle w:val="Heading2"/>
      </w:pPr>
      <w:r>
        <w:t>FY2027 dialogue 1: Mira Cole - Lead FP&amp;A Analyst</w:t>
      </w:r>
    </w:p>
    <w:p>
      <w:pPr>
        <w:spacing w:after="140" w:line="259" w:lineRule="auto"/>
      </w:pPr>
      <w:r>
        <w:t>Mira Cole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FY2027, Mira Cole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FY2027 dialogue 2: Owen Hughes - Margin Analyst</w:t>
      </w:r>
    </w:p>
    <w:p>
      <w:pPr>
        <w:spacing w:after="140" w:line="259" w:lineRule="auto"/>
      </w:pPr>
      <w:r>
        <w:t>Owen Hughes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FY2027, Owen Hughes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FY2027 dialogue 3: Leena Shah - Guidance Analyst</w:t>
      </w:r>
    </w:p>
    <w:p>
      <w:pPr>
        <w:spacing w:after="140" w:line="259" w:lineRule="auto"/>
      </w:pPr>
      <w:r>
        <w:t>Leena Shah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FY2027, Leena Shah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FY2027 dialogue 4: Carlos Mendes - Revenue Operations Analyst</w:t>
      </w:r>
    </w:p>
    <w:p>
      <w:pPr>
        <w:spacing w:after="140" w:line="259" w:lineRule="auto"/>
      </w:pPr>
      <w:r>
        <w:t>Carlos Mendes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FY2027, Carlos Mendes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FY2027 dialogue 5: Bethany Luo - Controls Analyst</w:t>
      </w:r>
    </w:p>
    <w:p>
      <w:pPr>
        <w:spacing w:after="140" w:line="259" w:lineRule="auto"/>
      </w:pPr>
      <w:r>
        <w:t>Bethany Luo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FY2027, Bethany Luo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FY2027 dialogue 6: Theo Bennett - Cloud Finance Analyst</w:t>
      </w:r>
    </w:p>
    <w:p>
      <w:pPr>
        <w:spacing w:after="140" w:line="259" w:lineRule="auto"/>
      </w:pPr>
      <w:r>
        <w:t>Theo Bennett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FY2027, Theo Bennett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FY2027 dialogue 7: Anika Desai - Working Capital Analyst</w:t>
      </w:r>
    </w:p>
    <w:p>
      <w:pPr>
        <w:spacing w:after="140" w:line="259" w:lineRule="auto"/>
      </w:pPr>
      <w:r>
        <w:t>Anika Desai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FY2027, Anika Desai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FY2027 dialogue 8: Reed Kim - Business Unit Finance Analyst</w:t>
      </w:r>
    </w:p>
    <w:p>
      <w:pPr>
        <w:spacing w:after="140" w:line="259" w:lineRule="auto"/>
      </w:pPr>
      <w:r>
        <w:t>Reed Kim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FY2027, Reed Kim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1"/>
      </w:pPr>
      <w:r>
        <w:t>Appendix B: FY2027 Commentary Quality Checklist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Question</w:t>
            </w:r>
          </w:p>
        </w:tc>
        <w:tc>
          <w:tcPr>
            <w:tcW w:type="dxa" w:w="3360"/>
            <w:vAlign w:val="center"/>
            <w:tcMar>
              <w:top w:w="100" w:type="dxa"/>
              <w:start w:w="100" w:type="dxa"/>
              <w:bottom w:w="100" w:type="dxa"/>
              <w:end w:w="100" w:type="dxa"/>
            </w:tcMar>
            <w:shd w:fill="0E7C86"/>
          </w:tcPr>
          <w:p>
            <w:pPr>
              <w:spacing w:after="40"/>
            </w:pPr>
            <w:r>
              <w:rPr>
                <w:b/>
                <w:color w:val="FFFFFF"/>
                <w:sz w:val="17"/>
              </w:rPr>
              <w:t>Good response behavior</w:t>
            </w:r>
          </w:p>
        </w:tc>
        <w:tc>
          <w:tcPr>
            <w:tcW w:type="dxa" w:w="3360"/>
            <w:vAlign w:val="center"/>
            <w:tcMar>
              <w:top w:w="100" w:type="dxa"/>
              <w:start w:w="100" w:type="dxa"/>
              <w:bottom w:w="100" w:type="dxa"/>
              <w:end w:w="100" w:type="dxa"/>
            </w:tcMar>
            <w:shd w:fill="0E7C86"/>
          </w:tcPr>
          <w:p>
            <w:pPr>
              <w:spacing w:after="40"/>
            </w:pPr>
            <w:r>
              <w:rPr>
                <w:b/>
                <w:color w:val="FFFFFF"/>
                <w:sz w:val="17"/>
              </w:rPr>
              <w:t>Weak response behavior</w:t>
            </w:r>
          </w:p>
        </w:tc>
      </w:tr>
      <w:tr>
        <w:tc>
          <w:tcPr>
            <w:tcW w:type="dxa" w:w="3360"/>
            <w:vAlign w:val="center"/>
            <w:tcMar>
              <w:top w:w="100" w:type="dxa"/>
              <w:start w:w="100" w:type="dxa"/>
              <w:bottom w:w="100" w:type="dxa"/>
              <w:end w:w="100" w:type="dxa"/>
            </w:tcMar>
          </w:tcPr>
          <w:p>
            <w:pPr>
              <w:spacing w:after="40"/>
            </w:pPr>
            <w:r>
              <w:rPr>
                <w:sz w:val="17"/>
              </w:rPr>
              <w:t>Does the answer cite data?</w:t>
            </w:r>
          </w:p>
        </w:tc>
        <w:tc>
          <w:tcPr>
            <w:tcW w:type="dxa" w:w="3360"/>
            <w:vAlign w:val="center"/>
            <w:tcMar>
              <w:top w:w="100" w:type="dxa"/>
              <w:start w:w="100" w:type="dxa"/>
              <w:bottom w:w="100" w:type="dxa"/>
              <w:end w:w="100" w:type="dxa"/>
            </w:tcMar>
          </w:tcPr>
          <w:p>
            <w:pPr>
              <w:spacing w:after="40"/>
            </w:pPr>
            <w:r>
              <w:rPr>
                <w:sz w:val="17"/>
              </w:rPr>
              <w:t>References source table, column, period, and formula.</w:t>
            </w:r>
          </w:p>
        </w:tc>
        <w:tc>
          <w:tcPr>
            <w:tcW w:type="dxa" w:w="3360"/>
            <w:vAlign w:val="center"/>
            <w:tcMar>
              <w:top w:w="100" w:type="dxa"/>
              <w:start w:w="100" w:type="dxa"/>
              <w:bottom w:w="100" w:type="dxa"/>
              <w:end w:w="100" w:type="dxa"/>
            </w:tcMar>
          </w:tcPr>
          <w:p>
            <w:pPr>
              <w:spacing w:after="40"/>
            </w:pPr>
            <w:r>
              <w:rPr>
                <w:sz w:val="17"/>
              </w:rPr>
              <w:t>Only cites narrative commentary.</w:t>
            </w:r>
          </w:p>
        </w:tc>
      </w:tr>
      <w:tr>
        <w:tc>
          <w:tcPr>
            <w:tcW w:type="dxa" w:w="3360"/>
            <w:vAlign w:val="center"/>
            <w:tcMar>
              <w:top w:w="100" w:type="dxa"/>
              <w:start w:w="100" w:type="dxa"/>
              <w:bottom w:w="100" w:type="dxa"/>
              <w:end w:w="100" w:type="dxa"/>
            </w:tcMar>
            <w:shd w:fill="F8FBFC"/>
          </w:tcPr>
          <w:p>
            <w:pPr>
              <w:spacing w:after="40"/>
            </w:pPr>
            <w:r>
              <w:rPr>
                <w:sz w:val="17"/>
              </w:rPr>
              <w:t>Does it explain driver relevance?</w:t>
            </w:r>
          </w:p>
        </w:tc>
        <w:tc>
          <w:tcPr>
            <w:tcW w:type="dxa" w:w="3360"/>
            <w:vAlign w:val="center"/>
            <w:tcMar>
              <w:top w:w="100" w:type="dxa"/>
              <w:start w:w="100" w:type="dxa"/>
              <w:bottom w:w="100" w:type="dxa"/>
              <w:end w:w="100" w:type="dxa"/>
            </w:tcMar>
            <w:shd w:fill="F8FBFC"/>
          </w:tcPr>
          <w:p>
            <w:pPr>
              <w:spacing w:after="40"/>
            </w:pPr>
            <w:r>
              <w:rPr>
                <w:sz w:val="17"/>
              </w:rPr>
              <w:t>Links driver to revenue, margin, EBITDA, or cash.</w:t>
            </w:r>
          </w:p>
        </w:tc>
        <w:tc>
          <w:tcPr>
            <w:tcW w:type="dxa" w:w="3360"/>
            <w:vAlign w:val="center"/>
            <w:tcMar>
              <w:top w:w="100" w:type="dxa"/>
              <w:start w:w="100" w:type="dxa"/>
              <w:bottom w:w="100" w:type="dxa"/>
              <w:end w:w="100" w:type="dxa"/>
            </w:tcMar>
            <w:shd w:fill="F8FBFC"/>
          </w:tcPr>
          <w:p>
            <w:pPr>
              <w:spacing w:after="40"/>
            </w:pPr>
            <w:r>
              <w:rPr>
                <w:sz w:val="17"/>
              </w:rPr>
              <w:t>Lists generic business factors.</w:t>
            </w:r>
          </w:p>
        </w:tc>
      </w:tr>
      <w:tr>
        <w:tc>
          <w:tcPr>
            <w:tcW w:type="dxa" w:w="3360"/>
            <w:vAlign w:val="center"/>
            <w:tcMar>
              <w:top w:w="100" w:type="dxa"/>
              <w:start w:w="100" w:type="dxa"/>
              <w:bottom w:w="100" w:type="dxa"/>
              <w:end w:w="100" w:type="dxa"/>
            </w:tcMar>
          </w:tcPr>
          <w:p>
            <w:pPr>
              <w:spacing w:after="40"/>
            </w:pPr>
            <w:r>
              <w:rPr>
                <w:sz w:val="17"/>
              </w:rPr>
              <w:t>Does it handle ambiguity?</w:t>
            </w:r>
          </w:p>
        </w:tc>
        <w:tc>
          <w:tcPr>
            <w:tcW w:type="dxa" w:w="3360"/>
            <w:vAlign w:val="center"/>
            <w:tcMar>
              <w:top w:w="100" w:type="dxa"/>
              <w:start w:w="100" w:type="dxa"/>
              <w:bottom w:w="100" w:type="dxa"/>
              <w:end w:w="100" w:type="dxa"/>
            </w:tcMar>
          </w:tcPr>
          <w:p>
            <w:pPr>
              <w:spacing w:after="40"/>
            </w:pPr>
            <w:r>
              <w:rPr>
                <w:sz w:val="17"/>
              </w:rPr>
              <w:t>Asks for metric, period, and business unit.</w:t>
            </w:r>
          </w:p>
        </w:tc>
        <w:tc>
          <w:tcPr>
            <w:tcW w:type="dxa" w:w="3360"/>
            <w:vAlign w:val="center"/>
            <w:tcMar>
              <w:top w:w="100" w:type="dxa"/>
              <w:start w:w="100" w:type="dxa"/>
              <w:bottom w:w="100" w:type="dxa"/>
              <w:end w:w="100" w:type="dxa"/>
            </w:tcMar>
          </w:tcPr>
          <w:p>
            <w:pPr>
              <w:spacing w:after="40"/>
            </w:pPr>
            <w:r>
              <w:rPr>
                <w:sz w:val="17"/>
              </w:rPr>
              <w:t>Answers broadly without assumptions.</w:t>
            </w:r>
          </w:p>
        </w:tc>
      </w:tr>
      <w:tr>
        <w:tc>
          <w:tcPr>
            <w:tcW w:type="dxa" w:w="3360"/>
            <w:vAlign w:val="center"/>
            <w:tcMar>
              <w:top w:w="100" w:type="dxa"/>
              <w:start w:w="100" w:type="dxa"/>
              <w:bottom w:w="100" w:type="dxa"/>
              <w:end w:w="100" w:type="dxa"/>
            </w:tcMar>
            <w:shd w:fill="F8FBFC"/>
          </w:tcPr>
          <w:p>
            <w:pPr>
              <w:spacing w:after="40"/>
            </w:pPr>
            <w:r>
              <w:rPr>
                <w:sz w:val="17"/>
              </w:rPr>
              <w:t>Does it separate actuals and guidance?</w:t>
            </w:r>
          </w:p>
        </w:tc>
        <w:tc>
          <w:tcPr>
            <w:tcW w:type="dxa" w:w="3360"/>
            <w:vAlign w:val="center"/>
            <w:tcMar>
              <w:top w:w="100" w:type="dxa"/>
              <w:start w:w="100" w:type="dxa"/>
              <w:bottom w:w="100" w:type="dxa"/>
              <w:end w:w="100" w:type="dxa"/>
            </w:tcMar>
            <w:shd w:fill="F8FBFC"/>
          </w:tcPr>
          <w:p>
            <w:pPr>
              <w:spacing w:after="40"/>
            </w:pPr>
            <w:r>
              <w:rPr>
                <w:sz w:val="17"/>
              </w:rPr>
              <w:t>Labels actual, budget, forecast, and guidance clearly.</w:t>
            </w:r>
          </w:p>
        </w:tc>
        <w:tc>
          <w:tcPr>
            <w:tcW w:type="dxa" w:w="3360"/>
            <w:vAlign w:val="center"/>
            <w:tcMar>
              <w:top w:w="100" w:type="dxa"/>
              <w:start w:w="100" w:type="dxa"/>
              <w:bottom w:w="100" w:type="dxa"/>
              <w:end w:w="100" w:type="dxa"/>
            </w:tcMar>
            <w:shd w:fill="F8FBFC"/>
          </w:tcPr>
          <w:p>
            <w:pPr>
              <w:spacing w:after="40"/>
            </w:pPr>
            <w:r>
              <w:rPr>
                <w:sz w:val="17"/>
              </w:rPr>
              <w:t>Mixes guidance with realized results.</w:t>
            </w:r>
          </w:p>
        </w:tc>
      </w:tr>
    </w:tbl>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