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June 2026 Variance Analysis</w:t>
      </w:r>
    </w:p>
    <w:p>
      <w:pPr>
        <w:jc w:val="center"/>
      </w:pPr>
      <w:r>
        <w:rPr>
          <w:i/>
          <w:sz w:val="20"/>
        </w:rPr>
        <w:t>Monthly report for actual-vs-budget and month-over-month analysis</w:t>
      </w:r>
    </w:p>
    <w:p>
      <w:pPr>
        <w:jc w:val="center"/>
      </w:pPr>
      <w:r>
        <w:t>Synthetic sample document for AI capstone training. Not client or production data.</w:t>
      </w:r>
    </w:p>
    <w:p>
      <w:pPr>
        <w:pStyle w:val="Heading1"/>
      </w:pPr>
      <w:r>
        <w:t>Executive Summary</w:t>
      </w:r>
    </w:p>
    <w:p>
      <w:r>
        <w:t>June results included continued growth in Cloud Services and Managed Operations, partially offset by a temporary revenue dip in Data &amp; Analytics. Cloud hosting costs increased in June, reducing Cloud Services gross margin compared with May.</w:t>
      </w:r>
    </w:p>
    <w:p>
      <w:pPr>
        <w:pStyle w:val="Heading1"/>
      </w:pPr>
      <w:r>
        <w:t>June Revenue by Business 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024"/>
            <w:shd w:fill="1F4E78"/>
          </w:tcPr>
          <w:p>
            <w:r>
              <w:rPr>
                <w:b/>
              </w:rPr>
              <w:t>Business Unit</w:t>
            </w:r>
          </w:p>
        </w:tc>
        <w:tc>
          <w:tcPr>
            <w:tcW w:type="dxa" w:w="1872"/>
            <w:shd w:fill="1F4E78"/>
          </w:tcPr>
          <w:p>
            <w:r>
              <w:rPr>
                <w:b/>
              </w:rPr>
              <w:t>May Revenue</w:t>
            </w:r>
          </w:p>
        </w:tc>
        <w:tc>
          <w:tcPr>
            <w:tcW w:type="dxa" w:w="1872"/>
            <w:shd w:fill="1F4E78"/>
          </w:tcPr>
          <w:p>
            <w:r>
              <w:rPr>
                <w:b/>
              </w:rPr>
              <w:t>June Revenue</w:t>
            </w:r>
          </w:p>
        </w:tc>
        <w:tc>
          <w:tcPr>
            <w:tcW w:type="dxa" w:w="1872"/>
            <w:shd w:fill="1F4E78"/>
          </w:tcPr>
          <w:p>
            <w:r>
              <w:rPr>
                <w:b/>
              </w:rPr>
              <w:t>MoM Change</w:t>
            </w:r>
          </w:p>
        </w:tc>
        <w:tc>
          <w:tcPr>
            <w:tcW w:type="dxa" w:w="1872"/>
            <w:shd w:fill="1F4E78"/>
          </w:tcPr>
          <w:p>
            <w:r>
              <w:rPr>
                <w:b/>
              </w:rPr>
              <w:t>Gross Margin</w:t>
            </w:r>
          </w:p>
        </w:tc>
      </w:tr>
      <w:tr>
        <w:tc>
          <w:tcPr>
            <w:tcW w:type="dxa" w:w="3024"/>
            <w:vAlign w:val="top"/>
          </w:tcPr>
          <w:p>
            <w:r>
              <w:t>North America Consulting</w:t>
            </w:r>
          </w:p>
        </w:tc>
        <w:tc>
          <w:tcPr>
            <w:tcW w:type="dxa" w:w="1872"/>
            <w:vAlign w:val="top"/>
          </w:tcPr>
          <w:p>
            <w:r>
              <w:t>$0.90M</w:t>
            </w:r>
          </w:p>
        </w:tc>
        <w:tc>
          <w:tcPr>
            <w:tcW w:type="dxa" w:w="1872"/>
            <w:vAlign w:val="top"/>
          </w:tcPr>
          <w:p>
            <w:r>
              <w:t>$0.92M</w:t>
            </w:r>
          </w:p>
        </w:tc>
        <w:tc>
          <w:tcPr>
            <w:tcW w:type="dxa" w:w="1872"/>
            <w:vAlign w:val="top"/>
          </w:tcPr>
          <w:p>
            <w:r>
              <w:t>$0.02M</w:t>
            </w:r>
          </w:p>
        </w:tc>
        <w:tc>
          <w:tcPr>
            <w:tcW w:type="dxa" w:w="1872"/>
            <w:vAlign w:val="top"/>
          </w:tcPr>
          <w:p>
            <w:r>
              <w:t>44.0%</w:t>
            </w:r>
          </w:p>
        </w:tc>
      </w:tr>
      <w:tr>
        <w:tc>
          <w:tcPr>
            <w:tcW w:type="dxa" w:w="3024"/>
            <w:vAlign w:val="top"/>
          </w:tcPr>
          <w:p>
            <w:r>
              <w:t>Cloud Services</w:t>
            </w:r>
          </w:p>
        </w:tc>
        <w:tc>
          <w:tcPr>
            <w:tcW w:type="dxa" w:w="1872"/>
            <w:vAlign w:val="top"/>
          </w:tcPr>
          <w:p>
            <w:r>
              <w:t>$1.21M</w:t>
            </w:r>
          </w:p>
        </w:tc>
        <w:tc>
          <w:tcPr>
            <w:tcW w:type="dxa" w:w="1872"/>
            <w:vAlign w:val="top"/>
          </w:tcPr>
          <w:p>
            <w:r>
              <w:t>$1.24M</w:t>
            </w:r>
          </w:p>
        </w:tc>
        <w:tc>
          <w:tcPr>
            <w:tcW w:type="dxa" w:w="1872"/>
            <w:vAlign w:val="top"/>
          </w:tcPr>
          <w:p>
            <w:r>
              <w:t>$0.03M</w:t>
            </w:r>
          </w:p>
        </w:tc>
        <w:tc>
          <w:tcPr>
            <w:tcW w:type="dxa" w:w="1872"/>
            <w:vAlign w:val="top"/>
          </w:tcPr>
          <w:p>
            <w:r>
              <w:t>51.0%</w:t>
            </w:r>
          </w:p>
        </w:tc>
      </w:tr>
      <w:tr>
        <w:tc>
          <w:tcPr>
            <w:tcW w:type="dxa" w:w="3024"/>
            <w:vAlign w:val="top"/>
          </w:tcPr>
          <w:p>
            <w:r>
              <w:t>Data &amp; Analytics</w:t>
            </w:r>
          </w:p>
        </w:tc>
        <w:tc>
          <w:tcPr>
            <w:tcW w:type="dxa" w:w="1872"/>
            <w:vAlign w:val="top"/>
          </w:tcPr>
          <w:p>
            <w:r>
              <w:t>$0.59M</w:t>
            </w:r>
          </w:p>
        </w:tc>
        <w:tc>
          <w:tcPr>
            <w:tcW w:type="dxa" w:w="1872"/>
            <w:vAlign w:val="top"/>
          </w:tcPr>
          <w:p>
            <w:r>
              <w:t>$0.56M</w:t>
            </w:r>
          </w:p>
        </w:tc>
        <w:tc>
          <w:tcPr>
            <w:tcW w:type="dxa" w:w="1872"/>
            <w:vAlign w:val="top"/>
          </w:tcPr>
          <w:p>
            <w:r>
              <w:t>$-0.04M</w:t>
            </w:r>
          </w:p>
        </w:tc>
        <w:tc>
          <w:tcPr>
            <w:tcW w:type="dxa" w:w="1872"/>
            <w:vAlign w:val="top"/>
          </w:tcPr>
          <w:p>
            <w:r>
              <w:t>41.0%</w:t>
            </w:r>
          </w:p>
        </w:tc>
      </w:tr>
      <w:tr>
        <w:tc>
          <w:tcPr>
            <w:tcW w:type="dxa" w:w="3024"/>
            <w:vAlign w:val="top"/>
          </w:tcPr>
          <w:p>
            <w:r>
              <w:t>Managed Operations</w:t>
            </w:r>
          </w:p>
        </w:tc>
        <w:tc>
          <w:tcPr>
            <w:tcW w:type="dxa" w:w="1872"/>
            <w:vAlign w:val="top"/>
          </w:tcPr>
          <w:p>
            <w:r>
              <w:t>$0.82M</w:t>
            </w:r>
          </w:p>
        </w:tc>
        <w:tc>
          <w:tcPr>
            <w:tcW w:type="dxa" w:w="1872"/>
            <w:vAlign w:val="top"/>
          </w:tcPr>
          <w:p>
            <w:r>
              <w:t>$0.84M</w:t>
            </w:r>
          </w:p>
        </w:tc>
        <w:tc>
          <w:tcPr>
            <w:tcW w:type="dxa" w:w="1872"/>
            <w:vAlign w:val="top"/>
          </w:tcPr>
          <w:p>
            <w:r>
              <w:t>$0.02M</w:t>
            </w:r>
          </w:p>
        </w:tc>
        <w:tc>
          <w:tcPr>
            <w:tcW w:type="dxa" w:w="1872"/>
            <w:vAlign w:val="top"/>
          </w:tcPr>
          <w:p>
            <w:r>
              <w:t>46.0%</w:t>
            </w:r>
          </w:p>
        </w:tc>
      </w:tr>
    </w:tbl>
    <w:p>
      <w:pPr>
        <w:pStyle w:val="Heading1"/>
      </w:pPr>
      <w:r>
        <w:t>Analyst Notes</w:t>
      </w:r>
    </w:p>
    <w:p>
      <w:pPr>
        <w:pStyle w:val="ListBullet"/>
      </w:pPr>
      <w:r>
        <w:t>Data &amp; Analytics revenue declined in June due to project timing, not customer churn.</w:t>
      </w:r>
    </w:p>
    <w:p>
      <w:pPr>
        <w:pStyle w:val="ListBullet"/>
      </w:pPr>
      <w:r>
        <w:t>Cloud Services revenue increased but gross margin softened due to higher hosting costs.</w:t>
      </w:r>
    </w:p>
    <w:p>
      <w:pPr>
        <w:pStyle w:val="ListBullet"/>
      </w:pPr>
      <w:r>
        <w:t>Sales and marketing expense increased in June because of a planned cloud pipeline campaign.</w:t>
      </w:r>
    </w:p>
    <w:p>
      <w:pPr>
        <w:pStyle w:val="ListBullet"/>
      </w:pPr>
      <w:r>
        <w:t>Managed Operations remained stable with recurring managed services revenue growth.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