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F4E79"/>
          <w:sz w:val="48"/>
        </w:rPr>
        <w:t>Q2 2026 Finance Performance Report - Expanded</w:t>
      </w:r>
    </w:p>
    <w:p>
      <w:pPr>
        <w:jc w:val="center"/>
      </w:pPr>
      <w:r>
        <w:rPr>
          <w:i/>
          <w:color w:val="0E7C86"/>
          <w:sz w:val="26"/>
        </w:rPr>
        <w:t>Quarterly performance, analyst conversations, headwinds, tailwinds, and growth commentary</w:t>
      </w:r>
    </w:p>
    <w:p>
      <w:pPr>
        <w:spacing w:before="360"/>
        <w:jc w:val="center"/>
      </w:pPr>
      <w:r>
        <w:rPr>
          <w:b/>
          <w:sz w:val="28"/>
        </w:rPr>
        <w:t>Asteria Digital Solutions, Inc.</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shd w:fill="1F4E79"/>
          </w:tcPr>
          <w:p>
            <w:pPr>
              <w:spacing w:after="40"/>
            </w:pPr>
            <w:r>
              <w:rPr>
                <w:rFonts w:ascii="Aptos" w:hAnsi="Aptos"/>
                <w:b/>
                <w:color w:val="FFFFFF"/>
                <w:sz w:val="17"/>
              </w:rPr>
              <w:t>Document Type</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Quarterly Report</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Prepared For</w:t>
            </w:r>
          </w:p>
        </w:tc>
        <w:tc>
          <w:tcPr>
            <w:tcW w:type="dxa" w:w="5040"/>
            <w:vAlign w:val="center"/>
            <w:tcMar>
              <w:top w:w="120" w:type="dxa"/>
              <w:start w:w="120" w:type="dxa"/>
              <w:bottom w:w="120" w:type="dxa"/>
              <w:end w:w="120" w:type="dxa"/>
            </w:tcMar>
          </w:tcPr>
          <w:p>
            <w:pPr>
              <w:spacing w:after="40"/>
            </w:pPr>
            <w:r>
              <w:rPr>
                <w:rFonts w:ascii="Aptos" w:hAnsi="Aptos"/>
                <w:sz w:val="17"/>
              </w:rPr>
              <w:t>Financial Analyst Copilot Capstone MVP</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Dataset</w:t>
            </w:r>
          </w:p>
        </w:tc>
        <w:tc>
          <w:tcPr>
            <w:tcW w:type="dxa" w:w="5040"/>
            <w:vAlign w:val="center"/>
            <w:tcMar>
              <w:top w:w="120" w:type="dxa"/>
              <w:start w:w="120" w:type="dxa"/>
              <w:bottom w:w="120" w:type="dxa"/>
              <w:end w:w="120" w:type="dxa"/>
            </w:tcMar>
            <w:shd w:fill="F8FBFC"/>
          </w:tcPr>
          <w:p>
            <w:pPr>
              <w:spacing w:after="40"/>
            </w:pPr>
            <w:r>
              <w:rPr>
                <w:rFonts w:ascii="Aptos" w:hAnsi="Aptos"/>
                <w:sz w:val="17"/>
              </w:rPr>
              <w:t>Synthetic company and finance data</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Document Date</w:t>
            </w:r>
          </w:p>
        </w:tc>
        <w:tc>
          <w:tcPr>
            <w:tcW w:type="dxa" w:w="5040"/>
            <w:vAlign w:val="center"/>
            <w:tcMar>
              <w:top w:w="120" w:type="dxa"/>
              <w:start w:w="120" w:type="dxa"/>
              <w:bottom w:w="120" w:type="dxa"/>
              <w:end w:w="120" w:type="dxa"/>
            </w:tcMar>
          </w:tcPr>
          <w:p>
            <w:pPr>
              <w:spacing w:after="40"/>
            </w:pPr>
            <w:r>
              <w:rPr>
                <w:rFonts w:ascii="Aptos" w:hAnsi="Aptos"/>
                <w:sz w:val="17"/>
              </w:rPr>
              <w:t>September 30, 2026</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RAG Use</w:t>
            </w:r>
          </w:p>
        </w:tc>
        <w:tc>
          <w:tcPr>
            <w:tcW w:type="dxa" w:w="5040"/>
            <w:vAlign w:val="center"/>
            <w:tcMar>
              <w:top w:w="120" w:type="dxa"/>
              <w:start w:w="120" w:type="dxa"/>
              <w:bottom w:w="120" w:type="dxa"/>
              <w:end w:w="120" w:type="dxa"/>
            </w:tcMar>
            <w:shd w:fill="F8FBFC"/>
          </w:tcPr>
          <w:p>
            <w:pPr>
              <w:spacing w:after="40"/>
            </w:pPr>
            <w:r>
              <w:rPr>
                <w:rFonts w:ascii="Aptos" w:hAnsi="Aptos"/>
                <w:sz w:val="17"/>
              </w:rPr>
              <w:t>Chunking, retrieval, citation tests, narrative grounding</w:t>
            </w:r>
          </w:p>
        </w:tc>
      </w:tr>
    </w:tbl>
    <w:p>
      <w:pPr>
        <w:spacing w:before="360"/>
        <w:jc w:val="center"/>
      </w:pPr>
      <w:r>
        <w:rPr>
          <w:color w:val="646464"/>
          <w:sz w:val="18"/>
        </w:rPr>
        <w:t>Synthetic data pack for Financial Analyst Copilot capstone - not real company data</w:t>
      </w:r>
    </w:p>
    <w:p>
      <w:r>
        <w:br w:type="page"/>
      </w:r>
    </w:p>
    <w:p>
      <w:pPr>
        <w:pStyle w:val="Heading1"/>
      </w:pPr>
      <w:r>
        <w:t>Executive Summary</w:t>
      </w:r>
    </w:p>
    <w:p>
      <w:pPr>
        <w:spacing w:after="140" w:line="259" w:lineRule="auto"/>
      </w:pPr>
      <w:r>
        <w:t>Asteria Digital Solutions, Inc. delivered a solid Q2 performance in the synthetic capstone dataset. Revenue increased sequentially across Cloud Services and Managed Operations, while Data &amp; Analytics showed month-to-month volatility tied to client acceptance and milestone timing. The finance team should describe the quarter as operationally constructive but not without risk: gross margin improved in May and softened in June as cloud hosting costs increased.</w:t>
      </w:r>
    </w:p>
    <w:p>
      <w:pPr>
        <w:spacing w:after="140" w:line="259" w:lineRule="auto"/>
      </w:pPr>
      <w:r>
        <w:t>The preferred finance narrative is balanced. Management should highlight recurring managed services demand, cloud modernization pipeline, and early benefits from delivery automation, while also acknowledging procurement timing, hosting cost inflation, and specialized talent scarcity. The copilot should not overstate growth durability from a single quarter; it should connect narrative claims to source documents and structured data.</w:t>
      </w:r>
    </w:p>
    <w:p>
      <w:pPr>
        <w:spacing w:after="140" w:line="259" w:lineRule="auto"/>
      </w:pPr>
      <w:r>
        <w:t>This expanded report is intentionally detailed for RAG chunking. Sections are written so that a retrieval system can isolate executive summary, KPI commentary, analyst questions, management responses, headwind/tailwind factors, and copilot citation instructions.</w:t>
      </w:r>
    </w:p>
    <w:tbl>
      <w:tblPr>
        <w:tblStyle w:val="TableGrid"/>
        <w:tblW w:type="auto" w:w="0"/>
        <w:tblLook w:firstColumn="1" w:firstRow="1" w:lastColumn="0" w:lastRow="0" w:noHBand="0" w:noVBand="1" w:val="04A0"/>
      </w:tblPr>
      <w:tblGrid>
        <w:gridCol w:w="10080"/>
      </w:tblGrid>
      <w:tr>
        <w:tc>
          <w:tcPr>
            <w:tcW w:type="dxa" w:w="10080"/>
            <w:shd w:fill="EAF3F8"/>
            <w:tcMar>
              <w:top w:w="160" w:type="dxa"/>
              <w:start w:w="180" w:type="dxa"/>
              <w:bottom w:w="160" w:type="dxa"/>
              <w:end w:w="180" w:type="dxa"/>
            </w:tcMar>
          </w:tcPr>
          <w:p>
            <w:pPr>
              <w:spacing w:after="60"/>
            </w:pPr>
            <w:r>
              <w:rPr>
                <w:b/>
                <w:i w:val="0"/>
                <w:color w:val="1F4E79"/>
              </w:rPr>
              <w:t xml:space="preserve">MVP grounding rule: </w:t>
            </w:r>
            <w:r>
              <w:rPr>
                <w:b w:val="0"/>
                <w:i w:val="0"/>
              </w:rPr>
              <w:t>Use this report for narrative context. Use SQLite structured tables for actual numbers. Use the KPI registry for definitions and formulas. Every numerical response should cite structured data and relevant glossary/formula sources.</w:t>
            </w:r>
          </w:p>
        </w:tc>
      </w:tr>
    </w:tbl>
    <w:p/>
    <w:p>
      <w:pPr>
        <w:pStyle w:val="Heading1"/>
      </w:pPr>
      <w:r>
        <w:t>Q2 Scorecard and Interpretation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tcMar>
              <w:top w:w="120" w:type="dxa"/>
              <w:start w:w="120" w:type="dxa"/>
              <w:bottom w:w="120" w:type="dxa"/>
              <w:end w:w="120" w:type="dxa"/>
            </w:tcMar>
            <w:shd w:fill="1F4E79"/>
          </w:tcPr>
          <w:p>
            <w:pPr>
              <w:spacing w:after="40"/>
            </w:pPr>
            <w:r>
              <w:rPr>
                <w:rFonts w:ascii="Aptos" w:hAnsi="Aptos"/>
                <w:b/>
                <w:color w:val="FFFFFF"/>
                <w:sz w:val="17"/>
              </w:rPr>
              <w:t>KPI area</w:t>
            </w:r>
          </w:p>
        </w:tc>
        <w:tc>
          <w:tcPr>
            <w:tcW w:type="dxa" w:w="2520"/>
            <w:vAlign w:val="center"/>
            <w:tcMar>
              <w:top w:w="120" w:type="dxa"/>
              <w:start w:w="120" w:type="dxa"/>
              <w:bottom w:w="120" w:type="dxa"/>
              <w:end w:w="120" w:type="dxa"/>
            </w:tcMar>
            <w:shd w:fill="1F4E79"/>
          </w:tcPr>
          <w:p>
            <w:pPr>
              <w:spacing w:after="40"/>
            </w:pPr>
            <w:r>
              <w:rPr>
                <w:rFonts w:ascii="Aptos" w:hAnsi="Aptos"/>
                <w:b/>
                <w:color w:val="FFFFFF"/>
                <w:sz w:val="17"/>
              </w:rPr>
              <w:t>Q2 view</w:t>
            </w:r>
          </w:p>
        </w:tc>
        <w:tc>
          <w:tcPr>
            <w:tcW w:type="dxa" w:w="2520"/>
            <w:vAlign w:val="center"/>
            <w:tcMar>
              <w:top w:w="120" w:type="dxa"/>
              <w:start w:w="120" w:type="dxa"/>
              <w:bottom w:w="120" w:type="dxa"/>
              <w:end w:w="120" w:type="dxa"/>
            </w:tcMar>
            <w:shd w:fill="1F4E79"/>
          </w:tcPr>
          <w:p>
            <w:pPr>
              <w:spacing w:after="40"/>
            </w:pPr>
            <w:r>
              <w:rPr>
                <w:rFonts w:ascii="Aptos" w:hAnsi="Aptos"/>
                <w:b/>
                <w:color w:val="FFFFFF"/>
                <w:sz w:val="17"/>
              </w:rPr>
              <w:t>Trend</w:t>
            </w:r>
          </w:p>
        </w:tc>
        <w:tc>
          <w:tcPr>
            <w:tcW w:type="dxa" w:w="2520"/>
            <w:vAlign w:val="center"/>
            <w:tcMar>
              <w:top w:w="120" w:type="dxa"/>
              <w:start w:w="120" w:type="dxa"/>
              <w:bottom w:w="120" w:type="dxa"/>
              <w:end w:w="120" w:type="dxa"/>
            </w:tcMar>
            <w:shd w:fill="1F4E79"/>
          </w:tcPr>
          <w:p>
            <w:pPr>
              <w:spacing w:after="40"/>
            </w:pPr>
            <w:r>
              <w:rPr>
                <w:rFonts w:ascii="Aptos" w:hAnsi="Aptos"/>
                <w:b/>
                <w:color w:val="FFFFFF"/>
                <w:sz w:val="17"/>
              </w:rPr>
              <w:t>Narrative interpretation</w:t>
            </w:r>
          </w:p>
        </w:tc>
      </w:tr>
      <w:tr>
        <w:tc>
          <w:tcPr>
            <w:tcW w:type="dxa" w:w="2520"/>
            <w:vAlign w:val="center"/>
            <w:tcMar>
              <w:top w:w="120" w:type="dxa"/>
              <w:start w:w="120" w:type="dxa"/>
              <w:bottom w:w="120" w:type="dxa"/>
              <w:end w:w="120" w:type="dxa"/>
            </w:tcMar>
          </w:tcPr>
          <w:p>
            <w:pPr>
              <w:spacing w:after="40"/>
            </w:pPr>
            <w:r>
              <w:rPr>
                <w:rFonts w:ascii="Aptos" w:hAnsi="Aptos"/>
                <w:sz w:val="17"/>
              </w:rPr>
              <w:t>Revenue</w:t>
            </w:r>
          </w:p>
        </w:tc>
        <w:tc>
          <w:tcPr>
            <w:tcW w:type="dxa" w:w="2520"/>
            <w:vAlign w:val="center"/>
            <w:tcMar>
              <w:top w:w="120" w:type="dxa"/>
              <w:start w:w="120" w:type="dxa"/>
              <w:bottom w:w="120" w:type="dxa"/>
              <w:end w:w="120" w:type="dxa"/>
            </w:tcMar>
          </w:tcPr>
          <w:p>
            <w:pPr>
              <w:spacing w:after="40"/>
            </w:pPr>
            <w:r>
              <w:rPr>
                <w:rFonts w:ascii="Aptos" w:hAnsi="Aptos"/>
                <w:sz w:val="17"/>
              </w:rPr>
              <w:t>$10.2M synthetic actual</w:t>
            </w:r>
          </w:p>
        </w:tc>
        <w:tc>
          <w:tcPr>
            <w:tcW w:type="dxa" w:w="2520"/>
            <w:vAlign w:val="center"/>
            <w:tcMar>
              <w:top w:w="120" w:type="dxa"/>
              <w:start w:w="120" w:type="dxa"/>
              <w:bottom w:w="120" w:type="dxa"/>
              <w:end w:w="120" w:type="dxa"/>
            </w:tcMar>
          </w:tcPr>
          <w:p>
            <w:pPr>
              <w:spacing w:after="40"/>
            </w:pPr>
            <w:r>
              <w:rPr>
                <w:rFonts w:ascii="Aptos" w:hAnsi="Aptos"/>
                <w:sz w:val="17"/>
              </w:rPr>
              <w:t>Above Q1 trend</w:t>
            </w:r>
          </w:p>
        </w:tc>
        <w:tc>
          <w:tcPr>
            <w:tcW w:type="dxa" w:w="2520"/>
            <w:vAlign w:val="center"/>
            <w:tcMar>
              <w:top w:w="120" w:type="dxa"/>
              <w:start w:w="120" w:type="dxa"/>
              <w:bottom w:w="120" w:type="dxa"/>
              <w:end w:w="120" w:type="dxa"/>
            </w:tcMar>
          </w:tcPr>
          <w:p>
            <w:pPr>
              <w:spacing w:after="40"/>
            </w:pPr>
            <w:r>
              <w:rPr>
                <w:rFonts w:ascii="Aptos" w:hAnsi="Aptos"/>
                <w:sz w:val="17"/>
              </w:rPr>
              <w:t>Cloud Services and Managed Operations expansion supported the quarter.</w:t>
            </w:r>
          </w:p>
        </w:tc>
      </w:tr>
      <w:tr>
        <w:tc>
          <w:tcPr>
            <w:tcW w:type="dxa" w:w="2520"/>
            <w:vAlign w:val="center"/>
            <w:tcMar>
              <w:top w:w="120" w:type="dxa"/>
              <w:start w:w="120" w:type="dxa"/>
              <w:bottom w:w="120" w:type="dxa"/>
              <w:end w:w="120" w:type="dxa"/>
            </w:tcMar>
            <w:shd w:fill="F8FBFC"/>
          </w:tcPr>
          <w:p>
            <w:pPr>
              <w:spacing w:after="40"/>
            </w:pPr>
            <w:r>
              <w:rPr>
                <w:rFonts w:ascii="Aptos" w:hAnsi="Aptos"/>
                <w:sz w:val="17"/>
              </w:rPr>
              <w:t>Gross Margin</w:t>
            </w:r>
          </w:p>
        </w:tc>
        <w:tc>
          <w:tcPr>
            <w:tcW w:type="dxa" w:w="2520"/>
            <w:vAlign w:val="center"/>
            <w:tcMar>
              <w:top w:w="120" w:type="dxa"/>
              <w:start w:w="120" w:type="dxa"/>
              <w:bottom w:w="120" w:type="dxa"/>
              <w:end w:w="120" w:type="dxa"/>
            </w:tcMar>
            <w:shd w:fill="F8FBFC"/>
          </w:tcPr>
          <w:p>
            <w:pPr>
              <w:spacing w:after="40"/>
            </w:pPr>
            <w:r>
              <w:rPr>
                <w:rFonts w:ascii="Aptos" w:hAnsi="Aptos"/>
                <w:sz w:val="17"/>
              </w:rPr>
              <w:t>Mid-50 percent range</w:t>
            </w:r>
          </w:p>
        </w:tc>
        <w:tc>
          <w:tcPr>
            <w:tcW w:type="dxa" w:w="2520"/>
            <w:vAlign w:val="center"/>
            <w:tcMar>
              <w:top w:w="120" w:type="dxa"/>
              <w:start w:w="120" w:type="dxa"/>
              <w:bottom w:w="120" w:type="dxa"/>
              <w:end w:w="120" w:type="dxa"/>
            </w:tcMar>
            <w:shd w:fill="F8FBFC"/>
          </w:tcPr>
          <w:p>
            <w:pPr>
              <w:spacing w:after="40"/>
            </w:pPr>
            <w:r>
              <w:rPr>
                <w:rFonts w:ascii="Aptos" w:hAnsi="Aptos"/>
                <w:sz w:val="17"/>
              </w:rPr>
              <w:t>Mixed sequential trend</w:t>
            </w:r>
          </w:p>
        </w:tc>
        <w:tc>
          <w:tcPr>
            <w:tcW w:type="dxa" w:w="2520"/>
            <w:vAlign w:val="center"/>
            <w:tcMar>
              <w:top w:w="120" w:type="dxa"/>
              <w:start w:w="120" w:type="dxa"/>
              <w:bottom w:w="120" w:type="dxa"/>
              <w:end w:w="120" w:type="dxa"/>
            </w:tcMar>
            <w:shd w:fill="F8FBFC"/>
          </w:tcPr>
          <w:p>
            <w:pPr>
              <w:spacing w:after="40"/>
            </w:pPr>
            <w:r>
              <w:rPr>
                <w:rFonts w:ascii="Aptos" w:hAnsi="Aptos"/>
                <w:sz w:val="17"/>
              </w:rPr>
              <w:t>May improved; June softened due to hosting cost pressure.</w:t>
            </w:r>
          </w:p>
        </w:tc>
      </w:tr>
      <w:tr>
        <w:tc>
          <w:tcPr>
            <w:tcW w:type="dxa" w:w="2520"/>
            <w:vAlign w:val="center"/>
            <w:tcMar>
              <w:top w:w="120" w:type="dxa"/>
              <w:start w:w="120" w:type="dxa"/>
              <w:bottom w:w="120" w:type="dxa"/>
              <w:end w:w="120" w:type="dxa"/>
            </w:tcMar>
          </w:tcPr>
          <w:p>
            <w:pPr>
              <w:spacing w:after="40"/>
            </w:pPr>
            <w:r>
              <w:rPr>
                <w:rFonts w:ascii="Aptos" w:hAnsi="Aptos"/>
                <w:sz w:val="17"/>
              </w:rPr>
              <w:t>Operating Expense</w:t>
            </w:r>
          </w:p>
        </w:tc>
        <w:tc>
          <w:tcPr>
            <w:tcW w:type="dxa" w:w="2520"/>
            <w:vAlign w:val="center"/>
            <w:tcMar>
              <w:top w:w="120" w:type="dxa"/>
              <w:start w:w="120" w:type="dxa"/>
              <w:bottom w:w="120" w:type="dxa"/>
              <w:end w:w="120" w:type="dxa"/>
            </w:tcMar>
          </w:tcPr>
          <w:p>
            <w:pPr>
              <w:spacing w:after="40"/>
            </w:pPr>
            <w:r>
              <w:rPr>
                <w:rFonts w:ascii="Aptos" w:hAnsi="Aptos"/>
                <w:sz w:val="17"/>
              </w:rPr>
              <w:t>Near budget</w:t>
            </w:r>
          </w:p>
        </w:tc>
        <w:tc>
          <w:tcPr>
            <w:tcW w:type="dxa" w:w="2520"/>
            <w:vAlign w:val="center"/>
            <w:tcMar>
              <w:top w:w="120" w:type="dxa"/>
              <w:start w:w="120" w:type="dxa"/>
              <w:bottom w:w="120" w:type="dxa"/>
              <w:end w:w="120" w:type="dxa"/>
            </w:tcMar>
          </w:tcPr>
          <w:p>
            <w:pPr>
              <w:spacing w:after="40"/>
            </w:pPr>
            <w:r>
              <w:rPr>
                <w:rFonts w:ascii="Aptos" w:hAnsi="Aptos"/>
                <w:sz w:val="17"/>
              </w:rPr>
              <w:t>Slightly elevated in June</w:t>
            </w:r>
          </w:p>
        </w:tc>
        <w:tc>
          <w:tcPr>
            <w:tcW w:type="dxa" w:w="2520"/>
            <w:vAlign w:val="center"/>
            <w:tcMar>
              <w:top w:w="120" w:type="dxa"/>
              <w:start w:w="120" w:type="dxa"/>
              <w:bottom w:w="120" w:type="dxa"/>
              <w:end w:w="120" w:type="dxa"/>
            </w:tcMar>
          </w:tcPr>
          <w:p>
            <w:pPr>
              <w:spacing w:after="40"/>
            </w:pPr>
            <w:r>
              <w:rPr>
                <w:rFonts w:ascii="Aptos" w:hAnsi="Aptos"/>
                <w:sz w:val="17"/>
              </w:rPr>
              <w:t>Sales campaign and AI delivery tooling spend continued.</w:t>
            </w:r>
          </w:p>
        </w:tc>
      </w:tr>
      <w:tr>
        <w:tc>
          <w:tcPr>
            <w:tcW w:type="dxa" w:w="2520"/>
            <w:vAlign w:val="center"/>
            <w:tcMar>
              <w:top w:w="120" w:type="dxa"/>
              <w:start w:w="120" w:type="dxa"/>
              <w:bottom w:w="120" w:type="dxa"/>
              <w:end w:w="120" w:type="dxa"/>
            </w:tcMar>
            <w:shd w:fill="F8FBFC"/>
          </w:tcPr>
          <w:p>
            <w:pPr>
              <w:spacing w:after="40"/>
            </w:pPr>
            <w:r>
              <w:rPr>
                <w:rFonts w:ascii="Aptos" w:hAnsi="Aptos"/>
                <w:sz w:val="17"/>
              </w:rPr>
              <w:t>EBITDA</w:t>
            </w:r>
          </w:p>
        </w:tc>
        <w:tc>
          <w:tcPr>
            <w:tcW w:type="dxa" w:w="2520"/>
            <w:vAlign w:val="center"/>
            <w:tcMar>
              <w:top w:w="120" w:type="dxa"/>
              <w:start w:w="120" w:type="dxa"/>
              <w:bottom w:w="120" w:type="dxa"/>
              <w:end w:w="120" w:type="dxa"/>
            </w:tcMar>
            <w:shd w:fill="F8FBFC"/>
          </w:tcPr>
          <w:p>
            <w:pPr>
              <w:spacing w:after="40"/>
            </w:pPr>
            <w:r>
              <w:rPr>
                <w:rFonts w:ascii="Aptos" w:hAnsi="Aptos"/>
                <w:sz w:val="17"/>
              </w:rPr>
              <w:t>Positive and resilient</w:t>
            </w:r>
          </w:p>
        </w:tc>
        <w:tc>
          <w:tcPr>
            <w:tcW w:type="dxa" w:w="2520"/>
            <w:vAlign w:val="center"/>
            <w:tcMar>
              <w:top w:w="120" w:type="dxa"/>
              <w:start w:w="120" w:type="dxa"/>
              <w:bottom w:w="120" w:type="dxa"/>
              <w:end w:w="120" w:type="dxa"/>
            </w:tcMar>
            <w:shd w:fill="F8FBFC"/>
          </w:tcPr>
          <w:p>
            <w:pPr>
              <w:spacing w:after="40"/>
            </w:pPr>
            <w:r>
              <w:rPr>
                <w:rFonts w:ascii="Aptos" w:hAnsi="Aptos"/>
                <w:sz w:val="17"/>
              </w:rPr>
              <w:t>Dependent on utilization</w:t>
            </w:r>
          </w:p>
        </w:tc>
        <w:tc>
          <w:tcPr>
            <w:tcW w:type="dxa" w:w="2520"/>
            <w:vAlign w:val="center"/>
            <w:tcMar>
              <w:top w:w="120" w:type="dxa"/>
              <w:start w:w="120" w:type="dxa"/>
              <w:bottom w:w="120" w:type="dxa"/>
              <w:end w:w="120" w:type="dxa"/>
            </w:tcMar>
            <w:shd w:fill="F8FBFC"/>
          </w:tcPr>
          <w:p>
            <w:pPr>
              <w:spacing w:after="40"/>
            </w:pPr>
            <w:r>
              <w:rPr>
                <w:rFonts w:ascii="Aptos" w:hAnsi="Aptos"/>
                <w:sz w:val="17"/>
              </w:rPr>
              <w:t>EBITDA held up because operating expense was controlled.</w:t>
            </w:r>
          </w:p>
        </w:tc>
      </w:tr>
      <w:tr>
        <w:tc>
          <w:tcPr>
            <w:tcW w:type="dxa" w:w="2520"/>
            <w:vAlign w:val="center"/>
            <w:tcMar>
              <w:top w:w="120" w:type="dxa"/>
              <w:start w:w="120" w:type="dxa"/>
              <w:bottom w:w="120" w:type="dxa"/>
              <w:end w:w="120" w:type="dxa"/>
            </w:tcMar>
          </w:tcPr>
          <w:p>
            <w:pPr>
              <w:spacing w:after="40"/>
            </w:pPr>
            <w:r>
              <w:rPr>
                <w:rFonts w:ascii="Aptos" w:hAnsi="Aptos"/>
                <w:sz w:val="17"/>
              </w:rPr>
              <w:t>Data Quality</w:t>
            </w:r>
          </w:p>
        </w:tc>
        <w:tc>
          <w:tcPr>
            <w:tcW w:type="dxa" w:w="2520"/>
            <w:vAlign w:val="center"/>
            <w:tcMar>
              <w:top w:w="120" w:type="dxa"/>
              <w:start w:w="120" w:type="dxa"/>
              <w:bottom w:w="120" w:type="dxa"/>
              <w:end w:w="120" w:type="dxa"/>
            </w:tcMar>
          </w:tcPr>
          <w:p>
            <w:pPr>
              <w:spacing w:after="40"/>
            </w:pPr>
            <w:r>
              <w:rPr>
                <w:rFonts w:ascii="Aptos" w:hAnsi="Aptos"/>
                <w:sz w:val="17"/>
              </w:rPr>
              <w:t>Usable for MVP</w:t>
            </w:r>
          </w:p>
        </w:tc>
        <w:tc>
          <w:tcPr>
            <w:tcW w:type="dxa" w:w="2520"/>
            <w:vAlign w:val="center"/>
            <w:tcMar>
              <w:top w:w="120" w:type="dxa"/>
              <w:start w:w="120" w:type="dxa"/>
              <w:bottom w:w="120" w:type="dxa"/>
              <w:end w:w="120" w:type="dxa"/>
            </w:tcMar>
          </w:tcPr>
          <w:p>
            <w:pPr>
              <w:spacing w:after="40"/>
            </w:pPr>
            <w:r>
              <w:rPr>
                <w:rFonts w:ascii="Aptos" w:hAnsi="Aptos"/>
                <w:sz w:val="17"/>
              </w:rPr>
              <w:t>Requires citation controls</w:t>
            </w:r>
          </w:p>
        </w:tc>
        <w:tc>
          <w:tcPr>
            <w:tcW w:type="dxa" w:w="2520"/>
            <w:vAlign w:val="center"/>
            <w:tcMar>
              <w:top w:w="120" w:type="dxa"/>
              <w:start w:w="120" w:type="dxa"/>
              <w:bottom w:w="120" w:type="dxa"/>
              <w:end w:w="120" w:type="dxa"/>
            </w:tcMar>
          </w:tcPr>
          <w:p>
            <w:pPr>
              <w:spacing w:after="40"/>
            </w:pPr>
            <w:r>
              <w:rPr>
                <w:rFonts w:ascii="Aptos" w:hAnsi="Aptos"/>
                <w:sz w:val="17"/>
              </w:rPr>
              <w:t>Analyst explanations should cite data source, formula, and narrative section.</w:t>
            </w:r>
          </w:p>
        </w:tc>
      </w:tr>
    </w:tbl>
    <w:p/>
    <w:p>
      <w:pPr>
        <w:pStyle w:val="Heading1"/>
      </w:pPr>
      <w:r>
        <w:t>Business Unit Narrative</w:t>
      </w:r>
    </w:p>
    <w:p>
      <w:pPr>
        <w:pStyle w:val="Heading2"/>
      </w:pPr>
      <w:r>
        <w:t>North America Consulting</w:t>
      </w:r>
    </w:p>
    <w:p>
      <w:pPr>
        <w:spacing w:after="140" w:line="259" w:lineRule="auto"/>
      </w:pPr>
      <w:r>
        <w:t>Revenue was stable with modest sequential improvement. The team benefited from steady professional services demand, but larger enterprise projects showed longer procurement and approval cycles. Finance should distinguish project start delays from delivery underperformance.</w:t>
      </w:r>
    </w:p>
    <w:p>
      <w:pPr>
        <w:spacing w:after="140" w:line="259" w:lineRule="auto"/>
      </w:pPr>
      <w:r>
        <w:t>Analyst note for North America Consulting: when explaining performance, tie narrative to revenue, COGS, operating expense, and any source report commentary. Avoid using qualitative commentary as a substitute for calculation.</w:t>
      </w:r>
    </w:p>
    <w:p>
      <w:pPr>
        <w:pStyle w:val="Heading2"/>
      </w:pPr>
      <w:r>
        <w:t>Cloud Services</w:t>
      </w:r>
    </w:p>
    <w:p>
      <w:pPr>
        <w:spacing w:after="140" w:line="259" w:lineRule="auto"/>
      </w:pPr>
      <w:r>
        <w:t>Cloud Services was the strongest growth contributor, supported by enterprise modernization demand and managed cloud services expansion. The business unit also carried the most visible gross margin risk because hosting costs increased faster than some service revenue components.</w:t>
      </w:r>
    </w:p>
    <w:p>
      <w:pPr>
        <w:spacing w:after="140" w:line="259" w:lineRule="auto"/>
      </w:pPr>
      <w:r>
        <w:t>Analyst note for Cloud Services: when explaining performance, tie narrative to revenue, COGS, operating expense, and any source report commentary. Avoid using qualitative commentary as a substitute for calculation.</w:t>
      </w:r>
    </w:p>
    <w:p>
      <w:pPr>
        <w:pStyle w:val="Heading2"/>
      </w:pPr>
      <w:r>
        <w:t>Data &amp; Analytics</w:t>
      </w:r>
    </w:p>
    <w:p>
      <w:pPr>
        <w:spacing w:after="140" w:line="259" w:lineRule="auto"/>
      </w:pPr>
      <w:r>
        <w:t>Data &amp; Analytics remained strategically important but more volatile. June softness was primarily framed as project milestone timing rather than loss of demand. The copilot should ask whether the user wants revenue, margin, or backlog context before answering broad questions about this unit.</w:t>
      </w:r>
    </w:p>
    <w:p>
      <w:pPr>
        <w:spacing w:after="140" w:line="259" w:lineRule="auto"/>
      </w:pPr>
      <w:r>
        <w:t>Analyst note for Data &amp; Analytics: when explaining performance, tie narrative to revenue, COGS, operating expense, and any source report commentary. Avoid using qualitative commentary as a substitute for calculation.</w:t>
      </w:r>
    </w:p>
    <w:p>
      <w:pPr>
        <w:pStyle w:val="Heading2"/>
      </w:pPr>
      <w:r>
        <w:t>Managed Operations</w:t>
      </w:r>
    </w:p>
    <w:p>
      <w:pPr>
        <w:spacing w:after="140" w:line="259" w:lineRule="auto"/>
      </w:pPr>
      <w:r>
        <w:t>Managed Operations provided recurring revenue stability. Renewal coverage and service automation created a constructive margin setup, but management is still monitoring delivery capacity and service quality as contract scope expands.</w:t>
      </w:r>
    </w:p>
    <w:p>
      <w:pPr>
        <w:spacing w:after="140" w:line="259" w:lineRule="auto"/>
      </w:pPr>
      <w:r>
        <w:t>Analyst note for Managed Operations: when explaining performance, tie narrative to revenue, COGS, operating expense, and any source report commentary. Avoid using qualitative commentary as a substitute for calculation.</w:t>
      </w:r>
    </w:p>
    <w:p>
      <w:pPr>
        <w:pStyle w:val="Heading1"/>
      </w:pPr>
      <w:r>
        <w:t>Analyst Conversation Excerpts from Q2 Close Review</w:t>
      </w:r>
    </w:p>
    <w:p>
      <w:pPr>
        <w:spacing w:after="140" w:line="259" w:lineRule="auto"/>
      </w:pPr>
      <w:r>
        <w:t>The following synthetic conversation excerpts mimic how finance analysts may discuss the quarterly close with management. They are intended to give the copilot realistic narrative material for retrieval and summarization.</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20" w:type="dxa"/>
              <w:start w:w="120" w:type="dxa"/>
              <w:bottom w:w="120" w:type="dxa"/>
              <w:end w:w="120" w:type="dxa"/>
            </w:tcMar>
            <w:shd w:fill="0E7C86"/>
          </w:tcPr>
          <w:p>
            <w:pPr>
              <w:spacing w:after="40"/>
            </w:pPr>
            <w:r>
              <w:rPr>
                <w:rFonts w:ascii="Aptos" w:hAnsi="Aptos"/>
                <w:b/>
                <w:color w:val="FFFFFF"/>
                <w:sz w:val="17"/>
              </w:rPr>
              <w:t>Analyst</w:t>
            </w:r>
          </w:p>
        </w:tc>
        <w:tc>
          <w:tcPr>
            <w:tcW w:type="dxa" w:w="3360"/>
            <w:vAlign w:val="center"/>
            <w:tcMar>
              <w:top w:w="120" w:type="dxa"/>
              <w:start w:w="120" w:type="dxa"/>
              <w:bottom w:w="120" w:type="dxa"/>
              <w:end w:w="120" w:type="dxa"/>
            </w:tcMar>
            <w:shd w:fill="0E7C86"/>
          </w:tcPr>
          <w:p>
            <w:pPr>
              <w:spacing w:after="40"/>
            </w:pPr>
            <w:r>
              <w:rPr>
                <w:rFonts w:ascii="Aptos" w:hAnsi="Aptos"/>
                <w:b/>
                <w:color w:val="FFFFFF"/>
                <w:sz w:val="17"/>
              </w:rPr>
              <w:t>Question</w:t>
            </w:r>
          </w:p>
        </w:tc>
        <w:tc>
          <w:tcPr>
            <w:tcW w:type="dxa" w:w="3360"/>
            <w:vAlign w:val="center"/>
            <w:tcMar>
              <w:top w:w="120" w:type="dxa"/>
              <w:start w:w="120" w:type="dxa"/>
              <w:bottom w:w="120" w:type="dxa"/>
              <w:end w:w="120" w:type="dxa"/>
            </w:tcMar>
            <w:shd w:fill="0E7C86"/>
          </w:tcPr>
          <w:p>
            <w:pPr>
              <w:spacing w:after="40"/>
            </w:pPr>
            <w:r>
              <w:rPr>
                <w:rFonts w:ascii="Aptos" w:hAnsi="Aptos"/>
                <w:b/>
                <w:color w:val="FFFFFF"/>
                <w:sz w:val="17"/>
              </w:rPr>
              <w:t>Management response summary</w:t>
            </w:r>
          </w:p>
        </w:tc>
      </w:tr>
      <w:tr>
        <w:tc>
          <w:tcPr>
            <w:tcW w:type="dxa" w:w="3360"/>
            <w:vAlign w:val="center"/>
            <w:tcMar>
              <w:top w:w="120" w:type="dxa"/>
              <w:start w:w="120" w:type="dxa"/>
              <w:bottom w:w="120" w:type="dxa"/>
              <w:end w:w="120" w:type="dxa"/>
            </w:tcMar>
          </w:tcPr>
          <w:p>
            <w:pPr>
              <w:spacing w:after="40"/>
            </w:pPr>
            <w:r>
              <w:rPr>
                <w:rFonts w:ascii="Aptos" w:hAnsi="Aptos"/>
                <w:sz w:val="17"/>
              </w:rPr>
              <w:t>Mira Cole</w:t>
            </w:r>
          </w:p>
        </w:tc>
        <w:tc>
          <w:tcPr>
            <w:tcW w:type="dxa" w:w="3360"/>
            <w:vAlign w:val="center"/>
            <w:tcMar>
              <w:top w:w="120" w:type="dxa"/>
              <w:start w:w="120" w:type="dxa"/>
              <w:bottom w:w="120" w:type="dxa"/>
              <w:end w:w="120" w:type="dxa"/>
            </w:tcMar>
          </w:tcPr>
          <w:p>
            <w:pPr>
              <w:spacing w:after="40"/>
            </w:pPr>
            <w:r>
              <w:rPr>
                <w:rFonts w:ascii="Aptos" w:hAnsi="Aptos"/>
                <w:sz w:val="17"/>
              </w:rPr>
              <w:t>How should we separate true demand growth from revenue that simply shifted because of milestone timing?</w:t>
            </w:r>
          </w:p>
        </w:tc>
        <w:tc>
          <w:tcPr>
            <w:tcW w:type="dxa" w:w="3360"/>
            <w:vAlign w:val="center"/>
            <w:tcMar>
              <w:top w:w="120" w:type="dxa"/>
              <w:start w:w="120" w:type="dxa"/>
              <w:bottom w:w="120" w:type="dxa"/>
              <w:end w:w="120" w:type="dxa"/>
            </w:tcMar>
          </w:tcPr>
          <w:p>
            <w:pPr>
              <w:spacing w:after="40"/>
            </w:pPr>
            <w:r>
              <w:rPr>
                <w:rFonts w:ascii="Aptos" w:hAnsi="Aptos"/>
                <w:sz w:val="17"/>
              </w:rPr>
              <w:t>Management should compare bookings, backlog, signed statements of work, and client acceptance milestones. If pipeline and backlog are healthy but revenue recognition shifts, the answer should be framed as timing risk rather than demand dete...</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Owen Hughes</w:t>
            </w:r>
          </w:p>
        </w:tc>
        <w:tc>
          <w:tcPr>
            <w:tcW w:type="dxa" w:w="3360"/>
            <w:vAlign w:val="center"/>
            <w:tcMar>
              <w:top w:w="120" w:type="dxa"/>
              <w:start w:w="120" w:type="dxa"/>
              <w:bottom w:w="120" w:type="dxa"/>
              <w:end w:w="120" w:type="dxa"/>
            </w:tcMar>
            <w:shd w:fill="F8FBFC"/>
          </w:tcPr>
          <w:p>
            <w:pPr>
              <w:spacing w:after="40"/>
            </w:pPr>
            <w:r>
              <w:rPr>
                <w:rFonts w:ascii="Aptos" w:hAnsi="Aptos"/>
                <w:sz w:val="17"/>
              </w:rPr>
              <w:t>What is the biggest driver of gross margin movement this quarter: labor utilization, subcontractor mix, or hosting costs?</w:t>
            </w:r>
          </w:p>
        </w:tc>
        <w:tc>
          <w:tcPr>
            <w:tcW w:type="dxa" w:w="3360"/>
            <w:vAlign w:val="center"/>
            <w:tcMar>
              <w:top w:w="120" w:type="dxa"/>
              <w:start w:w="120" w:type="dxa"/>
              <w:bottom w:w="120" w:type="dxa"/>
              <w:end w:w="120" w:type="dxa"/>
            </w:tcMar>
            <w:shd w:fill="F8FBFC"/>
          </w:tcPr>
          <w:p>
            <w:pPr>
              <w:spacing w:after="40"/>
            </w:pPr>
            <w:r>
              <w:rPr>
                <w:rFonts w:ascii="Aptos" w:hAnsi="Aptos"/>
                <w:sz w:val="17"/>
              </w:rPr>
              <w:t>The quarter shows a mixed pattern. Utilization helped margins in May, subcontractor usage was controlled, but hosting cost inflation pressured June. The answer should bridge revenue, COGS categories, and any report narrative about hosting c...</w:t>
            </w:r>
          </w:p>
        </w:tc>
      </w:tr>
      <w:tr>
        <w:tc>
          <w:tcPr>
            <w:tcW w:type="dxa" w:w="3360"/>
            <w:vAlign w:val="center"/>
            <w:tcMar>
              <w:top w:w="120" w:type="dxa"/>
              <w:start w:w="120" w:type="dxa"/>
              <w:bottom w:w="120" w:type="dxa"/>
              <w:end w:w="120" w:type="dxa"/>
            </w:tcMar>
          </w:tcPr>
          <w:p>
            <w:pPr>
              <w:spacing w:after="40"/>
            </w:pPr>
            <w:r>
              <w:rPr>
                <w:rFonts w:ascii="Aptos" w:hAnsi="Aptos"/>
                <w:sz w:val="17"/>
              </w:rPr>
              <w:t>Leena Shah</w:t>
            </w:r>
          </w:p>
        </w:tc>
        <w:tc>
          <w:tcPr>
            <w:tcW w:type="dxa" w:w="3360"/>
            <w:vAlign w:val="center"/>
            <w:tcMar>
              <w:top w:w="120" w:type="dxa"/>
              <w:start w:w="120" w:type="dxa"/>
              <w:bottom w:w="120" w:type="dxa"/>
              <w:end w:w="120" w:type="dxa"/>
            </w:tcMar>
          </w:tcPr>
          <w:p>
            <w:pPr>
              <w:spacing w:after="40"/>
            </w:pPr>
            <w:r>
              <w:rPr>
                <w:rFonts w:ascii="Aptos" w:hAnsi="Aptos"/>
                <w:sz w:val="17"/>
              </w:rPr>
              <w:t>What assumptions should the guidance model treat as most sensitive for Q3 and FY2027?</w:t>
            </w:r>
          </w:p>
        </w:tc>
        <w:tc>
          <w:tcPr>
            <w:tcW w:type="dxa" w:w="3360"/>
            <w:vAlign w:val="center"/>
            <w:tcMar>
              <w:top w:w="120" w:type="dxa"/>
              <w:start w:w="120" w:type="dxa"/>
              <w:bottom w:w="120" w:type="dxa"/>
              <w:end w:w="120" w:type="dxa"/>
            </w:tcMar>
          </w:tcPr>
          <w:p>
            <w:pPr>
              <w:spacing w:after="40"/>
            </w:pPr>
            <w:r>
              <w:rPr>
                <w:rFonts w:ascii="Aptos" w:hAnsi="Aptos"/>
                <w:sz w:val="17"/>
              </w:rPr>
              <w:t>The most sensitive assumptions are revenue conversion from late-stage enterprise deals, cloud hosting cost inflation, delivery utilization, subcontractor reliance, and the pace of automation savings. The copilot should cite guidance documen...</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Carlos Mendes</w:t>
            </w:r>
          </w:p>
        </w:tc>
        <w:tc>
          <w:tcPr>
            <w:tcW w:type="dxa" w:w="3360"/>
            <w:vAlign w:val="center"/>
            <w:tcMar>
              <w:top w:w="120" w:type="dxa"/>
              <w:start w:w="120" w:type="dxa"/>
              <w:bottom w:w="120" w:type="dxa"/>
              <w:end w:w="120" w:type="dxa"/>
            </w:tcMar>
            <w:shd w:fill="F8FBFC"/>
          </w:tcPr>
          <w:p>
            <w:pPr>
              <w:spacing w:after="40"/>
            </w:pPr>
            <w:r>
              <w:rPr>
                <w:rFonts w:ascii="Aptos" w:hAnsi="Aptos"/>
                <w:sz w:val="17"/>
              </w:rPr>
              <w:t>Are procurement delays creating a demand problem or just a timing problem in the pipeline?</w:t>
            </w:r>
          </w:p>
        </w:tc>
        <w:tc>
          <w:tcPr>
            <w:tcW w:type="dxa" w:w="3360"/>
            <w:vAlign w:val="center"/>
            <w:tcMar>
              <w:top w:w="120" w:type="dxa"/>
              <w:start w:w="120" w:type="dxa"/>
              <w:bottom w:w="120" w:type="dxa"/>
              <w:end w:w="120" w:type="dxa"/>
            </w:tcMar>
            <w:shd w:fill="F8FBFC"/>
          </w:tcPr>
          <w:p>
            <w:pPr>
              <w:spacing w:after="40"/>
            </w:pPr>
            <w:r>
              <w:rPr>
                <w:rFonts w:ascii="Aptos" w:hAnsi="Aptos"/>
                <w:sz w:val="17"/>
              </w:rPr>
              <w:t>The current evidence points more to timing than demand destruction. However, prolonged procurement delays can become a revenue risk if opportunities slip across multiple quarters. The copilot should avoid stating that demand is weak unless ...</w:t>
            </w:r>
          </w:p>
        </w:tc>
      </w:tr>
      <w:tr>
        <w:tc>
          <w:tcPr>
            <w:tcW w:type="dxa" w:w="3360"/>
            <w:vAlign w:val="center"/>
            <w:tcMar>
              <w:top w:w="120" w:type="dxa"/>
              <w:start w:w="120" w:type="dxa"/>
              <w:bottom w:w="120" w:type="dxa"/>
              <w:end w:w="120" w:type="dxa"/>
            </w:tcMar>
          </w:tcPr>
          <w:p>
            <w:pPr>
              <w:spacing w:after="40"/>
            </w:pPr>
            <w:r>
              <w:rPr>
                <w:rFonts w:ascii="Aptos" w:hAnsi="Aptos"/>
                <w:sz w:val="17"/>
              </w:rPr>
              <w:t>Bethany Luo</w:t>
            </w:r>
          </w:p>
        </w:tc>
        <w:tc>
          <w:tcPr>
            <w:tcW w:type="dxa" w:w="3360"/>
            <w:vAlign w:val="center"/>
            <w:tcMar>
              <w:top w:w="120" w:type="dxa"/>
              <w:start w:w="120" w:type="dxa"/>
              <w:bottom w:w="120" w:type="dxa"/>
              <w:end w:w="120" w:type="dxa"/>
            </w:tcMar>
          </w:tcPr>
          <w:p>
            <w:pPr>
              <w:spacing w:after="40"/>
            </w:pPr>
            <w:r>
              <w:rPr>
                <w:rFonts w:ascii="Aptos" w:hAnsi="Aptos"/>
                <w:sz w:val="17"/>
              </w:rPr>
              <w:t>Which citations should the copilot use when explaining a variance to avoid unsupported narrative?</w:t>
            </w:r>
          </w:p>
        </w:tc>
        <w:tc>
          <w:tcPr>
            <w:tcW w:type="dxa" w:w="3360"/>
            <w:vAlign w:val="center"/>
            <w:tcMar>
              <w:top w:w="120" w:type="dxa"/>
              <w:start w:w="120" w:type="dxa"/>
              <w:bottom w:w="120" w:type="dxa"/>
              <w:end w:w="120" w:type="dxa"/>
            </w:tcMar>
          </w:tcPr>
          <w:p>
            <w:pPr>
              <w:spacing w:after="40"/>
            </w:pPr>
            <w:r>
              <w:rPr>
                <w:rFonts w:ascii="Aptos" w:hAnsi="Aptos"/>
                <w:sz w:val="17"/>
              </w:rPr>
              <w:t>For a variance explanation, cite the structured actuals and budget tables for the number, the KPI registry for the definition or formula, and the quarterly report narrative for management commentary. Narrative alone should not be used to ca...</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Theo Bennett</w:t>
            </w:r>
          </w:p>
        </w:tc>
        <w:tc>
          <w:tcPr>
            <w:tcW w:type="dxa" w:w="3360"/>
            <w:vAlign w:val="center"/>
            <w:tcMar>
              <w:top w:w="120" w:type="dxa"/>
              <w:start w:w="120" w:type="dxa"/>
              <w:bottom w:w="120" w:type="dxa"/>
              <w:end w:w="120" w:type="dxa"/>
            </w:tcMar>
            <w:shd w:fill="F8FBFC"/>
          </w:tcPr>
          <w:p>
            <w:pPr>
              <w:spacing w:after="40"/>
            </w:pPr>
            <w:r>
              <w:rPr>
                <w:rFonts w:ascii="Aptos" w:hAnsi="Aptos"/>
                <w:sz w:val="17"/>
              </w:rPr>
              <w:t>How much of the Cloud Services margin pressure is structural versus correctable through workload optimization?</w:t>
            </w:r>
          </w:p>
        </w:tc>
        <w:tc>
          <w:tcPr>
            <w:tcW w:type="dxa" w:w="3360"/>
            <w:vAlign w:val="center"/>
            <w:tcMar>
              <w:top w:w="120" w:type="dxa"/>
              <w:start w:w="120" w:type="dxa"/>
              <w:bottom w:w="120" w:type="dxa"/>
              <w:end w:w="120" w:type="dxa"/>
            </w:tcMar>
            <w:shd w:fill="F8FBFC"/>
          </w:tcPr>
          <w:p>
            <w:pPr>
              <w:spacing w:after="40"/>
            </w:pPr>
            <w:r>
              <w:rPr>
                <w:rFonts w:ascii="Aptos" w:hAnsi="Aptos"/>
                <w:sz w:val="17"/>
              </w:rPr>
              <w:t>Some pressure is structural because hosting volumes are rising. A meaningful portion is correctable through workload optimization, contract pass-through language, and FinOps governance. The copilot should avoid declaring full recovery unles...</w:t>
            </w:r>
          </w:p>
        </w:tc>
      </w:tr>
      <w:tr>
        <w:tc>
          <w:tcPr>
            <w:tcW w:type="dxa" w:w="3360"/>
            <w:vAlign w:val="center"/>
            <w:tcMar>
              <w:top w:w="120" w:type="dxa"/>
              <w:start w:w="120" w:type="dxa"/>
              <w:bottom w:w="120" w:type="dxa"/>
              <w:end w:w="120" w:type="dxa"/>
            </w:tcMar>
          </w:tcPr>
          <w:p>
            <w:pPr>
              <w:spacing w:after="40"/>
            </w:pPr>
            <w:r>
              <w:rPr>
                <w:rFonts w:ascii="Aptos" w:hAnsi="Aptos"/>
                <w:sz w:val="17"/>
              </w:rPr>
              <w:t>Anika Desai</w:t>
            </w:r>
          </w:p>
        </w:tc>
        <w:tc>
          <w:tcPr>
            <w:tcW w:type="dxa" w:w="3360"/>
            <w:vAlign w:val="center"/>
            <w:tcMar>
              <w:top w:w="120" w:type="dxa"/>
              <w:start w:w="120" w:type="dxa"/>
              <w:bottom w:w="120" w:type="dxa"/>
              <w:end w:w="120" w:type="dxa"/>
            </w:tcMar>
          </w:tcPr>
          <w:p>
            <w:pPr>
              <w:spacing w:after="40"/>
            </w:pPr>
            <w:r>
              <w:rPr>
                <w:rFonts w:ascii="Aptos" w:hAnsi="Aptos"/>
                <w:sz w:val="17"/>
              </w:rPr>
              <w:t>Could delayed billing milestones create a cash collection issue even if revenue remains on track?</w:t>
            </w:r>
          </w:p>
        </w:tc>
        <w:tc>
          <w:tcPr>
            <w:tcW w:type="dxa" w:w="3360"/>
            <w:vAlign w:val="center"/>
            <w:tcMar>
              <w:top w:w="120" w:type="dxa"/>
              <w:start w:w="120" w:type="dxa"/>
              <w:bottom w:w="120" w:type="dxa"/>
              <w:end w:w="120" w:type="dxa"/>
            </w:tcMar>
          </w:tcPr>
          <w:p>
            <w:pPr>
              <w:spacing w:after="40"/>
            </w:pPr>
            <w:r>
              <w:rPr>
                <w:rFonts w:ascii="Aptos" w:hAnsi="Aptos"/>
                <w:sz w:val="17"/>
              </w:rPr>
              <w:t>Yes. A milestone delay can leave revenue recognized later than planned and also delay billing or collection. Analysts should review billing status, milestone acceptance, and days sales outstanding before concluding that cash conversion is n...</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Reed Kim</w:t>
            </w:r>
          </w:p>
        </w:tc>
        <w:tc>
          <w:tcPr>
            <w:tcW w:type="dxa" w:w="3360"/>
            <w:vAlign w:val="center"/>
            <w:tcMar>
              <w:top w:w="120" w:type="dxa"/>
              <w:start w:w="120" w:type="dxa"/>
              <w:bottom w:w="120" w:type="dxa"/>
              <w:end w:w="120" w:type="dxa"/>
            </w:tcMar>
            <w:shd w:fill="F8FBFC"/>
          </w:tcPr>
          <w:p>
            <w:pPr>
              <w:spacing w:after="40"/>
            </w:pPr>
            <w:r>
              <w:rPr>
                <w:rFonts w:ascii="Aptos" w:hAnsi="Aptos"/>
                <w:sz w:val="17"/>
              </w:rPr>
              <w:t>What should analysts watch in Data &amp; Analytics to distinguish project execution issues from client acceptance timing?</w:t>
            </w:r>
          </w:p>
        </w:tc>
        <w:tc>
          <w:tcPr>
            <w:tcW w:type="dxa" w:w="3360"/>
            <w:vAlign w:val="center"/>
            <w:tcMar>
              <w:top w:w="120" w:type="dxa"/>
              <w:start w:w="120" w:type="dxa"/>
              <w:bottom w:w="120" w:type="dxa"/>
              <w:end w:w="120" w:type="dxa"/>
            </w:tcMar>
            <w:shd w:fill="F8FBFC"/>
          </w:tcPr>
          <w:p>
            <w:pPr>
              <w:spacing w:after="40"/>
            </w:pPr>
            <w:r>
              <w:rPr>
                <w:rFonts w:ascii="Aptos" w:hAnsi="Aptos"/>
                <w:sz w:val="17"/>
              </w:rPr>
              <w:t>Watch client acceptance dates, scope change logs, backlog, and utilization. If delivery hours are on plan but acceptance is delayed, the issue is timing. If utilization and backlog fall together, the concern is broader execution or demand r...</w:t>
            </w:r>
          </w:p>
        </w:tc>
      </w:tr>
      <w:tr>
        <w:tc>
          <w:tcPr>
            <w:tcW w:type="dxa" w:w="3360"/>
            <w:vAlign w:val="center"/>
            <w:tcMar>
              <w:top w:w="120" w:type="dxa"/>
              <w:start w:w="120" w:type="dxa"/>
              <w:bottom w:w="120" w:type="dxa"/>
              <w:end w:w="120" w:type="dxa"/>
            </w:tcMar>
          </w:tcPr>
          <w:p>
            <w:pPr>
              <w:spacing w:after="40"/>
            </w:pPr>
            <w:r>
              <w:rPr>
                <w:rFonts w:ascii="Aptos" w:hAnsi="Aptos"/>
                <w:sz w:val="17"/>
              </w:rPr>
              <w:t>Mira Cole</w:t>
            </w:r>
          </w:p>
        </w:tc>
        <w:tc>
          <w:tcPr>
            <w:tcW w:type="dxa" w:w="3360"/>
            <w:vAlign w:val="center"/>
            <w:tcMar>
              <w:top w:w="120" w:type="dxa"/>
              <w:start w:w="120" w:type="dxa"/>
              <w:bottom w:w="120" w:type="dxa"/>
              <w:end w:w="120" w:type="dxa"/>
            </w:tcMar>
          </w:tcPr>
          <w:p>
            <w:pPr>
              <w:spacing w:after="40"/>
            </w:pPr>
            <w:r>
              <w:rPr>
                <w:rFonts w:ascii="Aptos" w:hAnsi="Aptos"/>
                <w:sz w:val="17"/>
              </w:rPr>
              <w:t>Do we have enough recurring revenue visibility to support the midpoint of guidance?</w:t>
            </w:r>
          </w:p>
        </w:tc>
        <w:tc>
          <w:tcPr>
            <w:tcW w:type="dxa" w:w="3360"/>
            <w:vAlign w:val="center"/>
            <w:tcMar>
              <w:top w:w="120" w:type="dxa"/>
              <w:start w:w="120" w:type="dxa"/>
              <w:bottom w:w="120" w:type="dxa"/>
              <w:end w:w="120" w:type="dxa"/>
            </w:tcMar>
          </w:tcPr>
          <w:p>
            <w:pPr>
              <w:spacing w:after="40"/>
            </w:pPr>
            <w:r>
              <w:rPr>
                <w:rFonts w:ascii="Aptos" w:hAnsi="Aptos"/>
                <w:sz w:val="17"/>
              </w:rPr>
              <w:t>The renewal base in Managed Operations and recurring Cloud Services contracts provide visibility. The risk is whether new conversion and expansion can offset procurement slippage and hosting cost pressure.</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Owen Hughes</w:t>
            </w:r>
          </w:p>
        </w:tc>
        <w:tc>
          <w:tcPr>
            <w:tcW w:type="dxa" w:w="3360"/>
            <w:vAlign w:val="center"/>
            <w:tcMar>
              <w:top w:w="120" w:type="dxa"/>
              <w:start w:w="120" w:type="dxa"/>
              <w:bottom w:w="120" w:type="dxa"/>
              <w:end w:w="120" w:type="dxa"/>
            </w:tcMar>
            <w:shd w:fill="F8FBFC"/>
          </w:tcPr>
          <w:p>
            <w:pPr>
              <w:spacing w:after="40"/>
            </w:pPr>
            <w:r>
              <w:rPr>
                <w:rFonts w:ascii="Aptos" w:hAnsi="Aptos"/>
                <w:sz w:val="17"/>
              </w:rPr>
              <w:t>How should the copilot frame favorable expense variance if spending is simply delayed?</w:t>
            </w:r>
          </w:p>
        </w:tc>
        <w:tc>
          <w:tcPr>
            <w:tcW w:type="dxa" w:w="3360"/>
            <w:vAlign w:val="center"/>
            <w:tcMar>
              <w:top w:w="120" w:type="dxa"/>
              <w:start w:w="120" w:type="dxa"/>
              <w:bottom w:w="120" w:type="dxa"/>
              <w:end w:w="120" w:type="dxa"/>
            </w:tcMar>
            <w:shd w:fill="F8FBFC"/>
          </w:tcPr>
          <w:p>
            <w:pPr>
              <w:spacing w:after="40"/>
            </w:pPr>
            <w:r>
              <w:rPr>
                <w:rFonts w:ascii="Aptos" w:hAnsi="Aptos"/>
                <w:sz w:val="17"/>
              </w:rPr>
              <w:t>Label it as a timing item unless there is clear evidence of permanent savings. For example, delayed hiring or campaign spend may improve EBITDA in the current quarter but reverse in a future quarter.</w:t>
            </w:r>
          </w:p>
        </w:tc>
      </w:tr>
      <w:tr>
        <w:tc>
          <w:tcPr>
            <w:tcW w:type="dxa" w:w="3360"/>
            <w:vAlign w:val="center"/>
            <w:tcMar>
              <w:top w:w="120" w:type="dxa"/>
              <w:start w:w="120" w:type="dxa"/>
              <w:bottom w:w="120" w:type="dxa"/>
              <w:end w:w="120" w:type="dxa"/>
            </w:tcMar>
          </w:tcPr>
          <w:p>
            <w:pPr>
              <w:spacing w:after="40"/>
            </w:pPr>
            <w:r>
              <w:rPr>
                <w:rFonts w:ascii="Aptos" w:hAnsi="Aptos"/>
                <w:sz w:val="17"/>
              </w:rPr>
              <w:t>Leena Shah</w:t>
            </w:r>
          </w:p>
        </w:tc>
        <w:tc>
          <w:tcPr>
            <w:tcW w:type="dxa" w:w="3360"/>
            <w:vAlign w:val="center"/>
            <w:tcMar>
              <w:top w:w="120" w:type="dxa"/>
              <w:start w:w="120" w:type="dxa"/>
              <w:bottom w:w="120" w:type="dxa"/>
              <w:end w:w="120" w:type="dxa"/>
            </w:tcMar>
          </w:tcPr>
          <w:p>
            <w:pPr>
              <w:spacing w:after="40"/>
            </w:pPr>
            <w:r>
              <w:rPr>
                <w:rFonts w:ascii="Aptos" w:hAnsi="Aptos"/>
                <w:sz w:val="17"/>
              </w:rPr>
              <w:t>What leading indicators would cause us to move from base case to downside case?</w:t>
            </w:r>
          </w:p>
        </w:tc>
        <w:tc>
          <w:tcPr>
            <w:tcW w:type="dxa" w:w="3360"/>
            <w:vAlign w:val="center"/>
            <w:tcMar>
              <w:top w:w="120" w:type="dxa"/>
              <w:start w:w="120" w:type="dxa"/>
              <w:bottom w:w="120" w:type="dxa"/>
              <w:end w:w="120" w:type="dxa"/>
            </w:tcMar>
          </w:tcPr>
          <w:p>
            <w:pPr>
              <w:spacing w:after="40"/>
            </w:pPr>
            <w:r>
              <w:rPr>
                <w:rFonts w:ascii="Aptos" w:hAnsi="Aptos"/>
                <w:sz w:val="17"/>
              </w:rPr>
              <w:t>Triggers include revenue conversion below the low end of guidance, hosting cost growth outpacing revenue for two consecutive months, subcontractor spend above budget, and delayed client acceptances accumulating near quarter-end.</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Carlos Mendes</w:t>
            </w:r>
          </w:p>
        </w:tc>
        <w:tc>
          <w:tcPr>
            <w:tcW w:type="dxa" w:w="3360"/>
            <w:vAlign w:val="center"/>
            <w:tcMar>
              <w:top w:w="120" w:type="dxa"/>
              <w:start w:w="120" w:type="dxa"/>
              <w:bottom w:w="120" w:type="dxa"/>
              <w:end w:w="120" w:type="dxa"/>
            </w:tcMar>
            <w:shd w:fill="F8FBFC"/>
          </w:tcPr>
          <w:p>
            <w:pPr>
              <w:spacing w:after="40"/>
            </w:pPr>
            <w:r>
              <w:rPr>
                <w:rFonts w:ascii="Aptos" w:hAnsi="Aptos"/>
                <w:sz w:val="17"/>
              </w:rPr>
              <w:t>Which growth drivers should be emphasized in executive commentary next quarter?</w:t>
            </w:r>
          </w:p>
        </w:tc>
        <w:tc>
          <w:tcPr>
            <w:tcW w:type="dxa" w:w="3360"/>
            <w:vAlign w:val="center"/>
            <w:tcMar>
              <w:top w:w="120" w:type="dxa"/>
              <w:start w:w="120" w:type="dxa"/>
              <w:bottom w:w="120" w:type="dxa"/>
              <w:end w:w="120" w:type="dxa"/>
            </w:tcMar>
            <w:shd w:fill="F8FBFC"/>
          </w:tcPr>
          <w:p>
            <w:pPr>
              <w:spacing w:after="40"/>
            </w:pPr>
            <w:r>
              <w:rPr>
                <w:rFonts w:ascii="Aptos" w:hAnsi="Aptos"/>
                <w:sz w:val="17"/>
              </w:rPr>
              <w:t>Executive commentary should emphasize recurring revenue, cloud modernization demand, automation-led margin improvement, and data modernization cross-sell. It should also acknowledge procurement and hosting cost headwinds.</w:t>
            </w:r>
          </w:p>
        </w:tc>
      </w:tr>
    </w:tbl>
    <w:p/>
    <w:p>
      <w:pPr>
        <w:pStyle w:val="Heading1"/>
      </w:pPr>
      <w:r>
        <w:t>Expanded Tailwinds and Headwinds Observed in Q2</w:t>
      </w:r>
    </w:p>
    <w:p>
      <w:pPr>
        <w:pStyle w:val="Heading2"/>
      </w:pPr>
      <w:r>
        <w:t>1. Tailwind: Cloud migration demand</w:t>
      </w:r>
    </w:p>
    <w:p>
      <w:pPr>
        <w:spacing w:after="140" w:line="259" w:lineRule="auto"/>
      </w:pPr>
      <w:r>
        <w:t>Business context: Enterprise clients continue to migrate legacy workloads to managed cloud environments. Demand is strongest where clients need modernization, security hardening, observability, and cost optimization at the same time. This supports new bookings and expansion of managed services contracts.</w:t>
      </w:r>
    </w:p>
    <w:p>
      <w:pPr>
        <w:spacing w:after="140" w:line="259" w:lineRule="auto"/>
      </w:pPr>
      <w:r>
        <w:t>Source signals analysts should monitor: Qualified pipeline expansion, higher attach rate for managed operations, and more multi-year proposals.</w:t>
      </w:r>
    </w:p>
    <w:p>
      <w:pPr>
        <w:spacing w:after="140" w:line="259" w:lineRule="auto"/>
      </w:pPr>
      <w:r>
        <w:t>Affected metric and unit: Revenue for Cloud Services. Impact level is High based on the synthetic guidance pack.</w:t>
      </w:r>
    </w:p>
    <w:p>
      <w:pPr>
        <w:spacing w:after="140" w:line="259" w:lineRule="auto"/>
      </w:pPr>
      <w:r>
        <w:t>Management actions and mitigation: Prioritize enterprise modernization pipeline, package FinOps reviews with implementation work, and protect margin through pass-through clauses.</w:t>
      </w:r>
    </w:p>
    <w:p>
      <w:pPr>
        <w:pStyle w:val="Heading2"/>
      </w:pPr>
      <w:r>
        <w:t>2. Tailwind: Managed Operations renewal base</w:t>
      </w:r>
    </w:p>
    <w:p>
      <w:pPr>
        <w:spacing w:after="140" w:line="259" w:lineRule="auto"/>
      </w:pPr>
      <w:r>
        <w:t>Business context: The managed operations base provides recurring revenue visibility. Renewals have higher gross margin potential when service automation is already deployed and the delivery team can reuse runbooks and monitoring templates.</w:t>
      </w:r>
    </w:p>
    <w:p>
      <w:pPr>
        <w:spacing w:after="140" w:line="259" w:lineRule="auto"/>
      </w:pPr>
      <w:r>
        <w:t>Source signals analysts should monitor: Renewal coverage above plan, low churn in strategic accounts, and expanding scope within existing contracts.</w:t>
      </w:r>
    </w:p>
    <w:p>
      <w:pPr>
        <w:spacing w:after="140" w:line="259" w:lineRule="auto"/>
      </w:pPr>
      <w:r>
        <w:t>Affected metric and unit: Revenue visibility for Managed Operations. Impact level is High based on the synthetic guidance pack.</w:t>
      </w:r>
    </w:p>
    <w:p>
      <w:pPr>
        <w:spacing w:after="140" w:line="259" w:lineRule="auto"/>
      </w:pPr>
      <w:r>
        <w:t>Management actions and mitigation: Strengthen renewal desk process, identify accounts for scope expansion, and refresh renewal risk scoring monthly.</w:t>
      </w:r>
    </w:p>
    <w:p>
      <w:pPr>
        <w:pStyle w:val="Heading2"/>
      </w:pPr>
      <w:r>
        <w:t>3. Tailwind: AI-enabled delivery automation</w:t>
      </w:r>
    </w:p>
    <w:p>
      <w:pPr>
        <w:spacing w:after="140" w:line="259" w:lineRule="auto"/>
      </w:pPr>
      <w:r>
        <w:t>Business context: Automation reduces manual triage, accelerates knowledge retrieval, and standardizes repeatable delivery tasks. Benefits appear first as avoided subcontractor usage, then as improved delivery labor utilization.</w:t>
      </w:r>
    </w:p>
    <w:p>
      <w:pPr>
        <w:spacing w:after="140" w:line="259" w:lineRule="auto"/>
      </w:pPr>
      <w:r>
        <w:t>Source signals analysts should monitor: Lower ticket handling time, higher billable utilization, and fewer escalations requiring specialized subcontractors.</w:t>
      </w:r>
    </w:p>
    <w:p>
      <w:pPr>
        <w:spacing w:after="140" w:line="259" w:lineRule="auto"/>
      </w:pPr>
      <w:r>
        <w:t>Affected metric and unit: Gross Margin for Managed Operations; Cloud Services. Impact level is Medium based on the synthetic guidance pack.</w:t>
      </w:r>
    </w:p>
    <w:p>
      <w:pPr>
        <w:spacing w:after="140" w:line="259" w:lineRule="auto"/>
      </w:pPr>
      <w:r>
        <w:t>Management actions and mitigation: Scale automation toolkit, measure hours saved by workflow, and include realized savings in margin bridges.</w:t>
      </w:r>
    </w:p>
    <w:p>
      <w:pPr>
        <w:pStyle w:val="Heading2"/>
      </w:pPr>
      <w:r>
        <w:t>4. Tailwind: Data modernization cross-sell</w:t>
      </w:r>
    </w:p>
    <w:p>
      <w:pPr>
        <w:spacing w:after="140" w:line="259" w:lineRule="auto"/>
      </w:pPr>
      <w:r>
        <w:t>Business context: Cloud modernization clients often need analytics, governed data pipelines, and reporting rationalization after platform migration. Cross-sell opportunities are strongest in accounts with fragmented data marts and manual KPI reconciliation.</w:t>
      </w:r>
    </w:p>
    <w:p>
      <w:pPr>
        <w:spacing w:after="140" w:line="259" w:lineRule="auto"/>
      </w:pPr>
      <w:r>
        <w:t>Source signals analysts should monitor: Joint pursuits between Cloud Services and Data &amp; Analytics, increase in analytics discovery workshops, and more data governance add-ons.</w:t>
      </w:r>
    </w:p>
    <w:p>
      <w:pPr>
        <w:spacing w:after="140" w:line="259" w:lineRule="auto"/>
      </w:pPr>
      <w:r>
        <w:t>Affected metric and unit: Revenue Growth for Data &amp; Analytics. Impact level is Medium based on the synthetic guidance pack.</w:t>
      </w:r>
    </w:p>
    <w:p>
      <w:pPr>
        <w:spacing w:after="140" w:line="259" w:lineRule="auto"/>
      </w:pPr>
      <w:r>
        <w:t>Management actions and mitigation: Run joint go-to-market motions, attach data assessment to cloud migration proposals, and standardize KPI governance offers.</w:t>
      </w:r>
    </w:p>
    <w:p>
      <w:pPr>
        <w:pStyle w:val="Heading2"/>
      </w:pPr>
      <w:r>
        <w:t>5. Headwind: Cloud hosting cost inflation</w:t>
      </w:r>
    </w:p>
    <w:p>
      <w:pPr>
        <w:spacing w:after="140" w:line="259" w:lineRule="auto"/>
      </w:pPr>
      <w:r>
        <w:t>Business context: Hosting costs remain elevated as workload volumes grow and vendor pricing pressure persists. Margin is most sensitive where contracts lack pass-through clauses or workload optimization activities lag client growth.</w:t>
      </w:r>
    </w:p>
    <w:p>
      <w:pPr>
        <w:spacing w:after="140" w:line="259" w:lineRule="auto"/>
      </w:pPr>
      <w:r>
        <w:t>Source signals analysts should monitor: Hosting cost growth above revenue growth, lower workload utilization efficiency, and contract terms without indexation.</w:t>
      </w:r>
    </w:p>
    <w:p>
      <w:pPr>
        <w:spacing w:after="140" w:line="259" w:lineRule="auto"/>
      </w:pPr>
      <w:r>
        <w:t>Affected metric and unit: Gross Margin for Cloud Services. Impact level is High based on the synthetic guidance pack.</w:t>
      </w:r>
    </w:p>
    <w:p>
      <w:pPr>
        <w:spacing w:after="140" w:line="259" w:lineRule="auto"/>
      </w:pPr>
      <w:r>
        <w:t>Management actions and mitigation: Renegotiate pass-through clauses, run workload optimization, and create contract-level margin watchlists.</w:t>
      </w:r>
    </w:p>
    <w:p>
      <w:pPr>
        <w:pStyle w:val="Heading2"/>
      </w:pPr>
      <w:r>
        <w:t>6. Headwind: Enterprise procurement delays</w:t>
      </w:r>
    </w:p>
    <w:p>
      <w:pPr>
        <w:spacing w:after="140" w:line="259" w:lineRule="auto"/>
      </w:pPr>
      <w:r>
        <w:t>Business context: Large enterprise buying committees are extending approval cycles. This does not necessarily reduce demand, but it can delay bookings and defer revenue recognition into later quarters.</w:t>
      </w:r>
    </w:p>
    <w:p>
      <w:pPr>
        <w:spacing w:after="140" w:line="259" w:lineRule="auto"/>
      </w:pPr>
      <w:r>
        <w:t>Source signals analysts should monitor: More opportunities stuck in legal/procurement, lower same-quarter conversion, and delayed purchase order issuance.</w:t>
      </w:r>
    </w:p>
    <w:p>
      <w:pPr>
        <w:spacing w:after="140" w:line="259" w:lineRule="auto"/>
      </w:pPr>
      <w:r>
        <w:t>Affected metric and unit: Revenue for North America Consulting. Impact level is Medium based on the synthetic guidance pack.</w:t>
      </w:r>
    </w:p>
    <w:p>
      <w:pPr>
        <w:spacing w:after="140" w:line="259" w:lineRule="auto"/>
      </w:pPr>
      <w:r>
        <w:t>Management actions and mitigation: Improve forecast scenario discipline, track late-stage deal slippage weekly, and separate demand health from timing risk.</w:t>
      </w:r>
    </w:p>
    <w:p>
      <w:pPr>
        <w:pStyle w:val="Heading2"/>
      </w:pPr>
      <w:r>
        <w:t>7. Headwind: Talent scarcity in cloud architecture</w:t>
      </w:r>
    </w:p>
    <w:p>
      <w:pPr>
        <w:spacing w:after="140" w:line="259" w:lineRule="auto"/>
      </w:pPr>
      <w:r>
        <w:t>Business context: Specialized cloud architects remain difficult to hire. When demand spikes, the business unit may rely on subcontractors, which raises COGS and can dilute gross margin.</w:t>
      </w:r>
    </w:p>
    <w:p>
      <w:pPr>
        <w:spacing w:after="140" w:line="259" w:lineRule="auto"/>
      </w:pPr>
      <w:r>
        <w:t>Source signals analysts should monitor: Open requisitions aging beyond plan, subcontractor spend above budget, and utilization rates above sustainable thresholds.</w:t>
      </w:r>
    </w:p>
    <w:p>
      <w:pPr>
        <w:spacing w:after="140" w:line="259" w:lineRule="auto"/>
      </w:pPr>
      <w:r>
        <w:t>Affected metric and unit: COGS for Cloud Services. Impact level is Medium based on the synthetic guidance pack.</w:t>
      </w:r>
    </w:p>
    <w:p>
      <w:pPr>
        <w:spacing w:after="140" w:line="259" w:lineRule="auto"/>
      </w:pPr>
      <w:r>
        <w:t>Management actions and mitigation: Target certifications, accelerate internal cross-training, and maintain preferred subcontractor rate cards.</w:t>
      </w:r>
    </w:p>
    <w:p>
      <w:pPr>
        <w:pStyle w:val="Heading2"/>
      </w:pPr>
      <w:r>
        <w:t>8. Headwind: Project milestone timing</w:t>
      </w:r>
    </w:p>
    <w:p>
      <w:pPr>
        <w:spacing w:after="140" w:line="259" w:lineRule="auto"/>
      </w:pPr>
      <w:r>
        <w:t>Business context: Milestone-based data projects create monthly revenue volatility. A delayed client signoff can shift revenue from one month or quarter to the next even when delivery work remains on track.</w:t>
      </w:r>
    </w:p>
    <w:p>
      <w:pPr>
        <w:spacing w:after="140" w:line="259" w:lineRule="auto"/>
      </w:pPr>
      <w:r>
        <w:t>Source signals analysts should monitor: Late client acceptance, delayed data access, unresolved scope dependencies, and uneven milestone billing.</w:t>
      </w:r>
    </w:p>
    <w:p>
      <w:pPr>
        <w:spacing w:after="140" w:line="259" w:lineRule="auto"/>
      </w:pPr>
      <w:r>
        <w:t>Affected metric and unit: Revenue volatility for Data &amp; Analytics. Impact level is Medium based on the synthetic guidance pack.</w:t>
      </w:r>
    </w:p>
    <w:p>
      <w:pPr>
        <w:spacing w:after="140" w:line="259" w:lineRule="auto"/>
      </w:pPr>
      <w:r>
        <w:t>Management actions and mitigation: Improve milestone governance, track acceptance risk, and distinguish timing variance from demand deterioration.</w:t>
      </w:r>
    </w:p>
    <w:p>
      <w:pPr>
        <w:pStyle w:val="Heading1"/>
      </w:pPr>
      <w:r>
        <w:t>Company Commentary on Upcoming Growth Drivers</w:t>
      </w:r>
    </w:p>
    <w:p>
      <w:pPr>
        <w:pStyle w:val="Heading2"/>
      </w:pPr>
      <w:r>
        <w:t>Growth Driver 1: Enterprise cloud modernization</w:t>
      </w:r>
    </w:p>
    <w:p>
      <w:pPr>
        <w:spacing w:after="140" w:line="259" w:lineRule="auto"/>
      </w:pPr>
      <w:r>
        <w:t>Demand for modernization, observability, security hardening, and cost optimization remains the most important near-term growth driver. Management expects cloud modernization to pull through managed services and analytics work when proposal teams include post-migration operating support.</w:t>
      </w:r>
    </w:p>
    <w:p>
      <w:pPr>
        <w:spacing w:after="140" w:line="259" w:lineRule="auto"/>
      </w:pPr>
      <w:r>
        <w:t>Management commentary: Enterprise cloud modernization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enterprise cloud modernization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2: Managed operations expansion</w:t>
      </w:r>
    </w:p>
    <w:p>
      <w:pPr>
        <w:spacing w:after="140" w:line="259" w:lineRule="auto"/>
      </w:pPr>
      <w:r>
        <w:t>Multi-year managed operations contracts provide stable recurring revenue and better visibility for guidance. Growth depends on renewals, expansion clauses, and service automation that improves margin as contracts mature.</w:t>
      </w:r>
    </w:p>
    <w:p>
      <w:pPr>
        <w:spacing w:after="140" w:line="259" w:lineRule="auto"/>
      </w:pPr>
      <w:r>
        <w:t>Management commentary: Managed operations expansion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managed operations expansion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3: AI-enabled delivery productivity</w:t>
      </w:r>
    </w:p>
    <w:p>
      <w:pPr>
        <w:spacing w:after="140" w:line="259" w:lineRule="auto"/>
      </w:pPr>
      <w:r>
        <w:t>The delivery automation roadmap is intended to reduce manual effort, shrink triage time, improve knowledge reuse, and lower subcontractor dependence. Management does not assume immediate margin uplift in every unit; benefits are expected to ramp as reusable tools are embedded in delivery workflows.</w:t>
      </w:r>
    </w:p>
    <w:p>
      <w:pPr>
        <w:spacing w:after="140" w:line="259" w:lineRule="auto"/>
      </w:pPr>
      <w:r>
        <w:t>Management commentary: AI-enabled delivery productivity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ai-enabled delivery productivity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4: Data modernization and KPI governance</w:t>
      </w:r>
    </w:p>
    <w:p>
      <w:pPr>
        <w:spacing w:after="140" w:line="259" w:lineRule="auto"/>
      </w:pPr>
      <w:r>
        <w:t>Clients that modernize cloud platforms often need governed data models, standardized metrics, and reporting rationalization. This creates a natural cross-sell path for Data &amp; Analytics when sales teams identify fragmented KPI definitions and manual reporting effort.</w:t>
      </w:r>
    </w:p>
    <w:p>
      <w:pPr>
        <w:spacing w:after="140" w:line="259" w:lineRule="auto"/>
      </w:pPr>
      <w:r>
        <w:t>Management commentary: Data modernization and KPI governance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data modernization and kpi governance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5: FinOps and workload optimization</w:t>
      </w:r>
    </w:p>
    <w:p>
      <w:pPr>
        <w:spacing w:after="140" w:line="259" w:lineRule="auto"/>
      </w:pPr>
      <w:r>
        <w:t>Clients are increasingly asking for cost transparency and optimization in cloud estates. Asteria can position FinOps assessments and managed optimization as recurring services, offsetting hosting cost pressure while improving client value realization.</w:t>
      </w:r>
    </w:p>
    <w:p>
      <w:pPr>
        <w:spacing w:after="140" w:line="259" w:lineRule="auto"/>
      </w:pPr>
      <w:r>
        <w:t>Management commentary: FinOps and workload optimization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finops and workload optimization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6: Strategic account expansion</w:t>
      </w:r>
    </w:p>
    <w:p>
      <w:pPr>
        <w:spacing w:after="140" w:line="259" w:lineRule="auto"/>
      </w:pPr>
      <w:r>
        <w:t>The account team is focused on expanding wallet share in existing enterprise accounts. The strongest opportunities come from accounts where Asteria already supports cloud operations, because switching costs are higher and business context is already established.</w:t>
      </w:r>
    </w:p>
    <w:p>
      <w:pPr>
        <w:spacing w:after="140" w:line="259" w:lineRule="auto"/>
      </w:pPr>
      <w:r>
        <w:t>Management commentary: Strategic account expansion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strategic account expansion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1"/>
      </w:pPr>
      <w:r>
        <w:t>Q2 Finance Interpretation for Copilot Answers</w:t>
      </w:r>
    </w:p>
    <w:p>
      <w:pPr>
        <w:pStyle w:val="ListNumber"/>
        <w:spacing w:after="60"/>
      </w:pPr>
      <w:r>
        <w:t>For a revenue question, retrieve this report for management commentary but calculate revenue from finance_actuals.</w:t>
      </w:r>
    </w:p>
    <w:p>
      <w:pPr>
        <w:pStyle w:val="ListNumber"/>
        <w:spacing w:after="60"/>
      </w:pPr>
      <w:r>
        <w:t>For a gross margin question, retrieve the KPI formula and then calculate gross margin from Revenue and COGS accounts.</w:t>
      </w:r>
    </w:p>
    <w:p>
      <w:pPr>
        <w:pStyle w:val="ListNumber"/>
        <w:spacing w:after="60"/>
      </w:pPr>
      <w:r>
        <w:t>For a variance question, compare actuals to budget and then use the narrative sections to explain likely business drivers.</w:t>
      </w:r>
    </w:p>
    <w:p>
      <w:pPr>
        <w:pStyle w:val="ListNumber"/>
        <w:spacing w:after="60"/>
      </w:pPr>
      <w:r>
        <w:t>For an ambiguous question, ask for metric, period, and business unit before answering.</w:t>
      </w:r>
    </w:p>
    <w:p>
      <w:pPr>
        <w:pStyle w:val="ListNumber"/>
        <w:spacing w:after="60"/>
      </w:pPr>
      <w:r>
        <w:t>For external market or stock price questions, return unsupported because the MVP does not perform real-time lookup.</w:t>
      </w:r>
    </w:p>
    <w:p>
      <w:pPr>
        <w:pStyle w:val="Heading1"/>
      </w:pPr>
      <w:r>
        <w:t>Appendix: Sample Analyst Prompts for Evaluation</w:t>
      </w:r>
    </w:p>
    <w:p>
      <w:pPr>
        <w:pStyle w:val="ListBullet"/>
        <w:spacing w:after="60"/>
      </w:pPr>
      <w:r>
        <w:t>What was Q2 gross margin for Cloud Services and what drove the change?</w:t>
      </w:r>
    </w:p>
    <w:p>
      <w:pPr>
        <w:pStyle w:val="ListBullet"/>
        <w:spacing w:after="60"/>
      </w:pPr>
      <w:r>
        <w:t>Why did Data &amp; Analytics revenue decline in June?</w:t>
      </w:r>
    </w:p>
    <w:p>
      <w:pPr>
        <w:pStyle w:val="ListBullet"/>
        <w:spacing w:after="60"/>
      </w:pPr>
      <w:r>
        <w:t>Which Q2 headwinds should management monitor going into Q3?</w:t>
      </w:r>
    </w:p>
    <w:p>
      <w:pPr>
        <w:pStyle w:val="ListBullet"/>
        <w:spacing w:after="60"/>
      </w:pPr>
      <w:r>
        <w:t>Summarize analyst concerns from the Q2 close discussion.</w:t>
      </w:r>
    </w:p>
    <w:p>
      <w:pPr>
        <w:pStyle w:val="ListBullet"/>
        <w:spacing w:after="60"/>
      </w:pPr>
      <w:r>
        <w:t>Are procurement delays a revenue timing issue or a demand issue?</w:t>
      </w:r>
    </w:p>
    <w:p>
      <w:pPr>
        <w:pStyle w:val="ListBullet"/>
        <w:spacing w:after="60"/>
      </w:pPr>
      <w:r>
        <w:t>What sources should be cited when answering a Q2 variance question?</w:t>
      </w:r>
    </w:p>
    <w:p>
      <w:r>
        <w:br w:type="page"/>
      </w:r>
    </w:p>
    <w:p>
      <w:pPr>
        <w:pStyle w:val="Heading1"/>
      </w:pPr>
      <w:r>
        <w:t>Appendix A: Extended Q2 2026 Analyst Dialogue and Management Commentary</w:t>
      </w:r>
    </w:p>
    <w:p>
      <w:pPr>
        <w:spacing w:after="140" w:line="259" w:lineRule="auto"/>
      </w:pPr>
      <w:r>
        <w:t>This appendix adds richer conversation detail for Q2 2026. It is meant to mimic internal analyst review notes and management preparation materials that a finance analyst might search during quarterly variance analysis.</w:t>
      </w:r>
    </w:p>
    <w:p>
      <w:pPr>
        <w:pStyle w:val="Heading2"/>
      </w:pPr>
      <w:r>
        <w:t>Q2 2026 dialogue 1: Mira Cole - Lead FP&amp;A Analyst</w:t>
      </w:r>
    </w:p>
    <w:p>
      <w:pPr>
        <w:spacing w:after="140" w:line="259" w:lineRule="auto"/>
      </w:pPr>
      <w:r>
        <w:t>Mira Cole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Q2 2026, Mira Cole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Q2 2026 dialogue 2: Owen Hughes - Margin Analyst</w:t>
      </w:r>
    </w:p>
    <w:p>
      <w:pPr>
        <w:spacing w:after="140" w:line="259" w:lineRule="auto"/>
      </w:pPr>
      <w:r>
        <w:t>Owen Hughes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Q2 2026, Owen Hughes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Q2 2026 dialogue 3: Leena Shah - Guidance Analyst</w:t>
      </w:r>
    </w:p>
    <w:p>
      <w:pPr>
        <w:spacing w:after="140" w:line="259" w:lineRule="auto"/>
      </w:pPr>
      <w:r>
        <w:t>Leena Shah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Q2 2026, Leena Shah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Q2 2026 dialogue 4: Carlos Mendes - Revenue Operations Analyst</w:t>
      </w:r>
    </w:p>
    <w:p>
      <w:pPr>
        <w:spacing w:after="140" w:line="259" w:lineRule="auto"/>
      </w:pPr>
      <w:r>
        <w:t>Carlos Mendes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Q2 2026, Carlos Mendes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Q2 2026 dialogue 5: Bethany Luo - Controls Analyst</w:t>
      </w:r>
    </w:p>
    <w:p>
      <w:pPr>
        <w:spacing w:after="140" w:line="259" w:lineRule="auto"/>
      </w:pPr>
      <w:r>
        <w:t>Bethany Luo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Q2 2026, Bethany Luo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Q2 2026 dialogue 6: Theo Bennett - Cloud Finance Analyst</w:t>
      </w:r>
    </w:p>
    <w:p>
      <w:pPr>
        <w:spacing w:after="140" w:line="259" w:lineRule="auto"/>
      </w:pPr>
      <w:r>
        <w:t>Theo Bennett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Q2 2026, Theo Bennett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Q2 2026 dialogue 7: Anika Desai - Working Capital Analyst</w:t>
      </w:r>
    </w:p>
    <w:p>
      <w:pPr>
        <w:spacing w:after="140" w:line="259" w:lineRule="auto"/>
      </w:pPr>
      <w:r>
        <w:t>Anika Desai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Q2 2026, Anika Desai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Q2 2026 dialogue 8: Reed Kim - Business Unit Finance Analyst</w:t>
      </w:r>
    </w:p>
    <w:p>
      <w:pPr>
        <w:spacing w:after="140" w:line="259" w:lineRule="auto"/>
      </w:pPr>
      <w:r>
        <w:t>Reed Kim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Q2 2026, Reed Kim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1"/>
      </w:pPr>
      <w:r>
        <w:t>Appendix B: Q2 2026 Commentary Quality Checklist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0E7C86"/>
          </w:tcPr>
          <w:p>
            <w:pPr>
              <w:spacing w:after="40"/>
            </w:pPr>
            <w:r>
              <w:rPr>
                <w:b/>
                <w:color w:val="FFFFFF"/>
                <w:sz w:val="17"/>
              </w:rPr>
              <w:t>Question</w:t>
            </w:r>
          </w:p>
        </w:tc>
        <w:tc>
          <w:tcPr>
            <w:tcW w:type="dxa" w:w="3360"/>
            <w:vAlign w:val="center"/>
            <w:tcMar>
              <w:top w:w="100" w:type="dxa"/>
              <w:start w:w="100" w:type="dxa"/>
              <w:bottom w:w="100" w:type="dxa"/>
              <w:end w:w="100" w:type="dxa"/>
            </w:tcMar>
            <w:shd w:fill="0E7C86"/>
          </w:tcPr>
          <w:p>
            <w:pPr>
              <w:spacing w:after="40"/>
            </w:pPr>
            <w:r>
              <w:rPr>
                <w:b/>
                <w:color w:val="FFFFFF"/>
                <w:sz w:val="17"/>
              </w:rPr>
              <w:t>Good response behavior</w:t>
            </w:r>
          </w:p>
        </w:tc>
        <w:tc>
          <w:tcPr>
            <w:tcW w:type="dxa" w:w="3360"/>
            <w:vAlign w:val="center"/>
            <w:tcMar>
              <w:top w:w="100" w:type="dxa"/>
              <w:start w:w="100" w:type="dxa"/>
              <w:bottom w:w="100" w:type="dxa"/>
              <w:end w:w="100" w:type="dxa"/>
            </w:tcMar>
            <w:shd w:fill="0E7C86"/>
          </w:tcPr>
          <w:p>
            <w:pPr>
              <w:spacing w:after="40"/>
            </w:pPr>
            <w:r>
              <w:rPr>
                <w:b/>
                <w:color w:val="FFFFFF"/>
                <w:sz w:val="17"/>
              </w:rPr>
              <w:t>Weak response behavior</w:t>
            </w:r>
          </w:p>
        </w:tc>
      </w:tr>
      <w:tr>
        <w:tc>
          <w:tcPr>
            <w:tcW w:type="dxa" w:w="3360"/>
            <w:vAlign w:val="center"/>
            <w:tcMar>
              <w:top w:w="100" w:type="dxa"/>
              <w:start w:w="100" w:type="dxa"/>
              <w:bottom w:w="100" w:type="dxa"/>
              <w:end w:w="100" w:type="dxa"/>
            </w:tcMar>
          </w:tcPr>
          <w:p>
            <w:pPr>
              <w:spacing w:after="40"/>
            </w:pPr>
            <w:r>
              <w:rPr>
                <w:sz w:val="17"/>
              </w:rPr>
              <w:t>Does the answer cite data?</w:t>
            </w:r>
          </w:p>
        </w:tc>
        <w:tc>
          <w:tcPr>
            <w:tcW w:type="dxa" w:w="3360"/>
            <w:vAlign w:val="center"/>
            <w:tcMar>
              <w:top w:w="100" w:type="dxa"/>
              <w:start w:w="100" w:type="dxa"/>
              <w:bottom w:w="100" w:type="dxa"/>
              <w:end w:w="100" w:type="dxa"/>
            </w:tcMar>
          </w:tcPr>
          <w:p>
            <w:pPr>
              <w:spacing w:after="40"/>
            </w:pPr>
            <w:r>
              <w:rPr>
                <w:sz w:val="17"/>
              </w:rPr>
              <w:t>References source table, column, period, and formula.</w:t>
            </w:r>
          </w:p>
        </w:tc>
        <w:tc>
          <w:tcPr>
            <w:tcW w:type="dxa" w:w="3360"/>
            <w:vAlign w:val="center"/>
            <w:tcMar>
              <w:top w:w="100" w:type="dxa"/>
              <w:start w:w="100" w:type="dxa"/>
              <w:bottom w:w="100" w:type="dxa"/>
              <w:end w:w="100" w:type="dxa"/>
            </w:tcMar>
          </w:tcPr>
          <w:p>
            <w:pPr>
              <w:spacing w:after="40"/>
            </w:pPr>
            <w:r>
              <w:rPr>
                <w:sz w:val="17"/>
              </w:rPr>
              <w:t>Only cites narrative commentary.</w:t>
            </w:r>
          </w:p>
        </w:tc>
      </w:tr>
      <w:tr>
        <w:tc>
          <w:tcPr>
            <w:tcW w:type="dxa" w:w="3360"/>
            <w:vAlign w:val="center"/>
            <w:tcMar>
              <w:top w:w="100" w:type="dxa"/>
              <w:start w:w="100" w:type="dxa"/>
              <w:bottom w:w="100" w:type="dxa"/>
              <w:end w:w="100" w:type="dxa"/>
            </w:tcMar>
            <w:shd w:fill="F8FBFC"/>
          </w:tcPr>
          <w:p>
            <w:pPr>
              <w:spacing w:after="40"/>
            </w:pPr>
            <w:r>
              <w:rPr>
                <w:sz w:val="17"/>
              </w:rPr>
              <w:t>Does it explain driver relevance?</w:t>
            </w:r>
          </w:p>
        </w:tc>
        <w:tc>
          <w:tcPr>
            <w:tcW w:type="dxa" w:w="3360"/>
            <w:vAlign w:val="center"/>
            <w:tcMar>
              <w:top w:w="100" w:type="dxa"/>
              <w:start w:w="100" w:type="dxa"/>
              <w:bottom w:w="100" w:type="dxa"/>
              <w:end w:w="100" w:type="dxa"/>
            </w:tcMar>
            <w:shd w:fill="F8FBFC"/>
          </w:tcPr>
          <w:p>
            <w:pPr>
              <w:spacing w:after="40"/>
            </w:pPr>
            <w:r>
              <w:rPr>
                <w:sz w:val="17"/>
              </w:rPr>
              <w:t>Links driver to revenue, margin, EBITDA, or cash.</w:t>
            </w:r>
          </w:p>
        </w:tc>
        <w:tc>
          <w:tcPr>
            <w:tcW w:type="dxa" w:w="3360"/>
            <w:vAlign w:val="center"/>
            <w:tcMar>
              <w:top w:w="100" w:type="dxa"/>
              <w:start w:w="100" w:type="dxa"/>
              <w:bottom w:w="100" w:type="dxa"/>
              <w:end w:w="100" w:type="dxa"/>
            </w:tcMar>
            <w:shd w:fill="F8FBFC"/>
          </w:tcPr>
          <w:p>
            <w:pPr>
              <w:spacing w:after="40"/>
            </w:pPr>
            <w:r>
              <w:rPr>
                <w:sz w:val="17"/>
              </w:rPr>
              <w:t>Lists generic business factors.</w:t>
            </w:r>
          </w:p>
        </w:tc>
      </w:tr>
      <w:tr>
        <w:tc>
          <w:tcPr>
            <w:tcW w:type="dxa" w:w="3360"/>
            <w:vAlign w:val="center"/>
            <w:tcMar>
              <w:top w:w="100" w:type="dxa"/>
              <w:start w:w="100" w:type="dxa"/>
              <w:bottom w:w="100" w:type="dxa"/>
              <w:end w:w="100" w:type="dxa"/>
            </w:tcMar>
          </w:tcPr>
          <w:p>
            <w:pPr>
              <w:spacing w:after="40"/>
            </w:pPr>
            <w:r>
              <w:rPr>
                <w:sz w:val="17"/>
              </w:rPr>
              <w:t>Does it handle ambiguity?</w:t>
            </w:r>
          </w:p>
        </w:tc>
        <w:tc>
          <w:tcPr>
            <w:tcW w:type="dxa" w:w="3360"/>
            <w:vAlign w:val="center"/>
            <w:tcMar>
              <w:top w:w="100" w:type="dxa"/>
              <w:start w:w="100" w:type="dxa"/>
              <w:bottom w:w="100" w:type="dxa"/>
              <w:end w:w="100" w:type="dxa"/>
            </w:tcMar>
          </w:tcPr>
          <w:p>
            <w:pPr>
              <w:spacing w:after="40"/>
            </w:pPr>
            <w:r>
              <w:rPr>
                <w:sz w:val="17"/>
              </w:rPr>
              <w:t>Asks for metric, period, and business unit.</w:t>
            </w:r>
          </w:p>
        </w:tc>
        <w:tc>
          <w:tcPr>
            <w:tcW w:type="dxa" w:w="3360"/>
            <w:vAlign w:val="center"/>
            <w:tcMar>
              <w:top w:w="100" w:type="dxa"/>
              <w:start w:w="100" w:type="dxa"/>
              <w:bottom w:w="100" w:type="dxa"/>
              <w:end w:w="100" w:type="dxa"/>
            </w:tcMar>
          </w:tcPr>
          <w:p>
            <w:pPr>
              <w:spacing w:after="40"/>
            </w:pPr>
            <w:r>
              <w:rPr>
                <w:sz w:val="17"/>
              </w:rPr>
              <w:t>Answers broadly without assumptions.</w:t>
            </w:r>
          </w:p>
        </w:tc>
      </w:tr>
      <w:tr>
        <w:tc>
          <w:tcPr>
            <w:tcW w:type="dxa" w:w="3360"/>
            <w:vAlign w:val="center"/>
            <w:tcMar>
              <w:top w:w="100" w:type="dxa"/>
              <w:start w:w="100" w:type="dxa"/>
              <w:bottom w:w="100" w:type="dxa"/>
              <w:end w:w="100" w:type="dxa"/>
            </w:tcMar>
            <w:shd w:fill="F8FBFC"/>
          </w:tcPr>
          <w:p>
            <w:pPr>
              <w:spacing w:after="40"/>
            </w:pPr>
            <w:r>
              <w:rPr>
                <w:sz w:val="17"/>
              </w:rPr>
              <w:t>Does it separate actuals and guidance?</w:t>
            </w:r>
          </w:p>
        </w:tc>
        <w:tc>
          <w:tcPr>
            <w:tcW w:type="dxa" w:w="3360"/>
            <w:vAlign w:val="center"/>
            <w:tcMar>
              <w:top w:w="100" w:type="dxa"/>
              <w:start w:w="100" w:type="dxa"/>
              <w:bottom w:w="100" w:type="dxa"/>
              <w:end w:w="100" w:type="dxa"/>
            </w:tcMar>
            <w:shd w:fill="F8FBFC"/>
          </w:tcPr>
          <w:p>
            <w:pPr>
              <w:spacing w:after="40"/>
            </w:pPr>
            <w:r>
              <w:rPr>
                <w:sz w:val="17"/>
              </w:rPr>
              <w:t>Labels actual, budget, forecast, and guidance clearly.</w:t>
            </w:r>
          </w:p>
        </w:tc>
        <w:tc>
          <w:tcPr>
            <w:tcW w:type="dxa" w:w="3360"/>
            <w:vAlign w:val="center"/>
            <w:tcMar>
              <w:top w:w="100" w:type="dxa"/>
              <w:start w:w="100" w:type="dxa"/>
              <w:bottom w:w="100" w:type="dxa"/>
              <w:end w:w="100" w:type="dxa"/>
            </w:tcMar>
            <w:shd w:fill="F8FBFC"/>
          </w:tcPr>
          <w:p>
            <w:pPr>
              <w:spacing w:after="40"/>
            </w:pPr>
            <w:r>
              <w:rPr>
                <w:sz w:val="17"/>
              </w:rPr>
              <w:t>Mixes guidance with realized results.</w:t>
            </w:r>
          </w:p>
        </w:tc>
      </w:tr>
    </w:tbl>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