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Q3 2026 Guidance and Growth Prospects - Expanded</w:t>
      </w:r>
    </w:p>
    <w:p>
      <w:pPr>
        <w:jc w:val="center"/>
      </w:pPr>
      <w:r>
        <w:rPr>
          <w:i/>
          <w:color w:val="0E7C86"/>
          <w:sz w:val="26"/>
        </w:rPr>
        <w:t>Management guidance, scenario sensitivities, analyst Q&amp;A, and growth driver commentary</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Guidance Report</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Management Guidance Overview</w:t>
      </w:r>
    </w:p>
    <w:p>
      <w:pPr>
        <w:spacing w:after="140" w:line="259" w:lineRule="auto"/>
      </w:pPr>
      <w:r>
        <w:t>Q3 guidance reflects continued demand for cloud modernization and managed operations, partially offset by hosting cost pressure, talent constraints, and enterprise procurement timing. Management is using a range rather than a single-point target because the quarter depends on late-stage deal conversion and how quickly delivery teams can convert demand into recognized revenue.</w:t>
      </w:r>
    </w:p>
    <w:p>
      <w:pPr>
        <w:spacing w:after="140" w:line="259" w:lineRule="auto"/>
      </w:pPr>
      <w:r>
        <w:t>The guidance posture is constructive but disciplined. The midpoint assumes that recurring managed services continue to grow, Cloud Services pipeline converts near plan, and Data &amp; Analytics milestone timing normalizes compared with June. The low end assumes procurement delays extend and hosting costs remain above expectation. The high end assumes strong renewal conversion, improved utilization, and early cost benefits from automation.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tcMar>
              <w:top w:w="120" w:type="dxa"/>
              <w:start w:w="120" w:type="dxa"/>
              <w:bottom w:w="120" w:type="dxa"/>
              <w:end w:w="120" w:type="dxa"/>
            </w:tcMar>
            <w:shd w:fill="1F4E79"/>
          </w:tcPr>
          <w:p>
            <w:pPr>
              <w:spacing w:after="40"/>
            </w:pPr>
            <w:r>
              <w:rPr>
                <w:rFonts w:ascii="Aptos" w:hAnsi="Aptos"/>
                <w:b/>
                <w:color w:val="FFFFFF"/>
                <w:sz w:val="17"/>
              </w:rPr>
              <w:t>Metric</w:t>
            </w:r>
          </w:p>
        </w:tc>
        <w:tc>
          <w:tcPr>
            <w:tcW w:type="dxa" w:w="2016"/>
            <w:vAlign w:val="center"/>
            <w:tcMar>
              <w:top w:w="120" w:type="dxa"/>
              <w:start w:w="120" w:type="dxa"/>
              <w:bottom w:w="120" w:type="dxa"/>
              <w:end w:w="120" w:type="dxa"/>
            </w:tcMar>
            <w:shd w:fill="1F4E79"/>
          </w:tcPr>
          <w:p>
            <w:pPr>
              <w:spacing w:after="40"/>
            </w:pPr>
            <w:r>
              <w:rPr>
                <w:rFonts w:ascii="Aptos" w:hAnsi="Aptos"/>
                <w:b/>
                <w:color w:val="FFFFFF"/>
                <w:sz w:val="17"/>
              </w:rPr>
              <w:t>Low</w:t>
            </w:r>
          </w:p>
        </w:tc>
        <w:tc>
          <w:tcPr>
            <w:tcW w:type="dxa" w:w="2016"/>
            <w:vAlign w:val="center"/>
            <w:tcMar>
              <w:top w:w="120" w:type="dxa"/>
              <w:start w:w="120" w:type="dxa"/>
              <w:bottom w:w="120" w:type="dxa"/>
              <w:end w:w="120" w:type="dxa"/>
            </w:tcMar>
            <w:shd w:fill="1F4E79"/>
          </w:tcPr>
          <w:p>
            <w:pPr>
              <w:spacing w:after="40"/>
            </w:pPr>
            <w:r>
              <w:rPr>
                <w:rFonts w:ascii="Aptos" w:hAnsi="Aptos"/>
                <w:b/>
                <w:color w:val="FFFFFF"/>
                <w:sz w:val="17"/>
              </w:rPr>
              <w:t>High</w:t>
            </w:r>
          </w:p>
        </w:tc>
        <w:tc>
          <w:tcPr>
            <w:tcW w:type="dxa" w:w="2016"/>
            <w:vAlign w:val="center"/>
            <w:tcMar>
              <w:top w:w="120" w:type="dxa"/>
              <w:start w:w="120" w:type="dxa"/>
              <w:bottom w:w="120" w:type="dxa"/>
              <w:end w:w="120" w:type="dxa"/>
            </w:tcMar>
            <w:shd w:fill="1F4E79"/>
          </w:tcPr>
          <w:p>
            <w:pPr>
              <w:spacing w:after="40"/>
            </w:pPr>
            <w:r>
              <w:rPr>
                <w:rFonts w:ascii="Aptos" w:hAnsi="Aptos"/>
                <w:b/>
                <w:color w:val="FFFFFF"/>
                <w:sz w:val="17"/>
              </w:rPr>
              <w:t>Midpoint</w:t>
            </w:r>
          </w:p>
        </w:tc>
        <w:tc>
          <w:tcPr>
            <w:tcW w:type="dxa" w:w="2016"/>
            <w:vAlign w:val="center"/>
            <w:tcMar>
              <w:top w:w="120" w:type="dxa"/>
              <w:start w:w="120" w:type="dxa"/>
              <w:bottom w:w="120" w:type="dxa"/>
              <w:end w:w="120" w:type="dxa"/>
            </w:tcMar>
            <w:shd w:fill="1F4E79"/>
          </w:tcPr>
          <w:p>
            <w:pPr>
              <w:spacing w:after="40"/>
            </w:pPr>
            <w:r>
              <w:rPr>
                <w:rFonts w:ascii="Aptos" w:hAnsi="Aptos"/>
                <w:b/>
                <w:color w:val="FFFFFF"/>
                <w:sz w:val="17"/>
              </w:rPr>
              <w:t>Management interpretation</w:t>
            </w:r>
          </w:p>
        </w:tc>
      </w:tr>
      <w:tr>
        <w:tc>
          <w:tcPr>
            <w:tcW w:type="dxa" w:w="2016"/>
            <w:vAlign w:val="center"/>
            <w:tcMar>
              <w:top w:w="120" w:type="dxa"/>
              <w:start w:w="120" w:type="dxa"/>
              <w:bottom w:w="120" w:type="dxa"/>
              <w:end w:w="120" w:type="dxa"/>
            </w:tcMar>
          </w:tcPr>
          <w:p>
            <w:pPr>
              <w:spacing w:after="40"/>
            </w:pPr>
            <w:r>
              <w:rPr>
                <w:rFonts w:ascii="Aptos" w:hAnsi="Aptos"/>
                <w:sz w:val="17"/>
              </w:rPr>
              <w:t>Revenue</w:t>
            </w:r>
          </w:p>
        </w:tc>
        <w:tc>
          <w:tcPr>
            <w:tcW w:type="dxa" w:w="2016"/>
            <w:vAlign w:val="center"/>
            <w:tcMar>
              <w:top w:w="120" w:type="dxa"/>
              <w:start w:w="120" w:type="dxa"/>
              <w:bottom w:w="120" w:type="dxa"/>
              <w:end w:w="120" w:type="dxa"/>
            </w:tcMar>
          </w:tcPr>
          <w:p>
            <w:pPr>
              <w:spacing w:after="40"/>
            </w:pPr>
            <w:r>
              <w:rPr>
                <w:rFonts w:ascii="Aptos" w:hAnsi="Aptos"/>
                <w:sz w:val="17"/>
              </w:rPr>
              <w:t>$10.6M</w:t>
            </w:r>
          </w:p>
        </w:tc>
        <w:tc>
          <w:tcPr>
            <w:tcW w:type="dxa" w:w="2016"/>
            <w:vAlign w:val="center"/>
            <w:tcMar>
              <w:top w:w="120" w:type="dxa"/>
              <w:start w:w="120" w:type="dxa"/>
              <w:bottom w:w="120" w:type="dxa"/>
              <w:end w:w="120" w:type="dxa"/>
            </w:tcMar>
          </w:tcPr>
          <w:p>
            <w:pPr>
              <w:spacing w:after="40"/>
            </w:pPr>
            <w:r>
              <w:rPr>
                <w:rFonts w:ascii="Aptos" w:hAnsi="Aptos"/>
                <w:sz w:val="17"/>
              </w:rPr>
              <w:t>$11.0M</w:t>
            </w:r>
          </w:p>
        </w:tc>
        <w:tc>
          <w:tcPr>
            <w:tcW w:type="dxa" w:w="2016"/>
            <w:vAlign w:val="center"/>
            <w:tcMar>
              <w:top w:w="120" w:type="dxa"/>
              <w:start w:w="120" w:type="dxa"/>
              <w:bottom w:w="120" w:type="dxa"/>
              <w:end w:w="120" w:type="dxa"/>
            </w:tcMar>
          </w:tcPr>
          <w:p>
            <w:pPr>
              <w:spacing w:after="40"/>
            </w:pPr>
            <w:r>
              <w:rPr>
                <w:rFonts w:ascii="Aptos" w:hAnsi="Aptos"/>
                <w:sz w:val="17"/>
              </w:rPr>
              <w:t>$10.8M</w:t>
            </w:r>
          </w:p>
        </w:tc>
        <w:tc>
          <w:tcPr>
            <w:tcW w:type="dxa" w:w="2016"/>
            <w:vAlign w:val="center"/>
            <w:tcMar>
              <w:top w:w="120" w:type="dxa"/>
              <w:start w:w="120" w:type="dxa"/>
              <w:bottom w:w="120" w:type="dxa"/>
              <w:end w:w="120" w:type="dxa"/>
            </w:tcMar>
          </w:tcPr>
          <w:p>
            <w:pPr>
              <w:spacing w:after="40"/>
            </w:pPr>
            <w:r>
              <w:rPr>
                <w:rFonts w:ascii="Aptos" w:hAnsi="Aptos"/>
                <w:sz w:val="17"/>
              </w:rPr>
              <w:t>Driven by Cloud Services and Managed Operations renewal base.</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Gross Margin %</w:t>
            </w:r>
          </w:p>
        </w:tc>
        <w:tc>
          <w:tcPr>
            <w:tcW w:type="dxa" w:w="2016"/>
            <w:vAlign w:val="center"/>
            <w:tcMar>
              <w:top w:w="120" w:type="dxa"/>
              <w:start w:w="120" w:type="dxa"/>
              <w:bottom w:w="120" w:type="dxa"/>
              <w:end w:w="120" w:type="dxa"/>
            </w:tcMar>
            <w:shd w:fill="F8FBFC"/>
          </w:tcPr>
          <w:p>
            <w:pPr>
              <w:spacing w:after="40"/>
            </w:pPr>
            <w:r>
              <w:rPr>
                <w:rFonts w:ascii="Aptos" w:hAnsi="Aptos"/>
                <w:sz w:val="17"/>
              </w:rPr>
              <w:t>54.0%</w:t>
            </w:r>
          </w:p>
        </w:tc>
        <w:tc>
          <w:tcPr>
            <w:tcW w:type="dxa" w:w="2016"/>
            <w:vAlign w:val="center"/>
            <w:tcMar>
              <w:top w:w="120" w:type="dxa"/>
              <w:start w:w="120" w:type="dxa"/>
              <w:bottom w:w="120" w:type="dxa"/>
              <w:end w:w="120" w:type="dxa"/>
            </w:tcMar>
            <w:shd w:fill="F8FBFC"/>
          </w:tcPr>
          <w:p>
            <w:pPr>
              <w:spacing w:after="40"/>
            </w:pPr>
            <w:r>
              <w:rPr>
                <w:rFonts w:ascii="Aptos" w:hAnsi="Aptos"/>
                <w:sz w:val="17"/>
              </w:rPr>
              <w:t>55.5%</w:t>
            </w:r>
          </w:p>
        </w:tc>
        <w:tc>
          <w:tcPr>
            <w:tcW w:type="dxa" w:w="2016"/>
            <w:vAlign w:val="center"/>
            <w:tcMar>
              <w:top w:w="120" w:type="dxa"/>
              <w:start w:w="120" w:type="dxa"/>
              <w:bottom w:w="120" w:type="dxa"/>
              <w:end w:w="120" w:type="dxa"/>
            </w:tcMar>
            <w:shd w:fill="F8FBFC"/>
          </w:tcPr>
          <w:p>
            <w:pPr>
              <w:spacing w:after="40"/>
            </w:pPr>
            <w:r>
              <w:rPr>
                <w:rFonts w:ascii="Aptos" w:hAnsi="Aptos"/>
                <w:sz w:val="17"/>
              </w:rPr>
              <w:t>54.8%</w:t>
            </w:r>
          </w:p>
        </w:tc>
        <w:tc>
          <w:tcPr>
            <w:tcW w:type="dxa" w:w="2016"/>
            <w:vAlign w:val="center"/>
            <w:tcMar>
              <w:top w:w="120" w:type="dxa"/>
              <w:start w:w="120" w:type="dxa"/>
              <w:bottom w:w="120" w:type="dxa"/>
              <w:end w:w="120" w:type="dxa"/>
            </w:tcMar>
            <w:shd w:fill="F8FBFC"/>
          </w:tcPr>
          <w:p>
            <w:pPr>
              <w:spacing w:after="40"/>
            </w:pPr>
            <w:r>
              <w:rPr>
                <w:rFonts w:ascii="Aptos" w:hAnsi="Aptos"/>
                <w:sz w:val="17"/>
              </w:rPr>
              <w:t>Hosting cost pressure partly offsets automation savings.</w:t>
            </w:r>
          </w:p>
        </w:tc>
      </w:tr>
      <w:tr>
        <w:tc>
          <w:tcPr>
            <w:tcW w:type="dxa" w:w="2016"/>
            <w:vAlign w:val="center"/>
            <w:tcMar>
              <w:top w:w="120" w:type="dxa"/>
              <w:start w:w="120" w:type="dxa"/>
              <w:bottom w:w="120" w:type="dxa"/>
              <w:end w:w="120" w:type="dxa"/>
            </w:tcMar>
          </w:tcPr>
          <w:p>
            <w:pPr>
              <w:spacing w:after="40"/>
            </w:pPr>
            <w:r>
              <w:rPr>
                <w:rFonts w:ascii="Aptos" w:hAnsi="Aptos"/>
                <w:sz w:val="17"/>
              </w:rPr>
              <w:t>Operating Expense</w:t>
            </w:r>
          </w:p>
        </w:tc>
        <w:tc>
          <w:tcPr>
            <w:tcW w:type="dxa" w:w="2016"/>
            <w:vAlign w:val="center"/>
            <w:tcMar>
              <w:top w:w="120" w:type="dxa"/>
              <w:start w:w="120" w:type="dxa"/>
              <w:bottom w:w="120" w:type="dxa"/>
              <w:end w:w="120" w:type="dxa"/>
            </w:tcMar>
          </w:tcPr>
          <w:p>
            <w:pPr>
              <w:spacing w:after="40"/>
            </w:pPr>
            <w:r>
              <w:rPr>
                <w:rFonts w:ascii="Aptos" w:hAnsi="Aptos"/>
                <w:sz w:val="17"/>
              </w:rPr>
              <w:t>$2.58M</w:t>
            </w:r>
          </w:p>
        </w:tc>
        <w:tc>
          <w:tcPr>
            <w:tcW w:type="dxa" w:w="2016"/>
            <w:vAlign w:val="center"/>
            <w:tcMar>
              <w:top w:w="120" w:type="dxa"/>
              <w:start w:w="120" w:type="dxa"/>
              <w:bottom w:w="120" w:type="dxa"/>
              <w:end w:w="120" w:type="dxa"/>
            </w:tcMar>
          </w:tcPr>
          <w:p>
            <w:pPr>
              <w:spacing w:after="40"/>
            </w:pPr>
            <w:r>
              <w:rPr>
                <w:rFonts w:ascii="Aptos" w:hAnsi="Aptos"/>
                <w:sz w:val="17"/>
              </w:rPr>
              <w:t>$2.72M</w:t>
            </w:r>
          </w:p>
        </w:tc>
        <w:tc>
          <w:tcPr>
            <w:tcW w:type="dxa" w:w="2016"/>
            <w:vAlign w:val="center"/>
            <w:tcMar>
              <w:top w:w="120" w:type="dxa"/>
              <w:start w:w="120" w:type="dxa"/>
              <w:bottom w:w="120" w:type="dxa"/>
              <w:end w:w="120" w:type="dxa"/>
            </w:tcMar>
          </w:tcPr>
          <w:p>
            <w:pPr>
              <w:spacing w:after="40"/>
            </w:pPr>
            <w:r>
              <w:rPr>
                <w:rFonts w:ascii="Aptos" w:hAnsi="Aptos"/>
                <w:sz w:val="17"/>
              </w:rPr>
              <w:t>$2.65M</w:t>
            </w:r>
          </w:p>
        </w:tc>
        <w:tc>
          <w:tcPr>
            <w:tcW w:type="dxa" w:w="2016"/>
            <w:vAlign w:val="center"/>
            <w:tcMar>
              <w:top w:w="120" w:type="dxa"/>
              <w:start w:w="120" w:type="dxa"/>
              <w:bottom w:w="120" w:type="dxa"/>
              <w:end w:w="120" w:type="dxa"/>
            </w:tcMar>
          </w:tcPr>
          <w:p>
            <w:pPr>
              <w:spacing w:after="40"/>
            </w:pPr>
            <w:r>
              <w:rPr>
                <w:rFonts w:ascii="Aptos" w:hAnsi="Aptos"/>
                <w:sz w:val="17"/>
              </w:rPr>
              <w:t>Sales campaign and AI delivery tooling investment continue.</w:t>
            </w:r>
          </w:p>
        </w:tc>
      </w:tr>
      <w:tr>
        <w:tc>
          <w:tcPr>
            <w:tcW w:type="dxa" w:w="2016"/>
            <w:vAlign w:val="center"/>
            <w:tcMar>
              <w:top w:w="120" w:type="dxa"/>
              <w:start w:w="120" w:type="dxa"/>
              <w:bottom w:w="120" w:type="dxa"/>
              <w:end w:w="120" w:type="dxa"/>
            </w:tcMar>
            <w:shd w:fill="F8FBFC"/>
          </w:tcPr>
          <w:p>
            <w:pPr>
              <w:spacing w:after="40"/>
            </w:pPr>
            <w:r>
              <w:rPr>
                <w:rFonts w:ascii="Aptos" w:hAnsi="Aptos"/>
                <w:sz w:val="17"/>
              </w:rPr>
              <w:t>EBITDA</w:t>
            </w:r>
          </w:p>
        </w:tc>
        <w:tc>
          <w:tcPr>
            <w:tcW w:type="dxa" w:w="2016"/>
            <w:vAlign w:val="center"/>
            <w:tcMar>
              <w:top w:w="120" w:type="dxa"/>
              <w:start w:w="120" w:type="dxa"/>
              <w:bottom w:w="120" w:type="dxa"/>
              <w:end w:w="120" w:type="dxa"/>
            </w:tcMar>
            <w:shd w:fill="F8FBFC"/>
          </w:tcPr>
          <w:p>
            <w:pPr>
              <w:spacing w:after="40"/>
            </w:pPr>
            <w:r>
              <w:rPr>
                <w:rFonts w:ascii="Aptos" w:hAnsi="Aptos"/>
                <w:sz w:val="17"/>
              </w:rPr>
              <w:t>$2.95M</w:t>
            </w:r>
          </w:p>
        </w:tc>
        <w:tc>
          <w:tcPr>
            <w:tcW w:type="dxa" w:w="2016"/>
            <w:vAlign w:val="center"/>
            <w:tcMar>
              <w:top w:w="120" w:type="dxa"/>
              <w:start w:w="120" w:type="dxa"/>
              <w:bottom w:w="120" w:type="dxa"/>
              <w:end w:w="120" w:type="dxa"/>
            </w:tcMar>
            <w:shd w:fill="F8FBFC"/>
          </w:tcPr>
          <w:p>
            <w:pPr>
              <w:spacing w:after="40"/>
            </w:pPr>
            <w:r>
              <w:rPr>
                <w:rFonts w:ascii="Aptos" w:hAnsi="Aptos"/>
                <w:sz w:val="17"/>
              </w:rPr>
              <w:t>$3.20M</w:t>
            </w:r>
          </w:p>
        </w:tc>
        <w:tc>
          <w:tcPr>
            <w:tcW w:type="dxa" w:w="2016"/>
            <w:vAlign w:val="center"/>
            <w:tcMar>
              <w:top w:w="120" w:type="dxa"/>
              <w:start w:w="120" w:type="dxa"/>
              <w:bottom w:w="120" w:type="dxa"/>
              <w:end w:w="120" w:type="dxa"/>
            </w:tcMar>
            <w:shd w:fill="F8FBFC"/>
          </w:tcPr>
          <w:p>
            <w:pPr>
              <w:spacing w:after="40"/>
            </w:pPr>
            <w:r>
              <w:rPr>
                <w:rFonts w:ascii="Aptos" w:hAnsi="Aptos"/>
                <w:sz w:val="17"/>
              </w:rPr>
              <w:t>$3.08M</w:t>
            </w:r>
          </w:p>
        </w:tc>
        <w:tc>
          <w:tcPr>
            <w:tcW w:type="dxa" w:w="2016"/>
            <w:vAlign w:val="center"/>
            <w:tcMar>
              <w:top w:w="120" w:type="dxa"/>
              <w:start w:w="120" w:type="dxa"/>
              <w:bottom w:w="120" w:type="dxa"/>
              <w:end w:w="120" w:type="dxa"/>
            </w:tcMar>
            <w:shd w:fill="F8FBFC"/>
          </w:tcPr>
          <w:p>
            <w:pPr>
              <w:spacing w:after="40"/>
            </w:pPr>
            <w:r>
              <w:rPr>
                <w:rFonts w:ascii="Aptos" w:hAnsi="Aptos"/>
                <w:sz w:val="17"/>
              </w:rPr>
              <w:t>Dependent on utilization and subcontractor controls.</w:t>
            </w:r>
          </w:p>
        </w:tc>
      </w:tr>
    </w:tbl>
    <w:p/>
    <w:p>
      <w:pPr>
        <w:pStyle w:val="Heading1"/>
      </w:pPr>
      <w:r>
        <w:t>Guidance Sensitivity Framework</w:t>
      </w:r>
    </w:p>
    <w:p>
      <w:pPr>
        <w:spacing w:after="140" w:line="259" w:lineRule="auto"/>
      </w:pPr>
      <w:r>
        <w:t>Revenue sensitivity is highest in Cloud Services and North America Consulting. Cloud Services depends on modernization pipeline conversion and managed services attach rate. North America Consulting is more exposed to enterprise procurement delay because project-based work often requires new approvals before delivery begins.</w:t>
      </w:r>
    </w:p>
    <w:p>
      <w:pPr>
        <w:spacing w:after="140" w:line="259" w:lineRule="auto"/>
      </w:pPr>
      <w:r>
        <w:t>Margin sensitivity is highest in Cloud Services because hosting costs can move faster than pricing adjustments. In Managed Operations, margin sensitivity is more tied to staffing efficiency, service automation, and renewal scope. Data &amp; Analytics margin depends on project mix and whether milestone timing creates uneven utilization.</w:t>
      </w:r>
    </w:p>
    <w:p>
      <w:pPr>
        <w:spacing w:after="140" w:line="259" w:lineRule="auto"/>
      </w:pPr>
      <w:r>
        <w:t>EBITDA sensitivity combines revenue conversion, gross margin, and operating expense timing. A delayed sales campaign can make EBITDA look better temporarily, but the copilot should flag delayed spend as a timing item rather than permanent efficiency.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tcMar>
              <w:top w:w="120" w:type="dxa"/>
              <w:start w:w="120" w:type="dxa"/>
              <w:bottom w:w="120" w:type="dxa"/>
              <w:end w:w="120" w:type="dxa"/>
            </w:tcMar>
            <w:shd w:fill="0E7C86"/>
          </w:tcPr>
          <w:p>
            <w:pPr>
              <w:spacing w:after="40"/>
            </w:pPr>
            <w:r>
              <w:rPr>
                <w:rFonts w:ascii="Aptos" w:hAnsi="Aptos"/>
                <w:b/>
                <w:color w:val="FFFFFF"/>
                <w:sz w:val="17"/>
              </w:rPr>
              <w:t>Sensitivity</w:t>
            </w:r>
          </w:p>
        </w:tc>
        <w:tc>
          <w:tcPr>
            <w:tcW w:type="dxa" w:w="2520"/>
            <w:vAlign w:val="center"/>
            <w:tcMar>
              <w:top w:w="120" w:type="dxa"/>
              <w:start w:w="120" w:type="dxa"/>
              <w:bottom w:w="120" w:type="dxa"/>
              <w:end w:w="120" w:type="dxa"/>
            </w:tcMar>
            <w:shd w:fill="0E7C86"/>
          </w:tcPr>
          <w:p>
            <w:pPr>
              <w:spacing w:after="40"/>
            </w:pPr>
            <w:r>
              <w:rPr>
                <w:rFonts w:ascii="Aptos" w:hAnsi="Aptos"/>
                <w:b/>
                <w:color w:val="FFFFFF"/>
                <w:sz w:val="17"/>
              </w:rPr>
              <w:t>Base case assumption</w:t>
            </w:r>
          </w:p>
        </w:tc>
        <w:tc>
          <w:tcPr>
            <w:tcW w:type="dxa" w:w="2520"/>
            <w:vAlign w:val="center"/>
            <w:tcMar>
              <w:top w:w="120" w:type="dxa"/>
              <w:start w:w="120" w:type="dxa"/>
              <w:bottom w:w="120" w:type="dxa"/>
              <w:end w:w="120" w:type="dxa"/>
            </w:tcMar>
            <w:shd w:fill="0E7C86"/>
          </w:tcPr>
          <w:p>
            <w:pPr>
              <w:spacing w:after="40"/>
            </w:pPr>
            <w:r>
              <w:rPr>
                <w:rFonts w:ascii="Aptos" w:hAnsi="Aptos"/>
                <w:b/>
                <w:color w:val="FFFFFF"/>
                <w:sz w:val="17"/>
              </w:rPr>
              <w:t>Downside trigger</w:t>
            </w:r>
          </w:p>
        </w:tc>
        <w:tc>
          <w:tcPr>
            <w:tcW w:type="dxa" w:w="2520"/>
            <w:vAlign w:val="center"/>
            <w:tcMar>
              <w:top w:w="120" w:type="dxa"/>
              <w:start w:w="120" w:type="dxa"/>
              <w:bottom w:w="120" w:type="dxa"/>
              <w:end w:w="120" w:type="dxa"/>
            </w:tcMar>
            <w:shd w:fill="0E7C86"/>
          </w:tcPr>
          <w:p>
            <w:pPr>
              <w:spacing w:after="40"/>
            </w:pPr>
            <w:r>
              <w:rPr>
                <w:rFonts w:ascii="Aptos" w:hAnsi="Aptos"/>
                <w:b/>
                <w:color w:val="FFFFFF"/>
                <w:sz w:val="17"/>
              </w:rPr>
              <w:t>Upside trigger</w:t>
            </w:r>
          </w:p>
        </w:tc>
      </w:tr>
      <w:tr>
        <w:tc>
          <w:tcPr>
            <w:tcW w:type="dxa" w:w="2520"/>
            <w:vAlign w:val="center"/>
            <w:tcMar>
              <w:top w:w="120" w:type="dxa"/>
              <w:start w:w="120" w:type="dxa"/>
              <w:bottom w:w="120" w:type="dxa"/>
              <w:end w:w="120" w:type="dxa"/>
            </w:tcMar>
          </w:tcPr>
          <w:p>
            <w:pPr>
              <w:spacing w:after="40"/>
            </w:pPr>
            <w:r>
              <w:rPr>
                <w:rFonts w:ascii="Aptos" w:hAnsi="Aptos"/>
                <w:sz w:val="17"/>
              </w:rPr>
              <w:t>Late-stage deals</w:t>
            </w:r>
          </w:p>
        </w:tc>
        <w:tc>
          <w:tcPr>
            <w:tcW w:type="dxa" w:w="2520"/>
            <w:vAlign w:val="center"/>
            <w:tcMar>
              <w:top w:w="120" w:type="dxa"/>
              <w:start w:w="120" w:type="dxa"/>
              <w:bottom w:w="120" w:type="dxa"/>
              <w:end w:w="120" w:type="dxa"/>
            </w:tcMar>
          </w:tcPr>
          <w:p>
            <w:pPr>
              <w:spacing w:after="40"/>
            </w:pPr>
            <w:r>
              <w:rPr>
                <w:rFonts w:ascii="Aptos" w:hAnsi="Aptos"/>
                <w:sz w:val="17"/>
              </w:rPr>
              <w:t>Normal conversion in Q3</w:t>
            </w:r>
          </w:p>
        </w:tc>
        <w:tc>
          <w:tcPr>
            <w:tcW w:type="dxa" w:w="2520"/>
            <w:vAlign w:val="center"/>
            <w:tcMar>
              <w:top w:w="120" w:type="dxa"/>
              <w:start w:w="120" w:type="dxa"/>
              <w:bottom w:w="120" w:type="dxa"/>
              <w:end w:w="120" w:type="dxa"/>
            </w:tcMar>
          </w:tcPr>
          <w:p>
            <w:pPr>
              <w:spacing w:after="40"/>
            </w:pPr>
            <w:r>
              <w:rPr>
                <w:rFonts w:ascii="Aptos" w:hAnsi="Aptos"/>
                <w:sz w:val="17"/>
              </w:rPr>
              <w:t>Procurement slip beyond quarter end</w:t>
            </w:r>
          </w:p>
        </w:tc>
        <w:tc>
          <w:tcPr>
            <w:tcW w:type="dxa" w:w="2520"/>
            <w:vAlign w:val="center"/>
            <w:tcMar>
              <w:top w:w="120" w:type="dxa"/>
              <w:start w:w="120" w:type="dxa"/>
              <w:bottom w:w="120" w:type="dxa"/>
              <w:end w:w="120" w:type="dxa"/>
            </w:tcMar>
          </w:tcPr>
          <w:p>
            <w:pPr>
              <w:spacing w:after="40"/>
            </w:pPr>
            <w:r>
              <w:rPr>
                <w:rFonts w:ascii="Aptos" w:hAnsi="Aptos"/>
                <w:sz w:val="17"/>
              </w:rPr>
              <w:t>Accelerated purchase orders and SOW signings</w:t>
            </w:r>
          </w:p>
        </w:tc>
      </w:tr>
      <w:tr>
        <w:tc>
          <w:tcPr>
            <w:tcW w:type="dxa" w:w="2520"/>
            <w:vAlign w:val="center"/>
            <w:tcMar>
              <w:top w:w="120" w:type="dxa"/>
              <w:start w:w="120" w:type="dxa"/>
              <w:bottom w:w="120" w:type="dxa"/>
              <w:end w:w="120" w:type="dxa"/>
            </w:tcMar>
            <w:shd w:fill="F8FBFC"/>
          </w:tcPr>
          <w:p>
            <w:pPr>
              <w:spacing w:after="40"/>
            </w:pPr>
            <w:r>
              <w:rPr>
                <w:rFonts w:ascii="Aptos" w:hAnsi="Aptos"/>
                <w:sz w:val="17"/>
              </w:rPr>
              <w:t>Hosting cost inflation</w:t>
            </w:r>
          </w:p>
        </w:tc>
        <w:tc>
          <w:tcPr>
            <w:tcW w:type="dxa" w:w="2520"/>
            <w:vAlign w:val="center"/>
            <w:tcMar>
              <w:top w:w="120" w:type="dxa"/>
              <w:start w:w="120" w:type="dxa"/>
              <w:bottom w:w="120" w:type="dxa"/>
              <w:end w:w="120" w:type="dxa"/>
            </w:tcMar>
            <w:shd w:fill="F8FBFC"/>
          </w:tcPr>
          <w:p>
            <w:pPr>
              <w:spacing w:after="40"/>
            </w:pPr>
            <w:r>
              <w:rPr>
                <w:rFonts w:ascii="Aptos" w:hAnsi="Aptos"/>
                <w:sz w:val="17"/>
              </w:rPr>
              <w:t>Partially offset through optimization</w:t>
            </w:r>
          </w:p>
        </w:tc>
        <w:tc>
          <w:tcPr>
            <w:tcW w:type="dxa" w:w="2520"/>
            <w:vAlign w:val="center"/>
            <w:tcMar>
              <w:top w:w="120" w:type="dxa"/>
              <w:start w:w="120" w:type="dxa"/>
              <w:bottom w:w="120" w:type="dxa"/>
              <w:end w:w="120" w:type="dxa"/>
            </w:tcMar>
            <w:shd w:fill="F8FBFC"/>
          </w:tcPr>
          <w:p>
            <w:pPr>
              <w:spacing w:after="40"/>
            </w:pPr>
            <w:r>
              <w:rPr>
                <w:rFonts w:ascii="Aptos" w:hAnsi="Aptos"/>
                <w:sz w:val="17"/>
              </w:rPr>
              <w:t>Costs grow faster than cloud revenue</w:t>
            </w:r>
          </w:p>
        </w:tc>
        <w:tc>
          <w:tcPr>
            <w:tcW w:type="dxa" w:w="2520"/>
            <w:vAlign w:val="center"/>
            <w:tcMar>
              <w:top w:w="120" w:type="dxa"/>
              <w:start w:w="120" w:type="dxa"/>
              <w:bottom w:w="120" w:type="dxa"/>
              <w:end w:w="120" w:type="dxa"/>
            </w:tcMar>
            <w:shd w:fill="F8FBFC"/>
          </w:tcPr>
          <w:p>
            <w:pPr>
              <w:spacing w:after="40"/>
            </w:pPr>
            <w:r>
              <w:rPr>
                <w:rFonts w:ascii="Aptos" w:hAnsi="Aptos"/>
                <w:sz w:val="17"/>
              </w:rPr>
              <w:t>Pass-through clauses and optimization savings materialize</w:t>
            </w:r>
          </w:p>
        </w:tc>
      </w:tr>
      <w:tr>
        <w:tc>
          <w:tcPr>
            <w:tcW w:type="dxa" w:w="2520"/>
            <w:vAlign w:val="center"/>
            <w:tcMar>
              <w:top w:w="120" w:type="dxa"/>
              <w:start w:w="120" w:type="dxa"/>
              <w:bottom w:w="120" w:type="dxa"/>
              <w:end w:w="120" w:type="dxa"/>
            </w:tcMar>
          </w:tcPr>
          <w:p>
            <w:pPr>
              <w:spacing w:after="40"/>
            </w:pPr>
            <w:r>
              <w:rPr>
                <w:rFonts w:ascii="Aptos" w:hAnsi="Aptos"/>
                <w:sz w:val="17"/>
              </w:rPr>
              <w:t>Delivery utilization</w:t>
            </w:r>
          </w:p>
        </w:tc>
        <w:tc>
          <w:tcPr>
            <w:tcW w:type="dxa" w:w="2520"/>
            <w:vAlign w:val="center"/>
            <w:tcMar>
              <w:top w:w="120" w:type="dxa"/>
              <w:start w:w="120" w:type="dxa"/>
              <w:bottom w:w="120" w:type="dxa"/>
              <w:end w:w="120" w:type="dxa"/>
            </w:tcMar>
          </w:tcPr>
          <w:p>
            <w:pPr>
              <w:spacing w:after="40"/>
            </w:pPr>
            <w:r>
              <w:rPr>
                <w:rFonts w:ascii="Aptos" w:hAnsi="Aptos"/>
                <w:sz w:val="17"/>
              </w:rPr>
              <w:t>Stable to modestly improving</w:t>
            </w:r>
          </w:p>
        </w:tc>
        <w:tc>
          <w:tcPr>
            <w:tcW w:type="dxa" w:w="2520"/>
            <w:vAlign w:val="center"/>
            <w:tcMar>
              <w:top w:w="120" w:type="dxa"/>
              <w:start w:w="120" w:type="dxa"/>
              <w:bottom w:w="120" w:type="dxa"/>
              <w:end w:w="120" w:type="dxa"/>
            </w:tcMar>
          </w:tcPr>
          <w:p>
            <w:pPr>
              <w:spacing w:after="40"/>
            </w:pPr>
            <w:r>
              <w:rPr>
                <w:rFonts w:ascii="Aptos" w:hAnsi="Aptos"/>
                <w:sz w:val="17"/>
              </w:rPr>
              <w:t>Specialist capacity bottlenecks</w:t>
            </w:r>
          </w:p>
        </w:tc>
        <w:tc>
          <w:tcPr>
            <w:tcW w:type="dxa" w:w="2520"/>
            <w:vAlign w:val="center"/>
            <w:tcMar>
              <w:top w:w="120" w:type="dxa"/>
              <w:start w:w="120" w:type="dxa"/>
              <w:bottom w:w="120" w:type="dxa"/>
              <w:end w:w="120" w:type="dxa"/>
            </w:tcMar>
          </w:tcPr>
          <w:p>
            <w:pPr>
              <w:spacing w:after="40"/>
            </w:pPr>
            <w:r>
              <w:rPr>
                <w:rFonts w:ascii="Aptos" w:hAnsi="Aptos"/>
                <w:sz w:val="17"/>
              </w:rPr>
              <w:t>Automation improves throughput and reduces escalations</w:t>
            </w:r>
          </w:p>
        </w:tc>
      </w:tr>
      <w:tr>
        <w:tc>
          <w:tcPr>
            <w:tcW w:type="dxa" w:w="2520"/>
            <w:vAlign w:val="center"/>
            <w:tcMar>
              <w:top w:w="120" w:type="dxa"/>
              <w:start w:w="120" w:type="dxa"/>
              <w:bottom w:w="120" w:type="dxa"/>
              <w:end w:w="120" w:type="dxa"/>
            </w:tcMar>
            <w:shd w:fill="F8FBFC"/>
          </w:tcPr>
          <w:p>
            <w:pPr>
              <w:spacing w:after="40"/>
            </w:pPr>
            <w:r>
              <w:rPr>
                <w:rFonts w:ascii="Aptos" w:hAnsi="Aptos"/>
                <w:sz w:val="17"/>
              </w:rPr>
              <w:t>Subcontractor mix</w:t>
            </w:r>
          </w:p>
        </w:tc>
        <w:tc>
          <w:tcPr>
            <w:tcW w:type="dxa" w:w="2520"/>
            <w:vAlign w:val="center"/>
            <w:tcMar>
              <w:top w:w="120" w:type="dxa"/>
              <w:start w:w="120" w:type="dxa"/>
              <w:bottom w:w="120" w:type="dxa"/>
              <w:end w:w="120" w:type="dxa"/>
            </w:tcMar>
            <w:shd w:fill="F8FBFC"/>
          </w:tcPr>
          <w:p>
            <w:pPr>
              <w:spacing w:after="40"/>
            </w:pPr>
            <w:r>
              <w:rPr>
                <w:rFonts w:ascii="Aptos" w:hAnsi="Aptos"/>
                <w:sz w:val="17"/>
              </w:rPr>
              <w:t>Contained near budget</w:t>
            </w:r>
          </w:p>
        </w:tc>
        <w:tc>
          <w:tcPr>
            <w:tcW w:type="dxa" w:w="2520"/>
            <w:vAlign w:val="center"/>
            <w:tcMar>
              <w:top w:w="120" w:type="dxa"/>
              <w:start w:w="120" w:type="dxa"/>
              <w:bottom w:w="120" w:type="dxa"/>
              <w:end w:w="120" w:type="dxa"/>
            </w:tcMar>
            <w:shd w:fill="F8FBFC"/>
          </w:tcPr>
          <w:p>
            <w:pPr>
              <w:spacing w:after="40"/>
            </w:pPr>
            <w:r>
              <w:rPr>
                <w:rFonts w:ascii="Aptos" w:hAnsi="Aptos"/>
                <w:sz w:val="17"/>
              </w:rPr>
              <w:t>Talent scarcity increases outside labor</w:t>
            </w:r>
          </w:p>
        </w:tc>
        <w:tc>
          <w:tcPr>
            <w:tcW w:type="dxa" w:w="2520"/>
            <w:vAlign w:val="center"/>
            <w:tcMar>
              <w:top w:w="120" w:type="dxa"/>
              <w:start w:w="120" w:type="dxa"/>
              <w:bottom w:w="120" w:type="dxa"/>
              <w:end w:w="120" w:type="dxa"/>
            </w:tcMar>
            <w:shd w:fill="F8FBFC"/>
          </w:tcPr>
          <w:p>
            <w:pPr>
              <w:spacing w:after="40"/>
            </w:pPr>
            <w:r>
              <w:rPr>
                <w:rFonts w:ascii="Aptos" w:hAnsi="Aptos"/>
                <w:sz w:val="17"/>
              </w:rPr>
              <w:t>Internal certified capacity expands</w:t>
            </w:r>
          </w:p>
        </w:tc>
      </w:tr>
      <w:tr>
        <w:tc>
          <w:tcPr>
            <w:tcW w:type="dxa" w:w="2520"/>
            <w:vAlign w:val="center"/>
            <w:tcMar>
              <w:top w:w="120" w:type="dxa"/>
              <w:start w:w="120" w:type="dxa"/>
              <w:bottom w:w="120" w:type="dxa"/>
              <w:end w:w="120" w:type="dxa"/>
            </w:tcMar>
          </w:tcPr>
          <w:p>
            <w:pPr>
              <w:spacing w:after="40"/>
            </w:pPr>
            <w:r>
              <w:rPr>
                <w:rFonts w:ascii="Aptos" w:hAnsi="Aptos"/>
                <w:sz w:val="17"/>
              </w:rPr>
              <w:t>Milestone acceptance</w:t>
            </w:r>
          </w:p>
        </w:tc>
        <w:tc>
          <w:tcPr>
            <w:tcW w:type="dxa" w:w="2520"/>
            <w:vAlign w:val="center"/>
            <w:tcMar>
              <w:top w:w="120" w:type="dxa"/>
              <w:start w:w="120" w:type="dxa"/>
              <w:bottom w:w="120" w:type="dxa"/>
              <w:end w:w="120" w:type="dxa"/>
            </w:tcMar>
          </w:tcPr>
          <w:p>
            <w:pPr>
              <w:spacing w:after="40"/>
            </w:pPr>
            <w:r>
              <w:rPr>
                <w:rFonts w:ascii="Aptos" w:hAnsi="Aptos"/>
                <w:sz w:val="17"/>
              </w:rPr>
              <w:t>Normalizes after June volatility</w:t>
            </w:r>
          </w:p>
        </w:tc>
        <w:tc>
          <w:tcPr>
            <w:tcW w:type="dxa" w:w="2520"/>
            <w:vAlign w:val="center"/>
            <w:tcMar>
              <w:top w:w="120" w:type="dxa"/>
              <w:start w:w="120" w:type="dxa"/>
              <w:bottom w:w="120" w:type="dxa"/>
              <w:end w:w="120" w:type="dxa"/>
            </w:tcMar>
          </w:tcPr>
          <w:p>
            <w:pPr>
              <w:spacing w:after="40"/>
            </w:pPr>
            <w:r>
              <w:rPr>
                <w:rFonts w:ascii="Aptos" w:hAnsi="Aptos"/>
                <w:sz w:val="17"/>
              </w:rPr>
              <w:t>Client signoffs delayed again</w:t>
            </w:r>
          </w:p>
        </w:tc>
        <w:tc>
          <w:tcPr>
            <w:tcW w:type="dxa" w:w="2520"/>
            <w:vAlign w:val="center"/>
            <w:tcMar>
              <w:top w:w="120" w:type="dxa"/>
              <w:start w:w="120" w:type="dxa"/>
              <w:bottom w:w="120" w:type="dxa"/>
              <w:end w:w="120" w:type="dxa"/>
            </w:tcMar>
          </w:tcPr>
          <w:p>
            <w:pPr>
              <w:spacing w:after="40"/>
            </w:pPr>
            <w:r>
              <w:rPr>
                <w:rFonts w:ascii="Aptos" w:hAnsi="Aptos"/>
                <w:sz w:val="17"/>
              </w:rPr>
              <w:t>Data &amp; Analytics clears pending acceptance backlog</w:t>
            </w:r>
          </w:p>
        </w:tc>
      </w:tr>
    </w:tbl>
    <w:p/>
    <w:p>
      <w:pPr>
        <w:pStyle w:val="Heading1"/>
      </w:pPr>
      <w:r>
        <w:t>Tailwinds and Headwinds: Deeper Guidance Commentary</w:t>
      </w:r>
    </w:p>
    <w:p>
      <w:pPr>
        <w:pStyle w:val="Heading2"/>
      </w:pPr>
      <w:r>
        <w:t>1. Tailwind: Cloud migration demand</w:t>
      </w:r>
    </w:p>
    <w:p>
      <w:pPr>
        <w:spacing w:after="140" w:line="259" w:lineRule="auto"/>
      </w:pPr>
      <w:r>
        <w:t>Business context: Enterprise clients continue to migrate legacy workloads to managed cloud environments. Demand is strongest where clients need modernization, security hardening, observability, and cost optimization at the same time. This supports new bookings and expansion of managed services contracts.</w:t>
      </w:r>
    </w:p>
    <w:p>
      <w:pPr>
        <w:spacing w:after="140" w:line="259" w:lineRule="auto"/>
      </w:pPr>
      <w:r>
        <w:t>Source signals analysts should monitor: Qualified pipeline expansion, higher attach rate for managed operations, and more multi-year proposals.</w:t>
      </w:r>
    </w:p>
    <w:p>
      <w:pPr>
        <w:spacing w:after="140" w:line="259" w:lineRule="auto"/>
      </w:pPr>
      <w:r>
        <w:t>Affected metric and unit: Revenue for Cloud Services. Impact level is High based on the synthetic guidance pack.</w:t>
      </w:r>
    </w:p>
    <w:p>
      <w:pPr>
        <w:spacing w:after="140" w:line="259" w:lineRule="auto"/>
      </w:pPr>
      <w:r>
        <w:t>Management actions and mitigation: Prioritize enterprise modernization pipeline, package FinOps reviews with implementation work, and protect margin through pass-through clauses.</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cloud migration demand, retrieve this section for narrative context. Do not use it to calculate KPI values; use finance_actuals, finance_budget, and KPI registry for numbers.</w:t>
            </w:r>
          </w:p>
        </w:tc>
      </w:tr>
    </w:tbl>
    <w:p/>
    <w:p>
      <w:pPr>
        <w:pStyle w:val="Heading2"/>
      </w:pPr>
      <w:r>
        <w:t>2. Tailwind: Managed Operations renewal base</w:t>
      </w:r>
    </w:p>
    <w:p>
      <w:pPr>
        <w:spacing w:after="140" w:line="259" w:lineRule="auto"/>
      </w:pPr>
      <w:r>
        <w:t>Business context: The managed operations base provides recurring revenue visibility. Renewals have higher gross margin potential when service automation is already deployed and the delivery team can reuse runbooks and monitoring templates.</w:t>
      </w:r>
    </w:p>
    <w:p>
      <w:pPr>
        <w:spacing w:after="140" w:line="259" w:lineRule="auto"/>
      </w:pPr>
      <w:r>
        <w:t>Source signals analysts should monitor: Renewal coverage above plan, low churn in strategic accounts, and expanding scope within existing contracts.</w:t>
      </w:r>
    </w:p>
    <w:p>
      <w:pPr>
        <w:spacing w:after="140" w:line="259" w:lineRule="auto"/>
      </w:pPr>
      <w:r>
        <w:t>Affected metric and unit: Revenue visibility for Managed Operations. Impact level is High based on the synthetic guidance pack.</w:t>
      </w:r>
    </w:p>
    <w:p>
      <w:pPr>
        <w:spacing w:after="140" w:line="259" w:lineRule="auto"/>
      </w:pPr>
      <w:r>
        <w:t>Management actions and mitigation: Strengthen renewal desk process, identify accounts for scope expansion, and refresh renewal risk scoring monthly.</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managed operations renewal base, retrieve this section for narrative context. Do not use it to calculate KPI values; use finance_actuals, finance_budget, and KPI registry for numbers.</w:t>
            </w:r>
          </w:p>
        </w:tc>
      </w:tr>
    </w:tbl>
    <w:p/>
    <w:p>
      <w:pPr>
        <w:pStyle w:val="Heading2"/>
      </w:pPr>
      <w:r>
        <w:t>3. Tailwind: AI-enabled delivery automation</w:t>
      </w:r>
    </w:p>
    <w:p>
      <w:pPr>
        <w:spacing w:after="140" w:line="259" w:lineRule="auto"/>
      </w:pPr>
      <w:r>
        <w:t>Business context: Automation reduces manual triage, accelerates knowledge retrieval, and standardizes repeatable delivery tasks. Benefits appear first as avoided subcontractor usage, then as improved delivery labor utilization.</w:t>
      </w:r>
    </w:p>
    <w:p>
      <w:pPr>
        <w:spacing w:after="140" w:line="259" w:lineRule="auto"/>
      </w:pPr>
      <w:r>
        <w:t>Source signals analysts should monitor: Lower ticket handling time, higher billable utilization, and fewer escalations requiring specialized subcontractors.</w:t>
      </w:r>
    </w:p>
    <w:p>
      <w:pPr>
        <w:spacing w:after="140" w:line="259" w:lineRule="auto"/>
      </w:pPr>
      <w:r>
        <w:t>Affected metric and unit: Gross Margin for Managed Operations; Cloud Services. Impact level is Medium based on the synthetic guidance pack.</w:t>
      </w:r>
    </w:p>
    <w:p>
      <w:pPr>
        <w:spacing w:after="140" w:line="259" w:lineRule="auto"/>
      </w:pPr>
      <w:r>
        <w:t>Management actions and mitigation: Scale automation toolkit, measure hours saved by workflow, and include realized savings in margin bridges.</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ai-enabled delivery automation, retrieve this section for narrative context. Do not use it to calculate KPI values; use finance_actuals, finance_budget, and KPI registry for numbers.</w:t>
            </w:r>
          </w:p>
        </w:tc>
      </w:tr>
    </w:tbl>
    <w:p/>
    <w:p>
      <w:pPr>
        <w:pStyle w:val="Heading2"/>
      </w:pPr>
      <w:r>
        <w:t>4. Tailwind: Data modernization cross-sell</w:t>
      </w:r>
    </w:p>
    <w:p>
      <w:pPr>
        <w:spacing w:after="140" w:line="259" w:lineRule="auto"/>
      </w:pPr>
      <w:r>
        <w:t>Business context: Cloud modernization clients often need analytics, governed data pipelines, and reporting rationalization after platform migration. Cross-sell opportunities are strongest in accounts with fragmented data marts and manual KPI reconciliation.</w:t>
      </w:r>
    </w:p>
    <w:p>
      <w:pPr>
        <w:spacing w:after="140" w:line="259" w:lineRule="auto"/>
      </w:pPr>
      <w:r>
        <w:t>Source signals analysts should monitor: Joint pursuits between Cloud Services and Data &amp; Analytics, increase in analytics discovery workshops, and more data governance add-ons.</w:t>
      </w:r>
    </w:p>
    <w:p>
      <w:pPr>
        <w:spacing w:after="140" w:line="259" w:lineRule="auto"/>
      </w:pPr>
      <w:r>
        <w:t>Affected metric and unit: Revenue Growth for Data &amp; Analytics. Impact level is Medium based on the synthetic guidance pack.</w:t>
      </w:r>
    </w:p>
    <w:p>
      <w:pPr>
        <w:spacing w:after="140" w:line="259" w:lineRule="auto"/>
      </w:pPr>
      <w:r>
        <w:t>Management actions and mitigation: Run joint go-to-market motions, attach data assessment to cloud migration proposals, and standardize KPI governance offers.</w:t>
      </w:r>
    </w:p>
    <w:tbl>
      <w:tblPr>
        <w:tblStyle w:val="TableGrid"/>
        <w:tblW w:type="auto" w:w="0"/>
        <w:tblLook w:firstColumn="1" w:firstRow="1" w:lastColumn="0" w:lastRow="0" w:noHBand="0" w:noVBand="1" w:val="04A0"/>
      </w:tblPr>
      <w:tblGrid>
        <w:gridCol w:w="10080"/>
      </w:tblGrid>
      <w:tr>
        <w:tc>
          <w:tcPr>
            <w:tcW w:type="dxa" w:w="10080"/>
            <w:shd w:fill="ECF7F6"/>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data modernization cross-sell, retrieve this section for narrative context. Do not use it to calculate KPI values; use finance_actuals, finance_budget, and KPI registry for numbers.</w:t>
            </w:r>
          </w:p>
        </w:tc>
      </w:tr>
    </w:tbl>
    <w:p/>
    <w:p>
      <w:pPr>
        <w:pStyle w:val="Heading2"/>
      </w:pPr>
      <w:r>
        <w:t>5. Headwind: Cloud hosting cost inflation</w:t>
      </w:r>
    </w:p>
    <w:p>
      <w:pPr>
        <w:spacing w:after="140" w:line="259" w:lineRule="auto"/>
      </w:pPr>
      <w:r>
        <w:t>Business context: Hosting costs remain elevated as workload volumes grow and vendor pricing pressure persists. Margin is most sensitive where contracts lack pass-through clauses or workload optimization activities lag client growth.</w:t>
      </w:r>
    </w:p>
    <w:p>
      <w:pPr>
        <w:spacing w:after="140" w:line="259" w:lineRule="auto"/>
      </w:pPr>
      <w:r>
        <w:t>Source signals analysts should monitor: Hosting cost growth above revenue growth, lower workload utilization efficiency, and contract terms without indexation.</w:t>
      </w:r>
    </w:p>
    <w:p>
      <w:pPr>
        <w:spacing w:after="140" w:line="259" w:lineRule="auto"/>
      </w:pPr>
      <w:r>
        <w:t>Affected metric and unit: Gross Margin for Cloud Services. Impact level is High based on the synthetic guidance pack.</w:t>
      </w:r>
    </w:p>
    <w:p>
      <w:pPr>
        <w:spacing w:after="140" w:line="259" w:lineRule="auto"/>
      </w:pPr>
      <w:r>
        <w:t>Management actions and mitigation: Renegotiate pass-through clauses, run workload optimization, and create contract-level margin watchlists.</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cloud hosting cost inflation, retrieve this section for narrative context. Do not use it to calculate KPI values; use finance_actuals, finance_budget, and KPI registry for numbers.</w:t>
            </w:r>
          </w:p>
        </w:tc>
      </w:tr>
    </w:tbl>
    <w:p/>
    <w:p>
      <w:pPr>
        <w:pStyle w:val="Heading2"/>
      </w:pPr>
      <w:r>
        <w:t>6. Headwind: Enterprise procurement delays</w:t>
      </w:r>
    </w:p>
    <w:p>
      <w:pPr>
        <w:spacing w:after="140" w:line="259" w:lineRule="auto"/>
      </w:pPr>
      <w:r>
        <w:t>Business context: Large enterprise buying committees are extending approval cycles. This does not necessarily reduce demand, but it can delay bookings and defer revenue recognition into later quarters.</w:t>
      </w:r>
    </w:p>
    <w:p>
      <w:pPr>
        <w:spacing w:after="140" w:line="259" w:lineRule="auto"/>
      </w:pPr>
      <w:r>
        <w:t>Source signals analysts should monitor: More opportunities stuck in legal/procurement, lower same-quarter conversion, and delayed purchase order issuance.</w:t>
      </w:r>
    </w:p>
    <w:p>
      <w:pPr>
        <w:spacing w:after="140" w:line="259" w:lineRule="auto"/>
      </w:pPr>
      <w:r>
        <w:t>Affected metric and unit: Revenue for North America Consulting. Impact level is Medium based on the synthetic guidance pack.</w:t>
      </w:r>
    </w:p>
    <w:p>
      <w:pPr>
        <w:spacing w:after="140" w:line="259" w:lineRule="auto"/>
      </w:pPr>
      <w:r>
        <w:t>Management actions and mitigation: Improve forecast scenario discipline, track late-stage deal slippage weekly, and separate demand health from timing risk.</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enterprise procurement delays, retrieve this section for narrative context. Do not use it to calculate KPI values; use finance_actuals, finance_budget, and KPI registry for numbers.</w:t>
            </w:r>
          </w:p>
        </w:tc>
      </w:tr>
    </w:tbl>
    <w:p/>
    <w:p>
      <w:pPr>
        <w:pStyle w:val="Heading2"/>
      </w:pPr>
      <w:r>
        <w:t>7. Headwind: Talent scarcity in cloud architecture</w:t>
      </w:r>
    </w:p>
    <w:p>
      <w:pPr>
        <w:spacing w:after="140" w:line="259" w:lineRule="auto"/>
      </w:pPr>
      <w:r>
        <w:t>Business context: Specialized cloud architects remain difficult to hire. When demand spikes, the business unit may rely on subcontractors, which raises COGS and can dilute gross margin.</w:t>
      </w:r>
    </w:p>
    <w:p>
      <w:pPr>
        <w:spacing w:after="140" w:line="259" w:lineRule="auto"/>
      </w:pPr>
      <w:r>
        <w:t>Source signals analysts should monitor: Open requisitions aging beyond plan, subcontractor spend above budget, and utilization rates above sustainable thresholds.</w:t>
      </w:r>
    </w:p>
    <w:p>
      <w:pPr>
        <w:spacing w:after="140" w:line="259" w:lineRule="auto"/>
      </w:pPr>
      <w:r>
        <w:t>Affected metric and unit: COGS for Cloud Services. Impact level is Medium based on the synthetic guidance pack.</w:t>
      </w:r>
    </w:p>
    <w:p>
      <w:pPr>
        <w:spacing w:after="140" w:line="259" w:lineRule="auto"/>
      </w:pPr>
      <w:r>
        <w:t>Management actions and mitigation: Target certifications, accelerate internal cross-training, and maintain preferred subcontractor rate cards.</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talent scarcity in cloud architecture, retrieve this section for narrative context. Do not use it to calculate KPI values; use finance_actuals, finance_budget, and KPI registry for numbers.</w:t>
            </w:r>
          </w:p>
        </w:tc>
      </w:tr>
    </w:tbl>
    <w:p/>
    <w:p>
      <w:pPr>
        <w:pStyle w:val="Heading2"/>
      </w:pPr>
      <w:r>
        <w:t>8. Headwind: Project milestone timing</w:t>
      </w:r>
    </w:p>
    <w:p>
      <w:pPr>
        <w:spacing w:after="140" w:line="259" w:lineRule="auto"/>
      </w:pPr>
      <w:r>
        <w:t>Business context: Milestone-based data projects create monthly revenue volatility. A delayed client signoff can shift revenue from one month or quarter to the next even when delivery work remains on track.</w:t>
      </w:r>
    </w:p>
    <w:p>
      <w:pPr>
        <w:spacing w:after="140" w:line="259" w:lineRule="auto"/>
      </w:pPr>
      <w:r>
        <w:t>Source signals analysts should monitor: Late client acceptance, delayed data access, unresolved scope dependencies, and uneven milestone billing.</w:t>
      </w:r>
    </w:p>
    <w:p>
      <w:pPr>
        <w:spacing w:after="140" w:line="259" w:lineRule="auto"/>
      </w:pPr>
      <w:r>
        <w:t>Affected metric and unit: Revenue volatility for Data &amp; Analytics. Impact level is Medium based on the synthetic guidance pack.</w:t>
      </w:r>
    </w:p>
    <w:p>
      <w:pPr>
        <w:spacing w:after="140" w:line="259" w:lineRule="auto"/>
      </w:pPr>
      <w:r>
        <w:t>Management actions and mitigation: Improve milestone governance, track acceptance risk, and distinguish timing variance from demand deterioration.</w:t>
      </w:r>
    </w:p>
    <w:tbl>
      <w:tblPr>
        <w:tblStyle w:val="TableGrid"/>
        <w:tblW w:type="auto" w:w="0"/>
        <w:tblLook w:firstColumn="1" w:firstRow="1" w:lastColumn="0" w:lastRow="0" w:noHBand="0" w:noVBand="1" w:val="04A0"/>
      </w:tblPr>
      <w:tblGrid>
        <w:gridCol w:w="10080"/>
      </w:tblGrid>
      <w:tr>
        <w:tc>
          <w:tcPr>
            <w:tcW w:type="dxa" w:w="10080"/>
            <w:shd w:fill="FFF1CC"/>
            <w:tcMar>
              <w:top w:w="160" w:type="dxa"/>
              <w:start w:w="180" w:type="dxa"/>
              <w:bottom w:w="160" w:type="dxa"/>
              <w:end w:w="180" w:type="dxa"/>
            </w:tcMar>
          </w:tcPr>
          <w:p>
            <w:pPr>
              <w:spacing w:after="60"/>
            </w:pPr>
            <w:r>
              <w:rPr>
                <w:b/>
                <w:i w:val="0"/>
                <w:color w:val="1F4E79"/>
              </w:rPr>
              <w:t xml:space="preserve">Copilot retrieval note: </w:t>
            </w:r>
            <w:r>
              <w:rPr>
                <w:b w:val="0"/>
                <w:i w:val="0"/>
              </w:rPr>
              <w:t>When a user asks about project milestone timing, retrieve this section for narrative context. Do not use it to calculate KPI values; use finance_actuals, finance_budget, and KPI registry for numbers.</w:t>
            </w:r>
          </w:p>
        </w:tc>
      </w:tr>
    </w:tbl>
    <w:p/>
    <w:p>
      <w:pPr>
        <w:pStyle w:val="Heading1"/>
      </w:pPr>
      <w:r>
        <w:t>Analyst Conversation During Q3 Guidance Review</w:t>
      </w:r>
    </w:p>
    <w:p>
      <w:pPr>
        <w:spacing w:after="140" w:line="259" w:lineRule="auto"/>
      </w:pPr>
      <w:r>
        <w:t>The synthetic transcript below is designed for chunking. Each row can be retrieved independently for questions about guidance assumptions, management confidence, headwinds, or leading indicators.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20" w:type="dxa"/>
              <w:start w:w="120" w:type="dxa"/>
              <w:bottom w:w="120" w:type="dxa"/>
              <w:end w:w="120" w:type="dxa"/>
            </w:tcMar>
            <w:shd w:fill="1F4E79"/>
          </w:tcPr>
          <w:p>
            <w:pPr>
              <w:spacing w:after="40"/>
            </w:pPr>
            <w:r>
              <w:rPr>
                <w:rFonts w:ascii="Aptos" w:hAnsi="Aptos"/>
                <w:b/>
                <w:color w:val="FFFFFF"/>
                <w:sz w:val="17"/>
              </w:rPr>
              <w:t>Analyst</w:t>
            </w:r>
          </w:p>
        </w:tc>
        <w:tc>
          <w:tcPr>
            <w:tcW w:type="dxa" w:w="3360"/>
            <w:vAlign w:val="center"/>
            <w:tcMar>
              <w:top w:w="120" w:type="dxa"/>
              <w:start w:w="120" w:type="dxa"/>
              <w:bottom w:w="120" w:type="dxa"/>
              <w:end w:w="120" w:type="dxa"/>
            </w:tcMar>
            <w:shd w:fill="1F4E79"/>
          </w:tcPr>
          <w:p>
            <w:pPr>
              <w:spacing w:after="40"/>
            </w:pPr>
            <w:r>
              <w:rPr>
                <w:rFonts w:ascii="Aptos" w:hAnsi="Aptos"/>
                <w:b/>
                <w:color w:val="FFFFFF"/>
                <w:sz w:val="17"/>
              </w:rPr>
              <w:t>Question</w:t>
            </w:r>
          </w:p>
        </w:tc>
        <w:tc>
          <w:tcPr>
            <w:tcW w:type="dxa" w:w="3360"/>
            <w:vAlign w:val="center"/>
            <w:tcMar>
              <w:top w:w="120" w:type="dxa"/>
              <w:start w:w="120" w:type="dxa"/>
              <w:bottom w:w="120" w:type="dxa"/>
              <w:end w:w="120" w:type="dxa"/>
            </w:tcMar>
            <w:shd w:fill="1F4E79"/>
          </w:tcPr>
          <w:p>
            <w:pPr>
              <w:spacing w:after="40"/>
            </w:pPr>
            <w:r>
              <w:rPr>
                <w:rFonts w:ascii="Aptos" w:hAnsi="Aptos"/>
                <w:b/>
                <w:color w:val="FFFFFF"/>
                <w:sz w:val="17"/>
              </w:rPr>
              <w:t>Management response summary</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How should we separate true demand growth from revenue that simply shifted because of milestone timing?</w:t>
            </w:r>
          </w:p>
        </w:tc>
        <w:tc>
          <w:tcPr>
            <w:tcW w:type="dxa" w:w="3360"/>
            <w:vAlign w:val="center"/>
            <w:tcMar>
              <w:top w:w="120" w:type="dxa"/>
              <w:start w:w="120" w:type="dxa"/>
              <w:bottom w:w="120" w:type="dxa"/>
              <w:end w:w="120" w:type="dxa"/>
            </w:tcMar>
          </w:tcPr>
          <w:p>
            <w:pPr>
              <w:spacing w:after="40"/>
            </w:pPr>
            <w:r>
              <w:rPr>
                <w:rFonts w:ascii="Aptos" w:hAnsi="Aptos"/>
                <w:sz w:val="17"/>
              </w:rPr>
              <w:t>Management should compare bookings, backlog, signed statements of work, and client acceptance milestones. If pipeline and backlog are healthy but revenue recognition shifts, the answer should be framed as timing risk rather than demand deterioration.</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Owen Hughes</w:t>
            </w:r>
          </w:p>
        </w:tc>
        <w:tc>
          <w:tcPr>
            <w:tcW w:type="dxa" w:w="3360"/>
            <w:vAlign w:val="center"/>
            <w:tcMar>
              <w:top w:w="120" w:type="dxa"/>
              <w:start w:w="120" w:type="dxa"/>
              <w:bottom w:w="120" w:type="dxa"/>
              <w:end w:w="120" w:type="dxa"/>
            </w:tcMar>
            <w:shd w:fill="F8FBFC"/>
          </w:tcPr>
          <w:p>
            <w:pPr>
              <w:spacing w:after="40"/>
            </w:pPr>
            <w:r>
              <w:rPr>
                <w:rFonts w:ascii="Aptos" w:hAnsi="Aptos"/>
                <w:sz w:val="17"/>
              </w:rPr>
              <w:t>What is the biggest driver of gross margin movement this quarter: labor utilization, subcontractor mix, or hosting costs?</w:t>
            </w:r>
          </w:p>
        </w:tc>
        <w:tc>
          <w:tcPr>
            <w:tcW w:type="dxa" w:w="3360"/>
            <w:vAlign w:val="center"/>
            <w:tcMar>
              <w:top w:w="120" w:type="dxa"/>
              <w:start w:w="120" w:type="dxa"/>
              <w:bottom w:w="120" w:type="dxa"/>
              <w:end w:w="120" w:type="dxa"/>
            </w:tcMar>
            <w:shd w:fill="F8FBFC"/>
          </w:tcPr>
          <w:p>
            <w:pPr>
              <w:spacing w:after="40"/>
            </w:pPr>
            <w:r>
              <w:rPr>
                <w:rFonts w:ascii="Aptos" w:hAnsi="Aptos"/>
                <w:sz w:val="17"/>
              </w:rPr>
              <w:t>The quarter shows a mixed pattern. Utilization helped margins in May, subcontractor usage was controlled, but hosting cost inflation pressured June. The answer should bridge revenue, COGS categories, and any report narrative about hosting costs.</w:t>
            </w:r>
          </w:p>
        </w:tc>
      </w:tr>
      <w:tr>
        <w:tc>
          <w:tcPr>
            <w:tcW w:type="dxa" w:w="3360"/>
            <w:vAlign w:val="center"/>
            <w:tcMar>
              <w:top w:w="120" w:type="dxa"/>
              <w:start w:w="120" w:type="dxa"/>
              <w:bottom w:w="120" w:type="dxa"/>
              <w:end w:w="120" w:type="dxa"/>
            </w:tcMar>
          </w:tcPr>
          <w:p>
            <w:pPr>
              <w:spacing w:after="40"/>
            </w:pPr>
            <w:r>
              <w:rPr>
                <w:rFonts w:ascii="Aptos" w:hAnsi="Aptos"/>
                <w:sz w:val="17"/>
              </w:rPr>
              <w:t>Leena Shah</w:t>
            </w:r>
          </w:p>
        </w:tc>
        <w:tc>
          <w:tcPr>
            <w:tcW w:type="dxa" w:w="3360"/>
            <w:vAlign w:val="center"/>
            <w:tcMar>
              <w:top w:w="120" w:type="dxa"/>
              <w:start w:w="120" w:type="dxa"/>
              <w:bottom w:w="120" w:type="dxa"/>
              <w:end w:w="120" w:type="dxa"/>
            </w:tcMar>
          </w:tcPr>
          <w:p>
            <w:pPr>
              <w:spacing w:after="40"/>
            </w:pPr>
            <w:r>
              <w:rPr>
                <w:rFonts w:ascii="Aptos" w:hAnsi="Aptos"/>
                <w:sz w:val="17"/>
              </w:rPr>
              <w:t>What assumptions should the guidance model treat as most sensitive for Q3 and FY2027?</w:t>
            </w:r>
          </w:p>
        </w:tc>
        <w:tc>
          <w:tcPr>
            <w:tcW w:type="dxa" w:w="3360"/>
            <w:vAlign w:val="center"/>
            <w:tcMar>
              <w:top w:w="120" w:type="dxa"/>
              <w:start w:w="120" w:type="dxa"/>
              <w:bottom w:w="120" w:type="dxa"/>
              <w:end w:w="120" w:type="dxa"/>
            </w:tcMar>
          </w:tcPr>
          <w:p>
            <w:pPr>
              <w:spacing w:after="40"/>
            </w:pPr>
            <w:r>
              <w:rPr>
                <w:rFonts w:ascii="Aptos" w:hAnsi="Aptos"/>
                <w:sz w:val="17"/>
              </w:rPr>
              <w:t>The most sensitive assumptions are revenue conversion from late-stage enterprise deals, cloud hosting cost inflation, delivery utilization, subcontractor reliance, and the pace of automation savings. The copilot should cite guidance documents for assumptions a...</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Are procurement delays creating a demand problem or just a timing problem in the pipeline?</w:t>
            </w:r>
          </w:p>
        </w:tc>
        <w:tc>
          <w:tcPr>
            <w:tcW w:type="dxa" w:w="3360"/>
            <w:vAlign w:val="center"/>
            <w:tcMar>
              <w:top w:w="120" w:type="dxa"/>
              <w:start w:w="120" w:type="dxa"/>
              <w:bottom w:w="120" w:type="dxa"/>
              <w:end w:w="120" w:type="dxa"/>
            </w:tcMar>
            <w:shd w:fill="F8FBFC"/>
          </w:tcPr>
          <w:p>
            <w:pPr>
              <w:spacing w:after="40"/>
            </w:pPr>
            <w:r>
              <w:rPr>
                <w:rFonts w:ascii="Aptos" w:hAnsi="Aptos"/>
                <w:sz w:val="17"/>
              </w:rPr>
              <w:t>The current evidence points more to timing than demand destruction. However, prolonged procurement delays can become a revenue risk if opportunities slip across multiple quarters. The copilot should avoid stating that demand is weak unless supporting pipeline ...</w:t>
            </w:r>
          </w:p>
        </w:tc>
      </w:tr>
      <w:tr>
        <w:tc>
          <w:tcPr>
            <w:tcW w:type="dxa" w:w="3360"/>
            <w:vAlign w:val="center"/>
            <w:tcMar>
              <w:top w:w="120" w:type="dxa"/>
              <w:start w:w="120" w:type="dxa"/>
              <w:bottom w:w="120" w:type="dxa"/>
              <w:end w:w="120" w:type="dxa"/>
            </w:tcMar>
          </w:tcPr>
          <w:p>
            <w:pPr>
              <w:spacing w:after="40"/>
            </w:pPr>
            <w:r>
              <w:rPr>
                <w:rFonts w:ascii="Aptos" w:hAnsi="Aptos"/>
                <w:sz w:val="17"/>
              </w:rPr>
              <w:t>Bethany Luo</w:t>
            </w:r>
          </w:p>
        </w:tc>
        <w:tc>
          <w:tcPr>
            <w:tcW w:type="dxa" w:w="3360"/>
            <w:vAlign w:val="center"/>
            <w:tcMar>
              <w:top w:w="120" w:type="dxa"/>
              <w:start w:w="120" w:type="dxa"/>
              <w:bottom w:w="120" w:type="dxa"/>
              <w:end w:w="120" w:type="dxa"/>
            </w:tcMar>
          </w:tcPr>
          <w:p>
            <w:pPr>
              <w:spacing w:after="40"/>
            </w:pPr>
            <w:r>
              <w:rPr>
                <w:rFonts w:ascii="Aptos" w:hAnsi="Aptos"/>
                <w:sz w:val="17"/>
              </w:rPr>
              <w:t>Which citations should the copilot use when explaining a variance to avoid unsupported narrative?</w:t>
            </w:r>
          </w:p>
        </w:tc>
        <w:tc>
          <w:tcPr>
            <w:tcW w:type="dxa" w:w="3360"/>
            <w:vAlign w:val="center"/>
            <w:tcMar>
              <w:top w:w="120" w:type="dxa"/>
              <w:start w:w="120" w:type="dxa"/>
              <w:bottom w:w="120" w:type="dxa"/>
              <w:end w:w="120" w:type="dxa"/>
            </w:tcMar>
          </w:tcPr>
          <w:p>
            <w:pPr>
              <w:spacing w:after="40"/>
            </w:pPr>
            <w:r>
              <w:rPr>
                <w:rFonts w:ascii="Aptos" w:hAnsi="Aptos"/>
                <w:sz w:val="17"/>
              </w:rPr>
              <w:t>For a variance explanation, cite the structured actuals and budget tables for the number, the KPI registry for the definition or formula, and the quarterly report narrative for management commentary. Narrative alone should not be used to calculate the variance...</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Theo Bennett</w:t>
            </w:r>
          </w:p>
        </w:tc>
        <w:tc>
          <w:tcPr>
            <w:tcW w:type="dxa" w:w="3360"/>
            <w:vAlign w:val="center"/>
            <w:tcMar>
              <w:top w:w="120" w:type="dxa"/>
              <w:start w:w="120" w:type="dxa"/>
              <w:bottom w:w="120" w:type="dxa"/>
              <w:end w:w="120" w:type="dxa"/>
            </w:tcMar>
            <w:shd w:fill="F8FBFC"/>
          </w:tcPr>
          <w:p>
            <w:pPr>
              <w:spacing w:after="40"/>
            </w:pPr>
            <w:r>
              <w:rPr>
                <w:rFonts w:ascii="Aptos" w:hAnsi="Aptos"/>
                <w:sz w:val="17"/>
              </w:rPr>
              <w:t>How much of the Cloud Services margin pressure is structural versus correctable through workload optimization?</w:t>
            </w:r>
          </w:p>
        </w:tc>
        <w:tc>
          <w:tcPr>
            <w:tcW w:type="dxa" w:w="3360"/>
            <w:vAlign w:val="center"/>
            <w:tcMar>
              <w:top w:w="120" w:type="dxa"/>
              <w:start w:w="120" w:type="dxa"/>
              <w:bottom w:w="120" w:type="dxa"/>
              <w:end w:w="120" w:type="dxa"/>
            </w:tcMar>
            <w:shd w:fill="F8FBFC"/>
          </w:tcPr>
          <w:p>
            <w:pPr>
              <w:spacing w:after="40"/>
            </w:pPr>
            <w:r>
              <w:rPr>
                <w:rFonts w:ascii="Aptos" w:hAnsi="Aptos"/>
                <w:sz w:val="17"/>
              </w:rPr>
              <w:t>Some pressure is structural because hosting volumes are rising. A meaningful portion is correctable through workload optimization, contract pass-through language, and FinOps governance. The copilot should avoid declaring full recovery unless savings are visibl...</w:t>
            </w:r>
          </w:p>
        </w:tc>
      </w:tr>
      <w:tr>
        <w:tc>
          <w:tcPr>
            <w:tcW w:type="dxa" w:w="3360"/>
            <w:vAlign w:val="center"/>
            <w:tcMar>
              <w:top w:w="120" w:type="dxa"/>
              <w:start w:w="120" w:type="dxa"/>
              <w:bottom w:w="120" w:type="dxa"/>
              <w:end w:w="120" w:type="dxa"/>
            </w:tcMar>
          </w:tcPr>
          <w:p>
            <w:pPr>
              <w:spacing w:after="40"/>
            </w:pPr>
            <w:r>
              <w:rPr>
                <w:rFonts w:ascii="Aptos" w:hAnsi="Aptos"/>
                <w:sz w:val="17"/>
              </w:rPr>
              <w:t>Anika Desai</w:t>
            </w:r>
          </w:p>
        </w:tc>
        <w:tc>
          <w:tcPr>
            <w:tcW w:type="dxa" w:w="3360"/>
            <w:vAlign w:val="center"/>
            <w:tcMar>
              <w:top w:w="120" w:type="dxa"/>
              <w:start w:w="120" w:type="dxa"/>
              <w:bottom w:w="120" w:type="dxa"/>
              <w:end w:w="120" w:type="dxa"/>
            </w:tcMar>
          </w:tcPr>
          <w:p>
            <w:pPr>
              <w:spacing w:after="40"/>
            </w:pPr>
            <w:r>
              <w:rPr>
                <w:rFonts w:ascii="Aptos" w:hAnsi="Aptos"/>
                <w:sz w:val="17"/>
              </w:rPr>
              <w:t>Could delayed billing milestones create a cash collection issue even if revenue remains on track?</w:t>
            </w:r>
          </w:p>
        </w:tc>
        <w:tc>
          <w:tcPr>
            <w:tcW w:type="dxa" w:w="3360"/>
            <w:vAlign w:val="center"/>
            <w:tcMar>
              <w:top w:w="120" w:type="dxa"/>
              <w:start w:w="120" w:type="dxa"/>
              <w:bottom w:w="120" w:type="dxa"/>
              <w:end w:w="120" w:type="dxa"/>
            </w:tcMar>
          </w:tcPr>
          <w:p>
            <w:pPr>
              <w:spacing w:after="40"/>
            </w:pPr>
            <w:r>
              <w:rPr>
                <w:rFonts w:ascii="Aptos" w:hAnsi="Aptos"/>
                <w:sz w:val="17"/>
              </w:rPr>
              <w:t>Yes. A milestone delay can leave revenue recognized later than planned and also delay billing or collection. Analysts should review billing status, milestone acceptance, and days sales outstanding before concluding that cash conversion is normal.</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Reed Kim</w:t>
            </w:r>
          </w:p>
        </w:tc>
        <w:tc>
          <w:tcPr>
            <w:tcW w:type="dxa" w:w="3360"/>
            <w:vAlign w:val="center"/>
            <w:tcMar>
              <w:top w:w="120" w:type="dxa"/>
              <w:start w:w="120" w:type="dxa"/>
              <w:bottom w:w="120" w:type="dxa"/>
              <w:end w:w="120" w:type="dxa"/>
            </w:tcMar>
            <w:shd w:fill="F8FBFC"/>
          </w:tcPr>
          <w:p>
            <w:pPr>
              <w:spacing w:after="40"/>
            </w:pPr>
            <w:r>
              <w:rPr>
                <w:rFonts w:ascii="Aptos" w:hAnsi="Aptos"/>
                <w:sz w:val="17"/>
              </w:rPr>
              <w:t>What should analysts watch in Data &amp; Analytics to distinguish project execution issues from client acceptance timing?</w:t>
            </w:r>
          </w:p>
        </w:tc>
        <w:tc>
          <w:tcPr>
            <w:tcW w:type="dxa" w:w="3360"/>
            <w:vAlign w:val="center"/>
            <w:tcMar>
              <w:top w:w="120" w:type="dxa"/>
              <w:start w:w="120" w:type="dxa"/>
              <w:bottom w:w="120" w:type="dxa"/>
              <w:end w:w="120" w:type="dxa"/>
            </w:tcMar>
            <w:shd w:fill="F8FBFC"/>
          </w:tcPr>
          <w:p>
            <w:pPr>
              <w:spacing w:after="40"/>
            </w:pPr>
            <w:r>
              <w:rPr>
                <w:rFonts w:ascii="Aptos" w:hAnsi="Aptos"/>
                <w:sz w:val="17"/>
              </w:rPr>
              <w:t>Watch client acceptance dates, scope change logs, backlog, and utilization. If delivery hours are on plan but acceptance is delayed, the issue is timing. If utilization and backlog fall together, the concern is broader execution or demand risk.</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Do we have enough recurring revenue visibility to support the midpoint of guidance?</w:t>
            </w:r>
          </w:p>
        </w:tc>
        <w:tc>
          <w:tcPr>
            <w:tcW w:type="dxa" w:w="3360"/>
            <w:vAlign w:val="center"/>
            <w:tcMar>
              <w:top w:w="120" w:type="dxa"/>
              <w:start w:w="120" w:type="dxa"/>
              <w:bottom w:w="120" w:type="dxa"/>
              <w:end w:w="120" w:type="dxa"/>
            </w:tcMar>
          </w:tcPr>
          <w:p>
            <w:pPr>
              <w:spacing w:after="40"/>
            </w:pPr>
            <w:r>
              <w:rPr>
                <w:rFonts w:ascii="Aptos" w:hAnsi="Aptos"/>
                <w:sz w:val="17"/>
              </w:rPr>
              <w:t>The renewal base in Managed Operations and recurring Cloud Services contracts provide visibility. The risk is whether new conversion and expansion can offset procurement slippage and hosting cost pressure.</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Owen Hughes</w:t>
            </w:r>
          </w:p>
        </w:tc>
        <w:tc>
          <w:tcPr>
            <w:tcW w:type="dxa" w:w="3360"/>
            <w:vAlign w:val="center"/>
            <w:tcMar>
              <w:top w:w="120" w:type="dxa"/>
              <w:start w:w="120" w:type="dxa"/>
              <w:bottom w:w="120" w:type="dxa"/>
              <w:end w:w="120" w:type="dxa"/>
            </w:tcMar>
            <w:shd w:fill="F8FBFC"/>
          </w:tcPr>
          <w:p>
            <w:pPr>
              <w:spacing w:after="40"/>
            </w:pPr>
            <w:r>
              <w:rPr>
                <w:rFonts w:ascii="Aptos" w:hAnsi="Aptos"/>
                <w:sz w:val="17"/>
              </w:rPr>
              <w:t>How should the copilot frame favorable expense variance if spending is simply delayed?</w:t>
            </w:r>
          </w:p>
        </w:tc>
        <w:tc>
          <w:tcPr>
            <w:tcW w:type="dxa" w:w="3360"/>
            <w:vAlign w:val="center"/>
            <w:tcMar>
              <w:top w:w="120" w:type="dxa"/>
              <w:start w:w="120" w:type="dxa"/>
              <w:bottom w:w="120" w:type="dxa"/>
              <w:end w:w="120" w:type="dxa"/>
            </w:tcMar>
            <w:shd w:fill="F8FBFC"/>
          </w:tcPr>
          <w:p>
            <w:pPr>
              <w:spacing w:after="40"/>
            </w:pPr>
            <w:r>
              <w:rPr>
                <w:rFonts w:ascii="Aptos" w:hAnsi="Aptos"/>
                <w:sz w:val="17"/>
              </w:rPr>
              <w:t>Label it as a timing item unless there is clear evidence of permanent savings. For example, delayed hiring or campaign spend may improve EBITDA in the current quarter but reverse in a future quarter.</w:t>
            </w:r>
          </w:p>
        </w:tc>
      </w:tr>
      <w:tr>
        <w:tc>
          <w:tcPr>
            <w:tcW w:type="dxa" w:w="3360"/>
            <w:vAlign w:val="center"/>
            <w:tcMar>
              <w:top w:w="120" w:type="dxa"/>
              <w:start w:w="120" w:type="dxa"/>
              <w:bottom w:w="120" w:type="dxa"/>
              <w:end w:w="120" w:type="dxa"/>
            </w:tcMar>
          </w:tcPr>
          <w:p>
            <w:pPr>
              <w:spacing w:after="40"/>
            </w:pPr>
            <w:r>
              <w:rPr>
                <w:rFonts w:ascii="Aptos" w:hAnsi="Aptos"/>
                <w:sz w:val="17"/>
              </w:rPr>
              <w:t>Leena Shah</w:t>
            </w:r>
          </w:p>
        </w:tc>
        <w:tc>
          <w:tcPr>
            <w:tcW w:type="dxa" w:w="3360"/>
            <w:vAlign w:val="center"/>
            <w:tcMar>
              <w:top w:w="120" w:type="dxa"/>
              <w:start w:w="120" w:type="dxa"/>
              <w:bottom w:w="120" w:type="dxa"/>
              <w:end w:w="120" w:type="dxa"/>
            </w:tcMar>
          </w:tcPr>
          <w:p>
            <w:pPr>
              <w:spacing w:after="40"/>
            </w:pPr>
            <w:r>
              <w:rPr>
                <w:rFonts w:ascii="Aptos" w:hAnsi="Aptos"/>
                <w:sz w:val="17"/>
              </w:rPr>
              <w:t>What leading indicators would cause us to move from base case to downside case?</w:t>
            </w:r>
          </w:p>
        </w:tc>
        <w:tc>
          <w:tcPr>
            <w:tcW w:type="dxa" w:w="3360"/>
            <w:vAlign w:val="center"/>
            <w:tcMar>
              <w:top w:w="120" w:type="dxa"/>
              <w:start w:w="120" w:type="dxa"/>
              <w:bottom w:w="120" w:type="dxa"/>
              <w:end w:w="120" w:type="dxa"/>
            </w:tcMar>
          </w:tcPr>
          <w:p>
            <w:pPr>
              <w:spacing w:after="40"/>
            </w:pPr>
            <w:r>
              <w:rPr>
                <w:rFonts w:ascii="Aptos" w:hAnsi="Aptos"/>
                <w:sz w:val="17"/>
              </w:rPr>
              <w:t>Triggers include revenue conversion below the low end of guidance, hosting cost growth outpacing revenue for two consecutive months, subcontractor spend above budget, and delayed client acceptances accumulating near quarter-end.</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Which growth drivers should be emphasized in executive commentary next quarter?</w:t>
            </w:r>
          </w:p>
        </w:tc>
        <w:tc>
          <w:tcPr>
            <w:tcW w:type="dxa" w:w="3360"/>
            <w:vAlign w:val="center"/>
            <w:tcMar>
              <w:top w:w="120" w:type="dxa"/>
              <w:start w:w="120" w:type="dxa"/>
              <w:bottom w:w="120" w:type="dxa"/>
              <w:end w:w="120" w:type="dxa"/>
            </w:tcMar>
            <w:shd w:fill="F8FBFC"/>
          </w:tcPr>
          <w:p>
            <w:pPr>
              <w:spacing w:after="40"/>
            </w:pPr>
            <w:r>
              <w:rPr>
                <w:rFonts w:ascii="Aptos" w:hAnsi="Aptos"/>
                <w:sz w:val="17"/>
              </w:rPr>
              <w:t>Executive commentary should emphasize recurring revenue, cloud modernization demand, automation-led margin improvement, and data modernization cross-sell. It should also acknowledge procurement and hosting cost headwinds.</w:t>
            </w:r>
          </w:p>
        </w:tc>
      </w:tr>
      <w:tr>
        <w:tc>
          <w:tcPr>
            <w:tcW w:type="dxa" w:w="3360"/>
            <w:vAlign w:val="center"/>
            <w:tcMar>
              <w:top w:w="120" w:type="dxa"/>
              <w:start w:w="120" w:type="dxa"/>
              <w:bottom w:w="120" w:type="dxa"/>
              <w:end w:w="120" w:type="dxa"/>
            </w:tcMar>
          </w:tcPr>
          <w:p>
            <w:pPr>
              <w:spacing w:after="40"/>
            </w:pPr>
            <w:r>
              <w:rPr>
                <w:rFonts w:ascii="Aptos" w:hAnsi="Aptos"/>
                <w:sz w:val="17"/>
              </w:rPr>
              <w:t>Bethany Luo</w:t>
            </w:r>
          </w:p>
        </w:tc>
        <w:tc>
          <w:tcPr>
            <w:tcW w:type="dxa" w:w="3360"/>
            <w:vAlign w:val="center"/>
            <w:tcMar>
              <w:top w:w="120" w:type="dxa"/>
              <w:start w:w="120" w:type="dxa"/>
              <w:bottom w:w="120" w:type="dxa"/>
              <w:end w:w="120" w:type="dxa"/>
            </w:tcMar>
          </w:tcPr>
          <w:p>
            <w:pPr>
              <w:spacing w:after="40"/>
            </w:pPr>
            <w:r>
              <w:rPr>
                <w:rFonts w:ascii="Aptos" w:hAnsi="Aptos"/>
                <w:sz w:val="17"/>
              </w:rPr>
              <w:t>What should the system do if a user asks a broad question like are we on track?</w:t>
            </w:r>
          </w:p>
        </w:tc>
        <w:tc>
          <w:tcPr>
            <w:tcW w:type="dxa" w:w="3360"/>
            <w:vAlign w:val="center"/>
            <w:tcMar>
              <w:top w:w="120" w:type="dxa"/>
              <w:start w:w="120" w:type="dxa"/>
              <w:bottom w:w="120" w:type="dxa"/>
              <w:end w:w="120" w:type="dxa"/>
            </w:tcMar>
          </w:tcPr>
          <w:p>
            <w:pPr>
              <w:spacing w:after="40"/>
            </w:pPr>
            <w:r>
              <w:rPr>
                <w:rFonts w:ascii="Aptos" w:hAnsi="Aptos"/>
                <w:sz w:val="17"/>
              </w:rPr>
              <w:t>The system should ask for metric, period, and business unit. A broad question should not trigger a generic performance answer unless the user accepts a default executive summary.</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Theo Bennett</w:t>
            </w:r>
          </w:p>
        </w:tc>
        <w:tc>
          <w:tcPr>
            <w:tcW w:type="dxa" w:w="3360"/>
            <w:vAlign w:val="center"/>
            <w:tcMar>
              <w:top w:w="120" w:type="dxa"/>
              <w:start w:w="120" w:type="dxa"/>
              <w:bottom w:w="120" w:type="dxa"/>
              <w:end w:w="120" w:type="dxa"/>
            </w:tcMar>
            <w:shd w:fill="F8FBFC"/>
          </w:tcPr>
          <w:p>
            <w:pPr>
              <w:spacing w:after="40"/>
            </w:pPr>
            <w:r>
              <w:rPr>
                <w:rFonts w:ascii="Aptos" w:hAnsi="Aptos"/>
                <w:sz w:val="17"/>
              </w:rPr>
              <w:t>Where should we look first when Cloud Services revenue grows but EBITDA does not expand?</w:t>
            </w:r>
          </w:p>
        </w:tc>
        <w:tc>
          <w:tcPr>
            <w:tcW w:type="dxa" w:w="3360"/>
            <w:vAlign w:val="center"/>
            <w:tcMar>
              <w:top w:w="120" w:type="dxa"/>
              <w:start w:w="120" w:type="dxa"/>
              <w:bottom w:w="120" w:type="dxa"/>
              <w:end w:w="120" w:type="dxa"/>
            </w:tcMar>
            <w:shd w:fill="F8FBFC"/>
          </w:tcPr>
          <w:p>
            <w:pPr>
              <w:spacing w:after="40"/>
            </w:pPr>
            <w:r>
              <w:rPr>
                <w:rFonts w:ascii="Aptos" w:hAnsi="Aptos"/>
                <w:sz w:val="17"/>
              </w:rPr>
              <w:t>Start with COGS mix. The likely causes are higher hosting costs, subcontractor spend, or lower delivery labor utilization. Then compare operating expense timing and budget variance.</w:t>
            </w:r>
          </w:p>
        </w:tc>
      </w:tr>
    </w:tbl>
    <w:p/>
    <w:p>
      <w:pPr>
        <w:pStyle w:val="Heading1"/>
      </w:pPr>
      <w:r>
        <w:t>Upcoming Growth Drivers and Management Commentary</w:t>
      </w:r>
    </w:p>
    <w:p>
      <w:pPr>
        <w:pStyle w:val="Heading2"/>
      </w:pPr>
      <w:r>
        <w:t>Growth Driver 1: Enterprise cloud modernization</w:t>
      </w:r>
    </w:p>
    <w:p>
      <w:pPr>
        <w:spacing w:after="140" w:line="259" w:lineRule="auto"/>
      </w:pPr>
      <w:r>
        <w:t>Demand for modernization, observability, security hardening, and cost optimization remains the most important near-term growth driver. Management expects cloud modernization to pull through managed services and analytics work when proposal teams include post-migration operating support.</w:t>
      </w:r>
    </w:p>
    <w:p>
      <w:pPr>
        <w:spacing w:after="140" w:line="259" w:lineRule="auto"/>
      </w:pPr>
      <w:r>
        <w:t>Management commentary: Enterprise cloud modernization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enterprise cloud modernization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2: Managed operations expansion</w:t>
      </w:r>
    </w:p>
    <w:p>
      <w:pPr>
        <w:spacing w:after="140" w:line="259" w:lineRule="auto"/>
      </w:pPr>
      <w:r>
        <w:t>Multi-year managed operations contracts provide stable recurring revenue and better visibility for guidance. Growth depends on renewals, expansion clauses, and service automation that improves margin as contracts mature.</w:t>
      </w:r>
    </w:p>
    <w:p>
      <w:pPr>
        <w:spacing w:after="140" w:line="259" w:lineRule="auto"/>
      </w:pPr>
      <w:r>
        <w:t>Management commentary: Managed operations expansion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managed operations expansion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3: AI-enabled delivery productivity</w:t>
      </w:r>
    </w:p>
    <w:p>
      <w:pPr>
        <w:spacing w:after="140" w:line="259" w:lineRule="auto"/>
      </w:pPr>
      <w:r>
        <w:t>The delivery automation roadmap is intended to reduce manual effort, shrink triage time, improve knowledge reuse, and lower subcontractor dependence. Management does not assume immediate margin uplift in every unit; benefits are expected to ramp as reusable tools are embedded in delivery workflows.</w:t>
      </w:r>
    </w:p>
    <w:p>
      <w:pPr>
        <w:spacing w:after="140" w:line="259" w:lineRule="auto"/>
      </w:pPr>
      <w:r>
        <w:t>Management commentary: AI-enabled delivery productivity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ai-enabled delivery productivity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4: Data modernization and KPI governance</w:t>
      </w:r>
    </w:p>
    <w:p>
      <w:pPr>
        <w:spacing w:after="140" w:line="259" w:lineRule="auto"/>
      </w:pPr>
      <w:r>
        <w:t>Clients that modernize cloud platforms often need governed data models, standardized metrics, and reporting rationalization. This creates a natural cross-sell path for Data &amp; Analytics when sales teams identify fragmented KPI definitions and manual reporting effort.</w:t>
      </w:r>
    </w:p>
    <w:p>
      <w:pPr>
        <w:spacing w:after="140" w:line="259" w:lineRule="auto"/>
      </w:pPr>
      <w:r>
        <w:t>Management commentary: Data modernization and KPI governance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data modernization and kpi governance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5: FinOps and workload optimization</w:t>
      </w:r>
    </w:p>
    <w:p>
      <w:pPr>
        <w:spacing w:after="140" w:line="259" w:lineRule="auto"/>
      </w:pPr>
      <w:r>
        <w:t>Clients are increasingly asking for cost transparency and optimization in cloud estates. Asteria can position FinOps assessments and managed optimization as recurring services, offsetting hosting cost pressure while improving client value realization.</w:t>
      </w:r>
    </w:p>
    <w:p>
      <w:pPr>
        <w:spacing w:after="140" w:line="259" w:lineRule="auto"/>
      </w:pPr>
      <w:r>
        <w:t>Management commentary: FinOps and workload optimization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finops and workload optimization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6: Strategic account expansion</w:t>
      </w:r>
    </w:p>
    <w:p>
      <w:pPr>
        <w:spacing w:after="140" w:line="259" w:lineRule="auto"/>
      </w:pPr>
      <w:r>
        <w:t>The account team is focused on expanding wallet share in existing enterprise accounts. The strongest opportunities come from accounts where Asteria already supports cloud operations, because switching costs are higher and business context is already established.</w:t>
      </w:r>
    </w:p>
    <w:p>
      <w:pPr>
        <w:spacing w:after="140" w:line="259" w:lineRule="auto"/>
      </w:pPr>
      <w:r>
        <w:t>Management commentary: Strategic account expansion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strategic account expansion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1"/>
      </w:pPr>
      <w:r>
        <w:t>Leading Indicators to Monitor Weekly</w:t>
      </w:r>
    </w:p>
    <w:p>
      <w:pPr>
        <w:pStyle w:val="ListBullet"/>
        <w:spacing w:after="60"/>
      </w:pPr>
      <w:r>
        <w:t>Cloud Services late-stage pipeline conversion and signed SOW value.</w:t>
      </w:r>
    </w:p>
    <w:p>
      <w:pPr>
        <w:pStyle w:val="ListBullet"/>
        <w:spacing w:after="60"/>
      </w:pPr>
      <w:r>
        <w:t>Managed Operations renewal coverage, churn risk, and expansion pipeline.</w:t>
      </w:r>
    </w:p>
    <w:p>
      <w:pPr>
        <w:pStyle w:val="ListBullet"/>
        <w:spacing w:after="60"/>
      </w:pPr>
      <w:r>
        <w:t>Hosting cost per managed workload and optimization savings realized.</w:t>
      </w:r>
    </w:p>
    <w:p>
      <w:pPr>
        <w:pStyle w:val="ListBullet"/>
        <w:spacing w:after="60"/>
      </w:pPr>
      <w:r>
        <w:t>Subcontractor spend as a percentage of COGS by business unit.</w:t>
      </w:r>
    </w:p>
    <w:p>
      <w:pPr>
        <w:pStyle w:val="ListBullet"/>
        <w:spacing w:after="60"/>
      </w:pPr>
      <w:r>
        <w:t>Data &amp; Analytics client acceptance milestones and project backlog aging.</w:t>
      </w:r>
    </w:p>
    <w:p>
      <w:pPr>
        <w:pStyle w:val="ListBullet"/>
        <w:spacing w:after="60"/>
      </w:pPr>
      <w:r>
        <w:t>Sales campaign spend timing and whether any expense variance is temporary.</w:t>
      </w:r>
    </w:p>
    <w:p>
      <w:pPr>
        <w:pStyle w:val="ListBullet"/>
        <w:spacing w:after="60"/>
      </w:pPr>
      <w:r>
        <w:t>Utilization of specialized cloud architects and delivery teams.</w:t>
      </w:r>
    </w:p>
    <w:p>
      <w:pPr>
        <w:pStyle w:val="ListBullet"/>
        <w:spacing w:after="60"/>
      </w:pPr>
      <w:r>
        <w:t>DSO and billing milestone progress for large milestone-based projects.</w:t>
      </w:r>
    </w:p>
    <w:p>
      <w:pPr>
        <w:pStyle w:val="Heading1"/>
      </w:pPr>
      <w:r>
        <w:t>Copilot Guidance for Q3 Questions</w:t>
      </w:r>
    </w:p>
    <w:p>
      <w:pPr>
        <w:spacing w:after="140" w:line="259" w:lineRule="auto"/>
      </w:pPr>
      <w:r>
        <w:t>For guidance questions, the copilot should explicitly label the answer as management guidance, not actual results. It should cite this guidance document and, if the user asks whether the company is on track, compare the guidance to the latest actuals from the structured finance tables.</w:t>
      </w:r>
    </w:p>
    <w:p>
      <w:pPr>
        <w:spacing w:after="140" w:line="259" w:lineRule="auto"/>
      </w:pPr>
      <w:r>
        <w:t>For headwind or tailwind questions, retrieve the relevant factor section and summarize both the expected financial effect and the management action. The response should indicate whether the factor affects revenue, gross margin, EBITDA, or cash timing.</w:t>
      </w:r>
    </w:p>
    <w:p>
      <w:r>
        <w:br w:type="page"/>
      </w:r>
    </w:p>
    <w:p>
      <w:pPr>
        <w:pStyle w:val="Heading1"/>
      </w:pPr>
      <w:r>
        <w:t>Appendix A: Extended Q3 2026 Analyst Dialogue and Management Commentary</w:t>
      </w:r>
    </w:p>
    <w:p>
      <w:pPr>
        <w:spacing w:after="140" w:line="259" w:lineRule="auto"/>
      </w:pPr>
      <w:r>
        <w:t>This appendix adds richer conversation detail for Q3 2026. It is meant to mimic internal analyst review notes and management preparation materials that a finance analyst might search during quarterly variance analysis.</w:t>
      </w:r>
    </w:p>
    <w:p>
      <w:pPr>
        <w:pStyle w:val="Heading2"/>
      </w:pPr>
      <w:r>
        <w:t>Q3 2026 dialogue 1: Mira Cole - Lead FP&amp;A Analyst</w:t>
      </w:r>
    </w:p>
    <w:p>
      <w:pPr>
        <w:spacing w:after="140" w:line="259" w:lineRule="auto"/>
      </w:pPr>
      <w:r>
        <w:t>Mira Cole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Mira Cole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2: Owen Hughes - Margin Analyst</w:t>
      </w:r>
    </w:p>
    <w:p>
      <w:pPr>
        <w:spacing w:after="140" w:line="259" w:lineRule="auto"/>
      </w:pPr>
      <w:r>
        <w:t>Owen Hughes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Owen Hughes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3: Leena Shah - Guidance Analyst</w:t>
      </w:r>
    </w:p>
    <w:p>
      <w:pPr>
        <w:spacing w:after="140" w:line="259" w:lineRule="auto"/>
      </w:pPr>
      <w:r>
        <w:t>Leena Shah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Leena Shah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4: Carlos Mendes - Revenue Operations Analyst</w:t>
      </w:r>
    </w:p>
    <w:p>
      <w:pPr>
        <w:spacing w:after="140" w:line="259" w:lineRule="auto"/>
      </w:pPr>
      <w:r>
        <w:t>Carlos Mendes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Carlos Mendes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5: Bethany Luo - Controls Analyst</w:t>
      </w:r>
    </w:p>
    <w:p>
      <w:pPr>
        <w:spacing w:after="140" w:line="259" w:lineRule="auto"/>
      </w:pPr>
      <w:r>
        <w:t>Bethany Luo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Bethany Luo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6: Theo Bennett - Cloud Finance Analyst</w:t>
      </w:r>
    </w:p>
    <w:p>
      <w:pPr>
        <w:spacing w:after="140" w:line="259" w:lineRule="auto"/>
      </w:pPr>
      <w:r>
        <w:t>Theo Bennett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Theo Bennett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7: Anika Desai - Working Capital Analyst</w:t>
      </w:r>
    </w:p>
    <w:p>
      <w:pPr>
        <w:spacing w:after="140" w:line="259" w:lineRule="auto"/>
      </w:pPr>
      <w:r>
        <w:t>Anika Desai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Anika Desai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2"/>
      </w:pPr>
      <w:r>
        <w:t>Q3 2026 dialogue 8: Reed Kim - Business Unit Finance Analyst</w:t>
      </w:r>
    </w:p>
    <w:p>
      <w:pPr>
        <w:spacing w:after="140" w:line="259" w:lineRule="auto"/>
      </w:pPr>
      <w:r>
        <w:t>Reed Kim asked how the team should connect the quarter narrative to the metric calculations. Management responded that the first step is to calculate the relevant value from structured data, then use quarterly reports, guidance commentary, and stakeholder notes to explain the likely business drivers.</w:t>
      </w:r>
    </w:p>
    <w:p>
      <w:pPr>
        <w:spacing w:after="140" w:line="259" w:lineRule="auto"/>
      </w:pPr>
      <w:r>
        <w:t>The discussion focused on whether the observed movement should be framed as demand, timing, cost structure, operational execution, or data quality. Management cautioned that broad commentary should not be used unless the user specifies a metric, period, and business unit or accepts an executive summary default.</w:t>
      </w:r>
    </w:p>
    <w:p>
      <w:pPr>
        <w:spacing w:after="140" w:line="259" w:lineRule="auto"/>
      </w:pPr>
      <w:r>
        <w:t>For Q3 2026, Reed Kim recommended using a three-part answer structure: what changed, why management believes it changed, and what evidence or limitation should be cited. This creates a retrieval-rich chunk for questions about analyst conversations, management concerns, and copilot response design.</w:t>
      </w:r>
    </w:p>
    <w:p>
      <w:pPr>
        <w:pStyle w:val="Heading1"/>
      </w:pPr>
      <w:r>
        <w:t>Appendix B: Q3 2026 Commentary Quality Checklist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0E7C86"/>
          </w:tcPr>
          <w:p>
            <w:pPr>
              <w:spacing w:after="40"/>
            </w:pPr>
            <w:r>
              <w:rPr>
                <w:b/>
                <w:color w:val="FFFFFF"/>
                <w:sz w:val="17"/>
              </w:rPr>
              <w:t>Question</w:t>
            </w:r>
          </w:p>
        </w:tc>
        <w:tc>
          <w:tcPr>
            <w:tcW w:type="dxa" w:w="3360"/>
            <w:vAlign w:val="center"/>
            <w:tcMar>
              <w:top w:w="100" w:type="dxa"/>
              <w:start w:w="100" w:type="dxa"/>
              <w:bottom w:w="100" w:type="dxa"/>
              <w:end w:w="100" w:type="dxa"/>
            </w:tcMar>
            <w:shd w:fill="0E7C86"/>
          </w:tcPr>
          <w:p>
            <w:pPr>
              <w:spacing w:after="40"/>
            </w:pPr>
            <w:r>
              <w:rPr>
                <w:b/>
                <w:color w:val="FFFFFF"/>
                <w:sz w:val="17"/>
              </w:rPr>
              <w:t>Good response behavior</w:t>
            </w:r>
          </w:p>
        </w:tc>
        <w:tc>
          <w:tcPr>
            <w:tcW w:type="dxa" w:w="3360"/>
            <w:vAlign w:val="center"/>
            <w:tcMar>
              <w:top w:w="100" w:type="dxa"/>
              <w:start w:w="100" w:type="dxa"/>
              <w:bottom w:w="100" w:type="dxa"/>
              <w:end w:w="100" w:type="dxa"/>
            </w:tcMar>
            <w:shd w:fill="0E7C86"/>
          </w:tcPr>
          <w:p>
            <w:pPr>
              <w:spacing w:after="40"/>
            </w:pPr>
            <w:r>
              <w:rPr>
                <w:b/>
                <w:color w:val="FFFFFF"/>
                <w:sz w:val="17"/>
              </w:rPr>
              <w:t>Weak response behavior</w:t>
            </w:r>
          </w:p>
        </w:tc>
      </w:tr>
      <w:tr>
        <w:tc>
          <w:tcPr>
            <w:tcW w:type="dxa" w:w="3360"/>
            <w:vAlign w:val="center"/>
            <w:tcMar>
              <w:top w:w="100" w:type="dxa"/>
              <w:start w:w="100" w:type="dxa"/>
              <w:bottom w:w="100" w:type="dxa"/>
              <w:end w:w="100" w:type="dxa"/>
            </w:tcMar>
          </w:tcPr>
          <w:p>
            <w:pPr>
              <w:spacing w:after="40"/>
            </w:pPr>
            <w:r>
              <w:rPr>
                <w:sz w:val="17"/>
              </w:rPr>
              <w:t>Does the answer cite data?</w:t>
            </w:r>
          </w:p>
        </w:tc>
        <w:tc>
          <w:tcPr>
            <w:tcW w:type="dxa" w:w="3360"/>
            <w:vAlign w:val="center"/>
            <w:tcMar>
              <w:top w:w="100" w:type="dxa"/>
              <w:start w:w="100" w:type="dxa"/>
              <w:bottom w:w="100" w:type="dxa"/>
              <w:end w:w="100" w:type="dxa"/>
            </w:tcMar>
          </w:tcPr>
          <w:p>
            <w:pPr>
              <w:spacing w:after="40"/>
            </w:pPr>
            <w:r>
              <w:rPr>
                <w:sz w:val="17"/>
              </w:rPr>
              <w:t>References source table, column, period, and formula.</w:t>
            </w:r>
          </w:p>
        </w:tc>
        <w:tc>
          <w:tcPr>
            <w:tcW w:type="dxa" w:w="3360"/>
            <w:vAlign w:val="center"/>
            <w:tcMar>
              <w:top w:w="100" w:type="dxa"/>
              <w:start w:w="100" w:type="dxa"/>
              <w:bottom w:w="100" w:type="dxa"/>
              <w:end w:w="100" w:type="dxa"/>
            </w:tcMar>
          </w:tcPr>
          <w:p>
            <w:pPr>
              <w:spacing w:after="40"/>
            </w:pPr>
            <w:r>
              <w:rPr>
                <w:sz w:val="17"/>
              </w:rPr>
              <w:t>Only cites narrative commentary.</w:t>
            </w:r>
          </w:p>
        </w:tc>
      </w:tr>
      <w:tr>
        <w:tc>
          <w:tcPr>
            <w:tcW w:type="dxa" w:w="3360"/>
            <w:vAlign w:val="center"/>
            <w:tcMar>
              <w:top w:w="100" w:type="dxa"/>
              <w:start w:w="100" w:type="dxa"/>
              <w:bottom w:w="100" w:type="dxa"/>
              <w:end w:w="100" w:type="dxa"/>
            </w:tcMar>
            <w:shd w:fill="F8FBFC"/>
          </w:tcPr>
          <w:p>
            <w:pPr>
              <w:spacing w:after="40"/>
            </w:pPr>
            <w:r>
              <w:rPr>
                <w:sz w:val="17"/>
              </w:rPr>
              <w:t>Does it explain driver relevance?</w:t>
            </w:r>
          </w:p>
        </w:tc>
        <w:tc>
          <w:tcPr>
            <w:tcW w:type="dxa" w:w="3360"/>
            <w:vAlign w:val="center"/>
            <w:tcMar>
              <w:top w:w="100" w:type="dxa"/>
              <w:start w:w="100" w:type="dxa"/>
              <w:bottom w:w="100" w:type="dxa"/>
              <w:end w:w="100" w:type="dxa"/>
            </w:tcMar>
            <w:shd w:fill="F8FBFC"/>
          </w:tcPr>
          <w:p>
            <w:pPr>
              <w:spacing w:after="40"/>
            </w:pPr>
            <w:r>
              <w:rPr>
                <w:sz w:val="17"/>
              </w:rPr>
              <w:t>Links driver to revenue, margin, EBITDA, or cash.</w:t>
            </w:r>
          </w:p>
        </w:tc>
        <w:tc>
          <w:tcPr>
            <w:tcW w:type="dxa" w:w="3360"/>
            <w:vAlign w:val="center"/>
            <w:tcMar>
              <w:top w:w="100" w:type="dxa"/>
              <w:start w:w="100" w:type="dxa"/>
              <w:bottom w:w="100" w:type="dxa"/>
              <w:end w:w="100" w:type="dxa"/>
            </w:tcMar>
            <w:shd w:fill="F8FBFC"/>
          </w:tcPr>
          <w:p>
            <w:pPr>
              <w:spacing w:after="40"/>
            </w:pPr>
            <w:r>
              <w:rPr>
                <w:sz w:val="17"/>
              </w:rPr>
              <w:t>Lists generic business factors.</w:t>
            </w:r>
          </w:p>
        </w:tc>
      </w:tr>
      <w:tr>
        <w:tc>
          <w:tcPr>
            <w:tcW w:type="dxa" w:w="3360"/>
            <w:vAlign w:val="center"/>
            <w:tcMar>
              <w:top w:w="100" w:type="dxa"/>
              <w:start w:w="100" w:type="dxa"/>
              <w:bottom w:w="100" w:type="dxa"/>
              <w:end w:w="100" w:type="dxa"/>
            </w:tcMar>
          </w:tcPr>
          <w:p>
            <w:pPr>
              <w:spacing w:after="40"/>
            </w:pPr>
            <w:r>
              <w:rPr>
                <w:sz w:val="17"/>
              </w:rPr>
              <w:t>Does it handle ambiguity?</w:t>
            </w:r>
          </w:p>
        </w:tc>
        <w:tc>
          <w:tcPr>
            <w:tcW w:type="dxa" w:w="3360"/>
            <w:vAlign w:val="center"/>
            <w:tcMar>
              <w:top w:w="100" w:type="dxa"/>
              <w:start w:w="100" w:type="dxa"/>
              <w:bottom w:w="100" w:type="dxa"/>
              <w:end w:w="100" w:type="dxa"/>
            </w:tcMar>
          </w:tcPr>
          <w:p>
            <w:pPr>
              <w:spacing w:after="40"/>
            </w:pPr>
            <w:r>
              <w:rPr>
                <w:sz w:val="17"/>
              </w:rPr>
              <w:t>Asks for metric, period, and business unit.</w:t>
            </w:r>
          </w:p>
        </w:tc>
        <w:tc>
          <w:tcPr>
            <w:tcW w:type="dxa" w:w="3360"/>
            <w:vAlign w:val="center"/>
            <w:tcMar>
              <w:top w:w="100" w:type="dxa"/>
              <w:start w:w="100" w:type="dxa"/>
              <w:bottom w:w="100" w:type="dxa"/>
              <w:end w:w="100" w:type="dxa"/>
            </w:tcMar>
          </w:tcPr>
          <w:p>
            <w:pPr>
              <w:spacing w:after="40"/>
            </w:pPr>
            <w:r>
              <w:rPr>
                <w:sz w:val="17"/>
              </w:rPr>
              <w:t>Answers broadly without assumptions.</w:t>
            </w:r>
          </w:p>
        </w:tc>
      </w:tr>
      <w:tr>
        <w:tc>
          <w:tcPr>
            <w:tcW w:type="dxa" w:w="3360"/>
            <w:vAlign w:val="center"/>
            <w:tcMar>
              <w:top w:w="100" w:type="dxa"/>
              <w:start w:w="100" w:type="dxa"/>
              <w:bottom w:w="100" w:type="dxa"/>
              <w:end w:w="100" w:type="dxa"/>
            </w:tcMar>
            <w:shd w:fill="F8FBFC"/>
          </w:tcPr>
          <w:p>
            <w:pPr>
              <w:spacing w:after="40"/>
            </w:pPr>
            <w:r>
              <w:rPr>
                <w:sz w:val="17"/>
              </w:rPr>
              <w:t>Does it separate actuals and guidance?</w:t>
            </w:r>
          </w:p>
        </w:tc>
        <w:tc>
          <w:tcPr>
            <w:tcW w:type="dxa" w:w="3360"/>
            <w:vAlign w:val="center"/>
            <w:tcMar>
              <w:top w:w="100" w:type="dxa"/>
              <w:start w:w="100" w:type="dxa"/>
              <w:bottom w:w="100" w:type="dxa"/>
              <w:end w:w="100" w:type="dxa"/>
            </w:tcMar>
            <w:shd w:fill="F8FBFC"/>
          </w:tcPr>
          <w:p>
            <w:pPr>
              <w:spacing w:after="40"/>
            </w:pPr>
            <w:r>
              <w:rPr>
                <w:sz w:val="17"/>
              </w:rPr>
              <w:t>Labels actual, budget, forecast, and guidance clearly.</w:t>
            </w:r>
          </w:p>
        </w:tc>
        <w:tc>
          <w:tcPr>
            <w:tcW w:type="dxa" w:w="3360"/>
            <w:vAlign w:val="center"/>
            <w:tcMar>
              <w:top w:w="100" w:type="dxa"/>
              <w:start w:w="100" w:type="dxa"/>
              <w:bottom w:w="100" w:type="dxa"/>
              <w:end w:w="100" w:type="dxa"/>
            </w:tcMar>
            <w:shd w:fill="F8FBFC"/>
          </w:tcPr>
          <w:p>
            <w:pPr>
              <w:spacing w:after="40"/>
            </w:pPr>
            <w:r>
              <w:rPr>
                <w:sz w:val="17"/>
              </w:rPr>
              <w:t>Mixes guidance with realized results.</w:t>
            </w:r>
          </w:p>
        </w:tc>
      </w:tr>
    </w:tbl>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