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Stakeholder Interview Notes - Finance Leadership and Business Owners</w:t>
      </w:r>
    </w:p>
    <w:p>
      <w:pPr>
        <w:jc w:val="center"/>
      </w:pPr>
      <w:r>
        <w:rPr>
          <w:i/>
          <w:color w:val="666666"/>
          <w:sz w:val="22"/>
        </w:rPr>
        <w:t>Synthetic data pack for Financial Analyst Copilot capstone - not real company data</w:t>
      </w:r>
    </w:p>
    <w:p/>
    <w:p>
      <w:pPr>
        <w:pStyle w:val="Heading1"/>
      </w:pPr>
      <w:r>
        <w:rPr>
          <w:color w:val="1F4E79"/>
        </w:rPr>
        <w:t>Purpose</w:t>
      </w:r>
    </w:p>
    <w:p>
      <w:r>
        <w:t>These synthetic interview notes give the copilot additional unstructured context about how different stakeholders interpret growth, guidance, and variance analysis. The notes mimic discovery input a finance analyst might gather before building a reporting assistant.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777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Interview Notes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Nathan Okafor, CFO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</w:rPr>
              <w:t>Wants all KPI answers to clearly state whether the number is actual, budget, forecast, or guidance. Prefers concise variance bridges that separate rate, volume, mix, and timing drivers.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Jordan Ellis, VP FP&amp;A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</w:rPr>
              <w:t>Needs the copilot to reduce time spent reconciling glossary definitions with spreadsheet formulas. The biggest pain point is inconsistent naming of gross margin and EBITDA in reports.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Amara Singh, Director Cloud Operations Finance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</w:rPr>
              <w:t>Wants Cloud Services analysis to highlight hosting cost trends, contract pass-through timing, and automation savings. She expects gross margin questions to cite both COGS data and margin commentary.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Victor Alvarez, Controller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</w:rPr>
              <w:t>Emphasizes read-only access to finance data and reconciliation to closed periods. He is concerned about users asking for current or external values that are not in the dataset.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Sofia Chen, Chief Revenue Officer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</w:rPr>
              <w:t>Uses revenue growth, bookings, renewal timing, and net revenue retention as leading indicators. She wants the copilot to distinguish pipeline comments from recognized revenue.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Priya Raman, COO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</w:rPr>
              <w:t>Focuses on delivery labor utilization and subcontractor mix. She wants variance explanations to connect labor intensity to EBITDA and gross margin.</w:t>
            </w:r>
          </w:p>
        </w:tc>
      </w:tr>
    </w:tbl>
    <w:p/>
    <w:p>
      <w:pPr>
        <w:pStyle w:val="Heading1"/>
      </w:pPr>
      <w:r>
        <w:rPr>
          <w:color w:val="1F4E79"/>
        </w:rPr>
        <w:t>Common Questions From Stakeholders</w:t>
      </w:r>
    </w:p>
    <w:p>
      <w:pPr>
        <w:pStyle w:val="ListBullet"/>
      </w:pPr>
      <w:r>
        <w:t>CFO: What changed versus guidance and why?</w:t>
      </w:r>
    </w:p>
    <w:p>
      <w:pPr>
        <w:pStyle w:val="ListBullet"/>
      </w:pPr>
      <w:r>
        <w:t>COO: Which cost drivers are affecting delivery margin?</w:t>
      </w:r>
    </w:p>
    <w:p>
      <w:pPr>
        <w:pStyle w:val="ListBullet"/>
      </w:pPr>
      <w:r>
        <w:t>CRO: Are renewals and expansions translating into recognized revenue?</w:t>
      </w:r>
    </w:p>
    <w:p>
      <w:pPr>
        <w:pStyle w:val="ListBullet"/>
      </w:pPr>
      <w:r>
        <w:t>Controller: Which source table supports the number?</w:t>
      </w:r>
    </w:p>
    <w:p>
      <w:pPr>
        <w:pStyle w:val="ListBullet"/>
      </w:pPr>
      <w:r>
        <w:t>Board Chair: What are the most important growth risks and mitigation actions?</w:t>
      </w:r>
    </w:p>
    <w:p>
      <w:pPr>
        <w:pStyle w:val="Heading1"/>
      </w:pPr>
      <w:r>
        <w:rPr>
          <w:color w:val="1F4E79"/>
        </w:rPr>
        <w:t>RAG Use Guidance</w:t>
      </w:r>
    </w:p>
    <w:p>
      <w:pPr>
        <w:pStyle w:val="ListBullet"/>
      </w:pPr>
      <w:r>
        <w:t>Use this document for stakeholder intent and reporting preferences.</w:t>
      </w:r>
    </w:p>
    <w:p>
      <w:pPr>
        <w:pStyle w:val="ListBullet"/>
      </w:pPr>
      <w:r>
        <w:t>Do not use interview notes as a source for financial values.</w:t>
      </w:r>
    </w:p>
    <w:p>
      <w:pPr>
        <w:pStyle w:val="ListBullet"/>
      </w:pPr>
      <w:r>
        <w:t>Use stakeholder notes to personalize answer framing only after numerical values have been calculated from structured data.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Stakeholder Interview Notes - Synthetic capstone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