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Tailwinds and Headwinds Driver Detail Dossier</w:t>
      </w:r>
    </w:p>
    <w:p>
      <w:pPr>
        <w:jc w:val="center"/>
      </w:pPr>
      <w:r>
        <w:rPr>
          <w:i/>
          <w:color w:val="0E7C86"/>
          <w:sz w:val="26"/>
        </w:rPr>
        <w:t>Detailed factor profiles for growth, margin, forecast, and risk commentary</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Driver Dossier</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Dossier Overview</w:t>
      </w:r>
    </w:p>
    <w:p>
      <w:pPr>
        <w:spacing w:after="140" w:line="259" w:lineRule="auto"/>
      </w:pPr>
      <w:r>
        <w:t>This dossier expands the abbreviated tailwinds/headwinds register into retrieval-ready factor profiles. It is designed for chunking tests where the user asks why a metric moved, which factors support growth, or what risks may affect guidance.</w:t>
      </w:r>
    </w:p>
    <w:p>
      <w:pPr>
        <w:spacing w:after="140" w:line="259" w:lineRule="auto"/>
      </w:pPr>
      <w:r>
        <w:t>Each factor includes context, affected metrics, timing, management actions, analyst watch points, and example copilot questions. The copilot should use this dossier to ground qualitative commentary while relying on structured finance tables for calculations.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Type</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Factor</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Impact</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Affected metric</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Business unit</w:t>
            </w:r>
          </w:p>
        </w:tc>
      </w:tr>
      <w:tr>
        <w:tc>
          <w:tcPr>
            <w:tcW w:type="dxa" w:w="2016"/>
            <w:vAlign w:val="center"/>
            <w:tcMar>
              <w:top w:w="120" w:type="dxa"/>
              <w:start w:w="120" w:type="dxa"/>
              <w:bottom w:w="120" w:type="dxa"/>
              <w:end w:w="120" w:type="dxa"/>
            </w:tcMar>
          </w:tcPr>
          <w:p>
            <w:pPr>
              <w:spacing w:after="40"/>
            </w:pPr>
            <w:r>
              <w:rPr>
                <w:rFonts w:ascii="Aptos" w:hAnsi="Aptos"/>
                <w:sz w:val="17"/>
              </w:rPr>
              <w:t>Tailwind</w:t>
            </w:r>
          </w:p>
        </w:tc>
        <w:tc>
          <w:tcPr>
            <w:tcW w:type="dxa" w:w="2016"/>
            <w:vAlign w:val="center"/>
            <w:tcMar>
              <w:top w:w="120" w:type="dxa"/>
              <w:start w:w="120" w:type="dxa"/>
              <w:bottom w:w="120" w:type="dxa"/>
              <w:end w:w="120" w:type="dxa"/>
            </w:tcMar>
          </w:tcPr>
          <w:p>
            <w:pPr>
              <w:spacing w:after="40"/>
            </w:pPr>
            <w:r>
              <w:rPr>
                <w:rFonts w:ascii="Aptos" w:hAnsi="Aptos"/>
                <w:sz w:val="17"/>
              </w:rPr>
              <w:t>Cloud migration demand</w:t>
            </w:r>
          </w:p>
        </w:tc>
        <w:tc>
          <w:tcPr>
            <w:tcW w:type="dxa" w:w="2016"/>
            <w:vAlign w:val="center"/>
            <w:tcMar>
              <w:top w:w="120" w:type="dxa"/>
              <w:start w:w="120" w:type="dxa"/>
              <w:bottom w:w="120" w:type="dxa"/>
              <w:end w:w="120" w:type="dxa"/>
            </w:tcMar>
          </w:tcPr>
          <w:p>
            <w:pPr>
              <w:spacing w:after="40"/>
            </w:pPr>
            <w:r>
              <w:rPr>
                <w:rFonts w:ascii="Aptos" w:hAnsi="Aptos"/>
                <w:sz w:val="17"/>
              </w:rPr>
              <w:t>High</w:t>
            </w:r>
          </w:p>
        </w:tc>
        <w:tc>
          <w:tcPr>
            <w:tcW w:type="dxa" w:w="2016"/>
            <w:vAlign w:val="center"/>
            <w:tcMar>
              <w:top w:w="120" w:type="dxa"/>
              <w:start w:w="120" w:type="dxa"/>
              <w:bottom w:w="120" w:type="dxa"/>
              <w:end w:w="120" w:type="dxa"/>
            </w:tcMar>
          </w:tcPr>
          <w:p>
            <w:pPr>
              <w:spacing w:after="40"/>
            </w:pPr>
            <w:r>
              <w:rPr>
                <w:rFonts w:ascii="Aptos" w:hAnsi="Aptos"/>
                <w:sz w:val="17"/>
              </w:rPr>
              <w:t>Revenue</w:t>
            </w:r>
          </w:p>
        </w:tc>
        <w:tc>
          <w:tcPr>
            <w:tcW w:type="dxa" w:w="2016"/>
            <w:vAlign w:val="center"/>
            <w:tcMar>
              <w:top w:w="120" w:type="dxa"/>
              <w:start w:w="120" w:type="dxa"/>
              <w:bottom w:w="120" w:type="dxa"/>
              <w:end w:w="120" w:type="dxa"/>
            </w:tcMar>
          </w:tcPr>
          <w:p>
            <w:pPr>
              <w:spacing w:after="40"/>
            </w:pPr>
            <w:r>
              <w:rPr>
                <w:rFonts w:ascii="Aptos" w:hAnsi="Aptos"/>
                <w:sz w:val="17"/>
              </w:rPr>
              <w:t>Cloud Services</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Tailwind</w:t>
            </w:r>
          </w:p>
        </w:tc>
        <w:tc>
          <w:tcPr>
            <w:tcW w:type="dxa" w:w="2016"/>
            <w:vAlign w:val="center"/>
            <w:tcMar>
              <w:top w:w="120" w:type="dxa"/>
              <w:start w:w="120" w:type="dxa"/>
              <w:bottom w:w="120" w:type="dxa"/>
              <w:end w:w="120" w:type="dxa"/>
            </w:tcMar>
            <w:shd w:fill="F8FBFC"/>
          </w:tcPr>
          <w:p>
            <w:pPr>
              <w:spacing w:after="40"/>
            </w:pPr>
            <w:r>
              <w:rPr>
                <w:rFonts w:ascii="Aptos" w:hAnsi="Aptos"/>
                <w:sz w:val="17"/>
              </w:rPr>
              <w:t>Managed Operations renewal base</w:t>
            </w:r>
          </w:p>
        </w:tc>
        <w:tc>
          <w:tcPr>
            <w:tcW w:type="dxa" w:w="2016"/>
            <w:vAlign w:val="center"/>
            <w:tcMar>
              <w:top w:w="120" w:type="dxa"/>
              <w:start w:w="120" w:type="dxa"/>
              <w:bottom w:w="120" w:type="dxa"/>
              <w:end w:w="120" w:type="dxa"/>
            </w:tcMar>
            <w:shd w:fill="F8FBFC"/>
          </w:tcPr>
          <w:p>
            <w:pPr>
              <w:spacing w:after="40"/>
            </w:pPr>
            <w:r>
              <w:rPr>
                <w:rFonts w:ascii="Aptos" w:hAnsi="Aptos"/>
                <w:sz w:val="17"/>
              </w:rPr>
              <w:t>High</w:t>
            </w:r>
          </w:p>
        </w:tc>
        <w:tc>
          <w:tcPr>
            <w:tcW w:type="dxa" w:w="2016"/>
            <w:vAlign w:val="center"/>
            <w:tcMar>
              <w:top w:w="120" w:type="dxa"/>
              <w:start w:w="120" w:type="dxa"/>
              <w:bottom w:w="120" w:type="dxa"/>
              <w:end w:w="120" w:type="dxa"/>
            </w:tcMar>
            <w:shd w:fill="F8FBFC"/>
          </w:tcPr>
          <w:p>
            <w:pPr>
              <w:spacing w:after="40"/>
            </w:pPr>
            <w:r>
              <w:rPr>
                <w:rFonts w:ascii="Aptos" w:hAnsi="Aptos"/>
                <w:sz w:val="17"/>
              </w:rPr>
              <w:t>Revenue visibility</w:t>
            </w:r>
          </w:p>
        </w:tc>
        <w:tc>
          <w:tcPr>
            <w:tcW w:type="dxa" w:w="2016"/>
            <w:vAlign w:val="center"/>
            <w:tcMar>
              <w:top w:w="120" w:type="dxa"/>
              <w:start w:w="120" w:type="dxa"/>
              <w:bottom w:w="120" w:type="dxa"/>
              <w:end w:w="120" w:type="dxa"/>
            </w:tcMar>
            <w:shd w:fill="F8FBFC"/>
          </w:tcPr>
          <w:p>
            <w:pPr>
              <w:spacing w:after="40"/>
            </w:pPr>
            <w:r>
              <w:rPr>
                <w:rFonts w:ascii="Aptos" w:hAnsi="Aptos"/>
                <w:sz w:val="17"/>
              </w:rPr>
              <w:t>Managed Operations</w:t>
            </w:r>
          </w:p>
        </w:tc>
      </w:tr>
      <w:tr>
        <w:tc>
          <w:tcPr>
            <w:tcW w:type="dxa" w:w="2016"/>
            <w:vAlign w:val="center"/>
            <w:tcMar>
              <w:top w:w="120" w:type="dxa"/>
              <w:start w:w="120" w:type="dxa"/>
              <w:bottom w:w="120" w:type="dxa"/>
              <w:end w:w="120" w:type="dxa"/>
            </w:tcMar>
          </w:tcPr>
          <w:p>
            <w:pPr>
              <w:spacing w:after="40"/>
            </w:pPr>
            <w:r>
              <w:rPr>
                <w:rFonts w:ascii="Aptos" w:hAnsi="Aptos"/>
                <w:sz w:val="17"/>
              </w:rPr>
              <w:t>Tailwind</w:t>
            </w:r>
          </w:p>
        </w:tc>
        <w:tc>
          <w:tcPr>
            <w:tcW w:type="dxa" w:w="2016"/>
            <w:vAlign w:val="center"/>
            <w:tcMar>
              <w:top w:w="120" w:type="dxa"/>
              <w:start w:w="120" w:type="dxa"/>
              <w:bottom w:w="120" w:type="dxa"/>
              <w:end w:w="120" w:type="dxa"/>
            </w:tcMar>
          </w:tcPr>
          <w:p>
            <w:pPr>
              <w:spacing w:after="40"/>
            </w:pPr>
            <w:r>
              <w:rPr>
                <w:rFonts w:ascii="Aptos" w:hAnsi="Aptos"/>
                <w:sz w:val="17"/>
              </w:rPr>
              <w:t>AI-enabled delivery automation</w:t>
            </w:r>
          </w:p>
        </w:tc>
        <w:tc>
          <w:tcPr>
            <w:tcW w:type="dxa" w:w="2016"/>
            <w:vAlign w:val="center"/>
            <w:tcMar>
              <w:top w:w="120" w:type="dxa"/>
              <w:start w:w="120" w:type="dxa"/>
              <w:bottom w:w="120" w:type="dxa"/>
              <w:end w:w="120" w:type="dxa"/>
            </w:tcMar>
          </w:tcPr>
          <w:p>
            <w:pPr>
              <w:spacing w:after="40"/>
            </w:pPr>
            <w:r>
              <w:rPr>
                <w:rFonts w:ascii="Aptos" w:hAnsi="Aptos"/>
                <w:sz w:val="17"/>
              </w:rPr>
              <w:t>Medium</w:t>
            </w:r>
          </w:p>
        </w:tc>
        <w:tc>
          <w:tcPr>
            <w:tcW w:type="dxa" w:w="2016"/>
            <w:vAlign w:val="center"/>
            <w:tcMar>
              <w:top w:w="120" w:type="dxa"/>
              <w:start w:w="120" w:type="dxa"/>
              <w:bottom w:w="120" w:type="dxa"/>
              <w:end w:w="120" w:type="dxa"/>
            </w:tcMar>
          </w:tcPr>
          <w:p>
            <w:pPr>
              <w:spacing w:after="40"/>
            </w:pPr>
            <w:r>
              <w:rPr>
                <w:rFonts w:ascii="Aptos" w:hAnsi="Aptos"/>
                <w:sz w:val="17"/>
              </w:rPr>
              <w:t>Gross Margin</w:t>
            </w:r>
          </w:p>
        </w:tc>
        <w:tc>
          <w:tcPr>
            <w:tcW w:type="dxa" w:w="2016"/>
            <w:vAlign w:val="center"/>
            <w:tcMar>
              <w:top w:w="120" w:type="dxa"/>
              <w:start w:w="120" w:type="dxa"/>
              <w:bottom w:w="120" w:type="dxa"/>
              <w:end w:w="120" w:type="dxa"/>
            </w:tcMar>
          </w:tcPr>
          <w:p>
            <w:pPr>
              <w:spacing w:after="40"/>
            </w:pPr>
            <w:r>
              <w:rPr>
                <w:rFonts w:ascii="Aptos" w:hAnsi="Aptos"/>
                <w:sz w:val="17"/>
              </w:rPr>
              <w:t>Managed Operations; Cloud Services</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Tailwind</w:t>
            </w:r>
          </w:p>
        </w:tc>
        <w:tc>
          <w:tcPr>
            <w:tcW w:type="dxa" w:w="2016"/>
            <w:vAlign w:val="center"/>
            <w:tcMar>
              <w:top w:w="120" w:type="dxa"/>
              <w:start w:w="120" w:type="dxa"/>
              <w:bottom w:w="120" w:type="dxa"/>
              <w:end w:w="120" w:type="dxa"/>
            </w:tcMar>
            <w:shd w:fill="F8FBFC"/>
          </w:tcPr>
          <w:p>
            <w:pPr>
              <w:spacing w:after="40"/>
            </w:pPr>
            <w:r>
              <w:rPr>
                <w:rFonts w:ascii="Aptos" w:hAnsi="Aptos"/>
                <w:sz w:val="17"/>
              </w:rPr>
              <w:t>Data modernization cross-sell</w:t>
            </w:r>
          </w:p>
        </w:tc>
        <w:tc>
          <w:tcPr>
            <w:tcW w:type="dxa" w:w="2016"/>
            <w:vAlign w:val="center"/>
            <w:tcMar>
              <w:top w:w="120" w:type="dxa"/>
              <w:start w:w="120" w:type="dxa"/>
              <w:bottom w:w="120" w:type="dxa"/>
              <w:end w:w="120" w:type="dxa"/>
            </w:tcMar>
            <w:shd w:fill="F8FBFC"/>
          </w:tcPr>
          <w:p>
            <w:pPr>
              <w:spacing w:after="40"/>
            </w:pPr>
            <w:r>
              <w:rPr>
                <w:rFonts w:ascii="Aptos" w:hAnsi="Aptos"/>
                <w:sz w:val="17"/>
              </w:rPr>
              <w:t>Medium</w:t>
            </w:r>
          </w:p>
        </w:tc>
        <w:tc>
          <w:tcPr>
            <w:tcW w:type="dxa" w:w="2016"/>
            <w:vAlign w:val="center"/>
            <w:tcMar>
              <w:top w:w="120" w:type="dxa"/>
              <w:start w:w="120" w:type="dxa"/>
              <w:bottom w:w="120" w:type="dxa"/>
              <w:end w:w="120" w:type="dxa"/>
            </w:tcMar>
            <w:shd w:fill="F8FBFC"/>
          </w:tcPr>
          <w:p>
            <w:pPr>
              <w:spacing w:after="40"/>
            </w:pPr>
            <w:r>
              <w:rPr>
                <w:rFonts w:ascii="Aptos" w:hAnsi="Aptos"/>
                <w:sz w:val="17"/>
              </w:rPr>
              <w:t>Revenue Growth</w:t>
            </w:r>
          </w:p>
        </w:tc>
        <w:tc>
          <w:tcPr>
            <w:tcW w:type="dxa" w:w="2016"/>
            <w:vAlign w:val="center"/>
            <w:tcMar>
              <w:top w:w="120" w:type="dxa"/>
              <w:start w:w="120" w:type="dxa"/>
              <w:bottom w:w="120" w:type="dxa"/>
              <w:end w:w="120" w:type="dxa"/>
            </w:tcMar>
            <w:shd w:fill="F8FBFC"/>
          </w:tcPr>
          <w:p>
            <w:pPr>
              <w:spacing w:after="40"/>
            </w:pPr>
            <w:r>
              <w:rPr>
                <w:rFonts w:ascii="Aptos" w:hAnsi="Aptos"/>
                <w:sz w:val="17"/>
              </w:rPr>
              <w:t>Data &amp; Analytics</w:t>
            </w:r>
          </w:p>
        </w:tc>
      </w:tr>
      <w:tr>
        <w:tc>
          <w:tcPr>
            <w:tcW w:type="dxa" w:w="2016"/>
            <w:vAlign w:val="center"/>
            <w:tcMar>
              <w:top w:w="120" w:type="dxa"/>
              <w:start w:w="120" w:type="dxa"/>
              <w:bottom w:w="120" w:type="dxa"/>
              <w:end w:w="120" w:type="dxa"/>
            </w:tcMar>
          </w:tcPr>
          <w:p>
            <w:pPr>
              <w:spacing w:after="40"/>
            </w:pPr>
            <w:r>
              <w:rPr>
                <w:rFonts w:ascii="Aptos" w:hAnsi="Aptos"/>
                <w:sz w:val="17"/>
              </w:rPr>
              <w:t>Headwind</w:t>
            </w:r>
          </w:p>
        </w:tc>
        <w:tc>
          <w:tcPr>
            <w:tcW w:type="dxa" w:w="2016"/>
            <w:vAlign w:val="center"/>
            <w:tcMar>
              <w:top w:w="120" w:type="dxa"/>
              <w:start w:w="120" w:type="dxa"/>
              <w:bottom w:w="120" w:type="dxa"/>
              <w:end w:w="120" w:type="dxa"/>
            </w:tcMar>
          </w:tcPr>
          <w:p>
            <w:pPr>
              <w:spacing w:after="40"/>
            </w:pPr>
            <w:r>
              <w:rPr>
                <w:rFonts w:ascii="Aptos" w:hAnsi="Aptos"/>
                <w:sz w:val="17"/>
              </w:rPr>
              <w:t>Cloud hosting cost inflation</w:t>
            </w:r>
          </w:p>
        </w:tc>
        <w:tc>
          <w:tcPr>
            <w:tcW w:type="dxa" w:w="2016"/>
            <w:vAlign w:val="center"/>
            <w:tcMar>
              <w:top w:w="120" w:type="dxa"/>
              <w:start w:w="120" w:type="dxa"/>
              <w:bottom w:w="120" w:type="dxa"/>
              <w:end w:w="120" w:type="dxa"/>
            </w:tcMar>
          </w:tcPr>
          <w:p>
            <w:pPr>
              <w:spacing w:after="40"/>
            </w:pPr>
            <w:r>
              <w:rPr>
                <w:rFonts w:ascii="Aptos" w:hAnsi="Aptos"/>
                <w:sz w:val="17"/>
              </w:rPr>
              <w:t>High</w:t>
            </w:r>
          </w:p>
        </w:tc>
        <w:tc>
          <w:tcPr>
            <w:tcW w:type="dxa" w:w="2016"/>
            <w:vAlign w:val="center"/>
            <w:tcMar>
              <w:top w:w="120" w:type="dxa"/>
              <w:start w:w="120" w:type="dxa"/>
              <w:bottom w:w="120" w:type="dxa"/>
              <w:end w:w="120" w:type="dxa"/>
            </w:tcMar>
          </w:tcPr>
          <w:p>
            <w:pPr>
              <w:spacing w:after="40"/>
            </w:pPr>
            <w:r>
              <w:rPr>
                <w:rFonts w:ascii="Aptos" w:hAnsi="Aptos"/>
                <w:sz w:val="17"/>
              </w:rPr>
              <w:t>Gross Margin</w:t>
            </w:r>
          </w:p>
        </w:tc>
        <w:tc>
          <w:tcPr>
            <w:tcW w:type="dxa" w:w="2016"/>
            <w:vAlign w:val="center"/>
            <w:tcMar>
              <w:top w:w="120" w:type="dxa"/>
              <w:start w:w="120" w:type="dxa"/>
              <w:bottom w:w="120" w:type="dxa"/>
              <w:end w:w="120" w:type="dxa"/>
            </w:tcMar>
          </w:tcPr>
          <w:p>
            <w:pPr>
              <w:spacing w:after="40"/>
            </w:pPr>
            <w:r>
              <w:rPr>
                <w:rFonts w:ascii="Aptos" w:hAnsi="Aptos"/>
                <w:sz w:val="17"/>
              </w:rPr>
              <w:t>Cloud Services</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Headwind</w:t>
            </w:r>
          </w:p>
        </w:tc>
        <w:tc>
          <w:tcPr>
            <w:tcW w:type="dxa" w:w="2016"/>
            <w:vAlign w:val="center"/>
            <w:tcMar>
              <w:top w:w="120" w:type="dxa"/>
              <w:start w:w="120" w:type="dxa"/>
              <w:bottom w:w="120" w:type="dxa"/>
              <w:end w:w="120" w:type="dxa"/>
            </w:tcMar>
            <w:shd w:fill="F8FBFC"/>
          </w:tcPr>
          <w:p>
            <w:pPr>
              <w:spacing w:after="40"/>
            </w:pPr>
            <w:r>
              <w:rPr>
                <w:rFonts w:ascii="Aptos" w:hAnsi="Aptos"/>
                <w:sz w:val="17"/>
              </w:rPr>
              <w:t>Enterprise procurement delays</w:t>
            </w:r>
          </w:p>
        </w:tc>
        <w:tc>
          <w:tcPr>
            <w:tcW w:type="dxa" w:w="2016"/>
            <w:vAlign w:val="center"/>
            <w:tcMar>
              <w:top w:w="120" w:type="dxa"/>
              <w:start w:w="120" w:type="dxa"/>
              <w:bottom w:w="120" w:type="dxa"/>
              <w:end w:w="120" w:type="dxa"/>
            </w:tcMar>
            <w:shd w:fill="F8FBFC"/>
          </w:tcPr>
          <w:p>
            <w:pPr>
              <w:spacing w:after="40"/>
            </w:pPr>
            <w:r>
              <w:rPr>
                <w:rFonts w:ascii="Aptos" w:hAnsi="Aptos"/>
                <w:sz w:val="17"/>
              </w:rPr>
              <w:t>Medium</w:t>
            </w:r>
          </w:p>
        </w:tc>
        <w:tc>
          <w:tcPr>
            <w:tcW w:type="dxa" w:w="2016"/>
            <w:vAlign w:val="center"/>
            <w:tcMar>
              <w:top w:w="120" w:type="dxa"/>
              <w:start w:w="120" w:type="dxa"/>
              <w:bottom w:w="120" w:type="dxa"/>
              <w:end w:w="120" w:type="dxa"/>
            </w:tcMar>
            <w:shd w:fill="F8FBFC"/>
          </w:tcPr>
          <w:p>
            <w:pPr>
              <w:spacing w:after="40"/>
            </w:pPr>
            <w:r>
              <w:rPr>
                <w:rFonts w:ascii="Aptos" w:hAnsi="Aptos"/>
                <w:sz w:val="17"/>
              </w:rPr>
              <w:t>Revenue</w:t>
            </w:r>
          </w:p>
        </w:tc>
        <w:tc>
          <w:tcPr>
            <w:tcW w:type="dxa" w:w="2016"/>
            <w:vAlign w:val="center"/>
            <w:tcMar>
              <w:top w:w="120" w:type="dxa"/>
              <w:start w:w="120" w:type="dxa"/>
              <w:bottom w:w="120" w:type="dxa"/>
              <w:end w:w="120" w:type="dxa"/>
            </w:tcMar>
            <w:shd w:fill="F8FBFC"/>
          </w:tcPr>
          <w:p>
            <w:pPr>
              <w:spacing w:after="40"/>
            </w:pPr>
            <w:r>
              <w:rPr>
                <w:rFonts w:ascii="Aptos" w:hAnsi="Aptos"/>
                <w:sz w:val="17"/>
              </w:rPr>
              <w:t>North America Consulting</w:t>
            </w:r>
          </w:p>
        </w:tc>
      </w:tr>
      <w:tr>
        <w:tc>
          <w:tcPr>
            <w:tcW w:type="dxa" w:w="2016"/>
            <w:vAlign w:val="center"/>
            <w:tcMar>
              <w:top w:w="120" w:type="dxa"/>
              <w:start w:w="120" w:type="dxa"/>
              <w:bottom w:w="120" w:type="dxa"/>
              <w:end w:w="120" w:type="dxa"/>
            </w:tcMar>
          </w:tcPr>
          <w:p>
            <w:pPr>
              <w:spacing w:after="40"/>
            </w:pPr>
            <w:r>
              <w:rPr>
                <w:rFonts w:ascii="Aptos" w:hAnsi="Aptos"/>
                <w:sz w:val="17"/>
              </w:rPr>
              <w:t>Headwind</w:t>
            </w:r>
          </w:p>
        </w:tc>
        <w:tc>
          <w:tcPr>
            <w:tcW w:type="dxa" w:w="2016"/>
            <w:vAlign w:val="center"/>
            <w:tcMar>
              <w:top w:w="120" w:type="dxa"/>
              <w:start w:w="120" w:type="dxa"/>
              <w:bottom w:w="120" w:type="dxa"/>
              <w:end w:w="120" w:type="dxa"/>
            </w:tcMar>
          </w:tcPr>
          <w:p>
            <w:pPr>
              <w:spacing w:after="40"/>
            </w:pPr>
            <w:r>
              <w:rPr>
                <w:rFonts w:ascii="Aptos" w:hAnsi="Aptos"/>
                <w:sz w:val="17"/>
              </w:rPr>
              <w:t>Talent scarcity in cloud architecture</w:t>
            </w:r>
          </w:p>
        </w:tc>
        <w:tc>
          <w:tcPr>
            <w:tcW w:type="dxa" w:w="2016"/>
            <w:vAlign w:val="center"/>
            <w:tcMar>
              <w:top w:w="120" w:type="dxa"/>
              <w:start w:w="120" w:type="dxa"/>
              <w:bottom w:w="120" w:type="dxa"/>
              <w:end w:w="120" w:type="dxa"/>
            </w:tcMar>
          </w:tcPr>
          <w:p>
            <w:pPr>
              <w:spacing w:after="40"/>
            </w:pPr>
            <w:r>
              <w:rPr>
                <w:rFonts w:ascii="Aptos" w:hAnsi="Aptos"/>
                <w:sz w:val="17"/>
              </w:rPr>
              <w:t>Medium</w:t>
            </w:r>
          </w:p>
        </w:tc>
        <w:tc>
          <w:tcPr>
            <w:tcW w:type="dxa" w:w="2016"/>
            <w:vAlign w:val="center"/>
            <w:tcMar>
              <w:top w:w="120" w:type="dxa"/>
              <w:start w:w="120" w:type="dxa"/>
              <w:bottom w:w="120" w:type="dxa"/>
              <w:end w:w="120" w:type="dxa"/>
            </w:tcMar>
          </w:tcPr>
          <w:p>
            <w:pPr>
              <w:spacing w:after="40"/>
            </w:pPr>
            <w:r>
              <w:rPr>
                <w:rFonts w:ascii="Aptos" w:hAnsi="Aptos"/>
                <w:sz w:val="17"/>
              </w:rPr>
              <w:t>COGS</w:t>
            </w:r>
          </w:p>
        </w:tc>
        <w:tc>
          <w:tcPr>
            <w:tcW w:type="dxa" w:w="2016"/>
            <w:vAlign w:val="center"/>
            <w:tcMar>
              <w:top w:w="120" w:type="dxa"/>
              <w:start w:w="120" w:type="dxa"/>
              <w:bottom w:w="120" w:type="dxa"/>
              <w:end w:w="120" w:type="dxa"/>
            </w:tcMar>
          </w:tcPr>
          <w:p>
            <w:pPr>
              <w:spacing w:after="40"/>
            </w:pPr>
            <w:r>
              <w:rPr>
                <w:rFonts w:ascii="Aptos" w:hAnsi="Aptos"/>
                <w:sz w:val="17"/>
              </w:rPr>
              <w:t>Cloud Services</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Headwind</w:t>
            </w:r>
          </w:p>
        </w:tc>
        <w:tc>
          <w:tcPr>
            <w:tcW w:type="dxa" w:w="2016"/>
            <w:vAlign w:val="center"/>
            <w:tcMar>
              <w:top w:w="120" w:type="dxa"/>
              <w:start w:w="120" w:type="dxa"/>
              <w:bottom w:w="120" w:type="dxa"/>
              <w:end w:w="120" w:type="dxa"/>
            </w:tcMar>
            <w:shd w:fill="F8FBFC"/>
          </w:tcPr>
          <w:p>
            <w:pPr>
              <w:spacing w:after="40"/>
            </w:pPr>
            <w:r>
              <w:rPr>
                <w:rFonts w:ascii="Aptos" w:hAnsi="Aptos"/>
                <w:sz w:val="17"/>
              </w:rPr>
              <w:t>Project milestone timing</w:t>
            </w:r>
          </w:p>
        </w:tc>
        <w:tc>
          <w:tcPr>
            <w:tcW w:type="dxa" w:w="2016"/>
            <w:vAlign w:val="center"/>
            <w:tcMar>
              <w:top w:w="120" w:type="dxa"/>
              <w:start w:w="120" w:type="dxa"/>
              <w:bottom w:w="120" w:type="dxa"/>
              <w:end w:w="120" w:type="dxa"/>
            </w:tcMar>
            <w:shd w:fill="F8FBFC"/>
          </w:tcPr>
          <w:p>
            <w:pPr>
              <w:spacing w:after="40"/>
            </w:pPr>
            <w:r>
              <w:rPr>
                <w:rFonts w:ascii="Aptos" w:hAnsi="Aptos"/>
                <w:sz w:val="17"/>
              </w:rPr>
              <w:t>Medium</w:t>
            </w:r>
          </w:p>
        </w:tc>
        <w:tc>
          <w:tcPr>
            <w:tcW w:type="dxa" w:w="2016"/>
            <w:vAlign w:val="center"/>
            <w:tcMar>
              <w:top w:w="120" w:type="dxa"/>
              <w:start w:w="120" w:type="dxa"/>
              <w:bottom w:w="120" w:type="dxa"/>
              <w:end w:w="120" w:type="dxa"/>
            </w:tcMar>
            <w:shd w:fill="F8FBFC"/>
          </w:tcPr>
          <w:p>
            <w:pPr>
              <w:spacing w:after="40"/>
            </w:pPr>
            <w:r>
              <w:rPr>
                <w:rFonts w:ascii="Aptos" w:hAnsi="Aptos"/>
                <w:sz w:val="17"/>
              </w:rPr>
              <w:t>Revenue volatility</w:t>
            </w:r>
          </w:p>
        </w:tc>
        <w:tc>
          <w:tcPr>
            <w:tcW w:type="dxa" w:w="2016"/>
            <w:vAlign w:val="center"/>
            <w:tcMar>
              <w:top w:w="120" w:type="dxa"/>
              <w:start w:w="120" w:type="dxa"/>
              <w:bottom w:w="120" w:type="dxa"/>
              <w:end w:w="120" w:type="dxa"/>
            </w:tcMar>
            <w:shd w:fill="F8FBFC"/>
          </w:tcPr>
          <w:p>
            <w:pPr>
              <w:spacing w:after="40"/>
            </w:pPr>
            <w:r>
              <w:rPr>
                <w:rFonts w:ascii="Aptos" w:hAnsi="Aptos"/>
                <w:sz w:val="17"/>
              </w:rPr>
              <w:t>Data &amp; Analytics</w:t>
            </w:r>
          </w:p>
        </w:tc>
      </w:tr>
    </w:tbl>
    <w:p/>
    <w:p>
      <w:pPr>
        <w:pStyle w:val="Heading1"/>
      </w:pPr>
      <w:r>
        <w:t>Tailwind: Cloud migration demand</w:t>
      </w:r>
    </w:p>
    <w:p>
      <w:pPr>
        <w:spacing w:after="140" w:line="259" w:lineRule="auto"/>
      </w:pPr>
      <w:r>
        <w:t>Detailed context: Enterprise clients continue to migrate legacy workloads to managed cloud environments. Demand is strongest where clients need modernization, security hardening, observability, and cost optimization at the same time. This supports new bookings and expansion of managed services contracts.</w:t>
      </w:r>
    </w:p>
    <w:p>
      <w:pPr>
        <w:spacing w:after="140" w:line="259" w:lineRule="auto"/>
      </w:pPr>
      <w:r>
        <w:t>Primary affected metric: Revenue. Primary affected business unit: Cloud Services. Expected impact level: High.</w:t>
      </w:r>
    </w:p>
    <w:p>
      <w:pPr>
        <w:spacing w:after="140" w:line="259" w:lineRule="auto"/>
      </w:pPr>
      <w:r>
        <w:t>Source signals: Qualified pipeline expansion, higher attach rate for managed operations, and more multi-year proposals.</w:t>
      </w:r>
    </w:p>
    <w:p>
      <w:pPr>
        <w:spacing w:after="140" w:line="259" w:lineRule="auto"/>
      </w:pPr>
      <w:r>
        <w:t>Management action plan: Prioritize enterprise modernization pipeline, package FinOps reviews with implementation work, and protect margin through pass-through clauses.</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cloud migration demand affect revenue?</w:t>
      </w:r>
    </w:p>
    <w:p>
      <w:pPr>
        <w:pStyle w:val="ListBullet"/>
        <w:spacing w:after="60"/>
      </w:pPr>
      <w:r>
        <w:t>Example question: Is cloud migration demand a Q3 guidance risk?</w:t>
      </w:r>
    </w:p>
    <w:p>
      <w:pPr>
        <w:pStyle w:val="ListBullet"/>
        <w:spacing w:after="60"/>
      </w:pPr>
      <w:r>
        <w:t>Example question: Which business unit is most exposed to cloud migration demand?</w:t>
      </w:r>
    </w:p>
    <w:p>
      <w:pPr>
        <w:pStyle w:val="Heading1"/>
      </w:pPr>
      <w:r>
        <w:t>Tailwind: Managed Operations renewal base</w:t>
      </w:r>
    </w:p>
    <w:p>
      <w:pPr>
        <w:spacing w:after="140" w:line="259" w:lineRule="auto"/>
      </w:pPr>
      <w:r>
        <w:t>Detailed context: The managed operations base provides recurring revenue visibility. Renewals have higher gross margin potential when service automation is already deployed and the delivery team can reuse runbooks and monitoring templates.</w:t>
      </w:r>
    </w:p>
    <w:p>
      <w:pPr>
        <w:spacing w:after="140" w:line="259" w:lineRule="auto"/>
      </w:pPr>
      <w:r>
        <w:t>Primary affected metric: Revenue visibility. Primary affected business unit: Managed Operations. Expected impact level: High.</w:t>
      </w:r>
    </w:p>
    <w:p>
      <w:pPr>
        <w:spacing w:after="140" w:line="259" w:lineRule="auto"/>
      </w:pPr>
      <w:r>
        <w:t>Source signals: Renewal coverage above plan, low churn in strategic accounts, and expanding scope within existing contracts.</w:t>
      </w:r>
    </w:p>
    <w:p>
      <w:pPr>
        <w:spacing w:after="140" w:line="259" w:lineRule="auto"/>
      </w:pPr>
      <w:r>
        <w:t>Management action plan: Strengthen renewal desk process, identify accounts for scope expansion, and refresh renewal risk scoring monthly.</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managed operations renewal base affect revenue visibility?</w:t>
      </w:r>
    </w:p>
    <w:p>
      <w:pPr>
        <w:pStyle w:val="ListBullet"/>
        <w:spacing w:after="60"/>
      </w:pPr>
      <w:r>
        <w:t>Example question: Is managed operations renewal base a Q3 guidance risk?</w:t>
      </w:r>
    </w:p>
    <w:p>
      <w:pPr>
        <w:pStyle w:val="ListBullet"/>
        <w:spacing w:after="60"/>
      </w:pPr>
      <w:r>
        <w:t>Example question: Which business unit is most exposed to managed operations renewal base?</w:t>
      </w:r>
    </w:p>
    <w:p>
      <w:pPr>
        <w:pStyle w:val="Heading1"/>
      </w:pPr>
      <w:r>
        <w:t>Tailwind: AI-enabled delivery automation</w:t>
      </w:r>
    </w:p>
    <w:p>
      <w:pPr>
        <w:spacing w:after="140" w:line="259" w:lineRule="auto"/>
      </w:pPr>
      <w:r>
        <w:t>Detailed context: Automation reduces manual triage, accelerates knowledge retrieval, and standardizes repeatable delivery tasks. Benefits appear first as avoided subcontractor usage, then as improved delivery labor utilization.</w:t>
      </w:r>
    </w:p>
    <w:p>
      <w:pPr>
        <w:spacing w:after="140" w:line="259" w:lineRule="auto"/>
      </w:pPr>
      <w:r>
        <w:t>Primary affected metric: Gross Margin. Primary affected business unit: Managed Operations; Cloud Services. Expected impact level: Medium.</w:t>
      </w:r>
    </w:p>
    <w:p>
      <w:pPr>
        <w:spacing w:after="140" w:line="259" w:lineRule="auto"/>
      </w:pPr>
      <w:r>
        <w:t>Source signals: Lower ticket handling time, higher billable utilization, and fewer escalations requiring specialized subcontractors.</w:t>
      </w:r>
    </w:p>
    <w:p>
      <w:pPr>
        <w:spacing w:after="140" w:line="259" w:lineRule="auto"/>
      </w:pPr>
      <w:r>
        <w:t>Management action plan: Scale automation toolkit, measure hours saved by workflow, and include realized savings in margin bridges.</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ai-enabled delivery automation affect gross margin?</w:t>
      </w:r>
    </w:p>
    <w:p>
      <w:pPr>
        <w:pStyle w:val="ListBullet"/>
        <w:spacing w:after="60"/>
      </w:pPr>
      <w:r>
        <w:t>Example question: Is ai-enabled delivery automation a Q3 guidance risk?</w:t>
      </w:r>
    </w:p>
    <w:p>
      <w:pPr>
        <w:pStyle w:val="ListBullet"/>
        <w:spacing w:after="60"/>
      </w:pPr>
      <w:r>
        <w:t>Example question: Which business unit is most exposed to ai-enabled delivery automation?</w:t>
      </w:r>
    </w:p>
    <w:p>
      <w:pPr>
        <w:pStyle w:val="Heading1"/>
      </w:pPr>
      <w:r>
        <w:t>Tailwind: Data modernization cross-sell</w:t>
      </w:r>
    </w:p>
    <w:p>
      <w:pPr>
        <w:spacing w:after="140" w:line="259" w:lineRule="auto"/>
      </w:pPr>
      <w:r>
        <w:t>Detailed context: Cloud modernization clients often need analytics, governed data pipelines, and reporting rationalization after platform migration. Cross-sell opportunities are strongest in accounts with fragmented data marts and manual KPI reconciliation.</w:t>
      </w:r>
    </w:p>
    <w:p>
      <w:pPr>
        <w:spacing w:after="140" w:line="259" w:lineRule="auto"/>
      </w:pPr>
      <w:r>
        <w:t>Primary affected metric: Revenue Growth. Primary affected business unit: Data &amp; Analytics. Expected impact level: Medium.</w:t>
      </w:r>
    </w:p>
    <w:p>
      <w:pPr>
        <w:spacing w:after="140" w:line="259" w:lineRule="auto"/>
      </w:pPr>
      <w:r>
        <w:t>Source signals: Joint pursuits between Cloud Services and Data &amp; Analytics, increase in analytics discovery workshops, and more data governance add-ons.</w:t>
      </w:r>
    </w:p>
    <w:p>
      <w:pPr>
        <w:spacing w:after="140" w:line="259" w:lineRule="auto"/>
      </w:pPr>
      <w:r>
        <w:t>Management action plan: Run joint go-to-market motions, attach data assessment to cloud migration proposals, and standardize KPI governance offers.</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data modernization cross-sell affect revenue growth?</w:t>
      </w:r>
    </w:p>
    <w:p>
      <w:pPr>
        <w:pStyle w:val="ListBullet"/>
        <w:spacing w:after="60"/>
      </w:pPr>
      <w:r>
        <w:t>Example question: Is data modernization cross-sell a Q3 guidance risk?</w:t>
      </w:r>
    </w:p>
    <w:p>
      <w:pPr>
        <w:pStyle w:val="ListBullet"/>
        <w:spacing w:after="60"/>
      </w:pPr>
      <w:r>
        <w:t>Example question: Which business unit is most exposed to data modernization cross-sell?</w:t>
      </w:r>
    </w:p>
    <w:p>
      <w:pPr>
        <w:pStyle w:val="Heading1"/>
      </w:pPr>
      <w:r>
        <w:t>Headwind: Cloud hosting cost inflation</w:t>
      </w:r>
    </w:p>
    <w:p>
      <w:pPr>
        <w:spacing w:after="140" w:line="259" w:lineRule="auto"/>
      </w:pPr>
      <w:r>
        <w:t>Detailed context: Hosting costs remain elevated as workload volumes grow and vendor pricing pressure persists. Margin is most sensitive where contracts lack pass-through clauses or workload optimization activities lag client growth.</w:t>
      </w:r>
    </w:p>
    <w:p>
      <w:pPr>
        <w:spacing w:after="140" w:line="259" w:lineRule="auto"/>
      </w:pPr>
      <w:r>
        <w:t>Primary affected metric: Gross Margin. Primary affected business unit: Cloud Services. Expected impact level: High.</w:t>
      </w:r>
    </w:p>
    <w:p>
      <w:pPr>
        <w:spacing w:after="140" w:line="259" w:lineRule="auto"/>
      </w:pPr>
      <w:r>
        <w:t>Source signals: Hosting cost growth above revenue growth, lower workload utilization efficiency, and contract terms without indexation.</w:t>
      </w:r>
    </w:p>
    <w:p>
      <w:pPr>
        <w:spacing w:after="140" w:line="259" w:lineRule="auto"/>
      </w:pPr>
      <w:r>
        <w:t>Management action plan: Renegotiate pass-through clauses, run workload optimization, and create contract-level margin watchlists.</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cloud hosting cost inflation affect gross margin?</w:t>
      </w:r>
    </w:p>
    <w:p>
      <w:pPr>
        <w:pStyle w:val="ListBullet"/>
        <w:spacing w:after="60"/>
      </w:pPr>
      <w:r>
        <w:t>Example question: Is cloud hosting cost inflation a Q3 guidance risk?</w:t>
      </w:r>
    </w:p>
    <w:p>
      <w:pPr>
        <w:pStyle w:val="ListBullet"/>
        <w:spacing w:after="60"/>
      </w:pPr>
      <w:r>
        <w:t>Example question: Which business unit is most exposed to cloud hosting cost inflation?</w:t>
      </w:r>
    </w:p>
    <w:p>
      <w:pPr>
        <w:pStyle w:val="Heading1"/>
      </w:pPr>
      <w:r>
        <w:t>Headwind: Enterprise procurement delays</w:t>
      </w:r>
    </w:p>
    <w:p>
      <w:pPr>
        <w:spacing w:after="140" w:line="259" w:lineRule="auto"/>
      </w:pPr>
      <w:r>
        <w:t>Detailed context: Large enterprise buying committees are extending approval cycles. This does not necessarily reduce demand, but it can delay bookings and defer revenue recognition into later quarters.</w:t>
      </w:r>
    </w:p>
    <w:p>
      <w:pPr>
        <w:spacing w:after="140" w:line="259" w:lineRule="auto"/>
      </w:pPr>
      <w:r>
        <w:t>Primary affected metric: Revenue. Primary affected business unit: North America Consulting. Expected impact level: Medium.</w:t>
      </w:r>
    </w:p>
    <w:p>
      <w:pPr>
        <w:spacing w:after="140" w:line="259" w:lineRule="auto"/>
      </w:pPr>
      <w:r>
        <w:t>Source signals: More opportunities stuck in legal/procurement, lower same-quarter conversion, and delayed purchase order issuance.</w:t>
      </w:r>
    </w:p>
    <w:p>
      <w:pPr>
        <w:spacing w:after="140" w:line="259" w:lineRule="auto"/>
      </w:pPr>
      <w:r>
        <w:t>Management action plan: Improve forecast scenario discipline, track late-stage deal slippage weekly, and separate demand health from timing risk.</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enterprise procurement delays affect revenue?</w:t>
      </w:r>
    </w:p>
    <w:p>
      <w:pPr>
        <w:pStyle w:val="ListBullet"/>
        <w:spacing w:after="60"/>
      </w:pPr>
      <w:r>
        <w:t>Example question: Is enterprise procurement delays a Q3 guidance risk?</w:t>
      </w:r>
    </w:p>
    <w:p>
      <w:pPr>
        <w:pStyle w:val="ListBullet"/>
        <w:spacing w:after="60"/>
      </w:pPr>
      <w:r>
        <w:t>Example question: Which business unit is most exposed to enterprise procurement delays?</w:t>
      </w:r>
    </w:p>
    <w:p>
      <w:pPr>
        <w:pStyle w:val="Heading1"/>
      </w:pPr>
      <w:r>
        <w:t>Headwind: Talent scarcity in cloud architecture</w:t>
      </w:r>
    </w:p>
    <w:p>
      <w:pPr>
        <w:spacing w:after="140" w:line="259" w:lineRule="auto"/>
      </w:pPr>
      <w:r>
        <w:t>Detailed context: Specialized cloud architects remain difficult to hire. When demand spikes, the business unit may rely on subcontractors, which raises COGS and can dilute gross margin.</w:t>
      </w:r>
    </w:p>
    <w:p>
      <w:pPr>
        <w:spacing w:after="140" w:line="259" w:lineRule="auto"/>
      </w:pPr>
      <w:r>
        <w:t>Primary affected metric: COGS. Primary affected business unit: Cloud Services. Expected impact level: Medium.</w:t>
      </w:r>
    </w:p>
    <w:p>
      <w:pPr>
        <w:spacing w:after="140" w:line="259" w:lineRule="auto"/>
      </w:pPr>
      <w:r>
        <w:t>Source signals: Open requisitions aging beyond plan, subcontractor spend above budget, and utilization rates above sustainable thresholds.</w:t>
      </w:r>
    </w:p>
    <w:p>
      <w:pPr>
        <w:spacing w:after="140" w:line="259" w:lineRule="auto"/>
      </w:pPr>
      <w:r>
        <w:t>Management action plan: Target certifications, accelerate internal cross-training, and maintain preferred subcontractor rate cards.</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talent scarcity in cloud architecture affect cogs?</w:t>
      </w:r>
    </w:p>
    <w:p>
      <w:pPr>
        <w:pStyle w:val="ListBullet"/>
        <w:spacing w:after="60"/>
      </w:pPr>
      <w:r>
        <w:t>Example question: Is talent scarcity in cloud architecture a Q3 guidance risk?</w:t>
      </w:r>
    </w:p>
    <w:p>
      <w:pPr>
        <w:pStyle w:val="ListBullet"/>
        <w:spacing w:after="60"/>
      </w:pPr>
      <w:r>
        <w:t>Example question: Which business unit is most exposed to talent scarcity in cloud architecture?</w:t>
      </w:r>
    </w:p>
    <w:p>
      <w:pPr>
        <w:pStyle w:val="Heading1"/>
      </w:pPr>
      <w:r>
        <w:t>Headwind: Project milestone timing</w:t>
      </w:r>
    </w:p>
    <w:p>
      <w:pPr>
        <w:spacing w:after="140" w:line="259" w:lineRule="auto"/>
      </w:pPr>
      <w:r>
        <w:t>Detailed context: Milestone-based data projects create monthly revenue volatility. A delayed client signoff can shift revenue from one month or quarter to the next even when delivery work remains on track.</w:t>
      </w:r>
    </w:p>
    <w:p>
      <w:pPr>
        <w:spacing w:after="140" w:line="259" w:lineRule="auto"/>
      </w:pPr>
      <w:r>
        <w:t>Primary affected metric: Revenue volatility. Primary affected business unit: Data &amp; Analytics. Expected impact level: Medium.</w:t>
      </w:r>
    </w:p>
    <w:p>
      <w:pPr>
        <w:spacing w:after="140" w:line="259" w:lineRule="auto"/>
      </w:pPr>
      <w:r>
        <w:t>Source signals: Late client acceptance, delayed data access, unresolved scope dependencies, and uneven milestone billing.</w:t>
      </w:r>
    </w:p>
    <w:p>
      <w:pPr>
        <w:spacing w:after="140" w:line="259" w:lineRule="auto"/>
      </w:pPr>
      <w:r>
        <w:t>Management action plan: Improve milestone governance, track acceptance risk, and distinguish timing variance from demand deterioration.</w:t>
      </w:r>
    </w:p>
    <w:p>
      <w:pPr>
        <w:spacing w:after="140" w:line="259" w:lineRule="auto"/>
      </w:pPr>
      <w:r>
        <w:t>Interpretive caution: This factor may explain a direction or risk, but it should not be used alone to assert that a KPI changed. The system should first calculate the metric movement and then use this factor as supporting explanation if the period and business unit match.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Analyst watch point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Why it matters</w:t>
            </w:r>
          </w:p>
        </w:tc>
      </w:tr>
      <w:tr>
        <w:tc>
          <w:tcPr>
            <w:tcW w:type="dxa" w:w="5040"/>
            <w:vAlign w:val="center"/>
            <w:tcMar>
              <w:top w:w="120" w:type="dxa"/>
              <w:start w:w="120" w:type="dxa"/>
              <w:bottom w:w="120" w:type="dxa"/>
              <w:end w:w="120" w:type="dxa"/>
            </w:tcMar>
          </w:tcPr>
          <w:p>
            <w:pPr>
              <w:spacing w:after="40"/>
            </w:pPr>
            <w:r>
              <w:rPr>
                <w:rFonts w:ascii="Aptos" w:hAnsi="Aptos"/>
                <w:sz w:val="17"/>
              </w:rPr>
              <w:t>Structured metric movement</w:t>
            </w:r>
          </w:p>
        </w:tc>
        <w:tc>
          <w:tcPr>
            <w:tcW w:type="dxa" w:w="5040"/>
            <w:vAlign w:val="center"/>
            <w:tcMar>
              <w:top w:w="120" w:type="dxa"/>
              <w:start w:w="120" w:type="dxa"/>
              <w:bottom w:w="120" w:type="dxa"/>
              <w:end w:w="120" w:type="dxa"/>
            </w:tcMar>
          </w:tcPr>
          <w:p>
            <w:pPr>
              <w:spacing w:after="40"/>
            </w:pPr>
            <w:r>
              <w:rPr>
                <w:rFonts w:ascii="Aptos" w:hAnsi="Aptos"/>
                <w:sz w:val="17"/>
              </w:rPr>
              <w:t>Confirms whether the factor aligns with the financial data.</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Timing versus structural risk</w:t>
            </w:r>
          </w:p>
        </w:tc>
        <w:tc>
          <w:tcPr>
            <w:tcW w:type="dxa" w:w="5040"/>
            <w:vAlign w:val="center"/>
            <w:tcMar>
              <w:top w:w="120" w:type="dxa"/>
              <w:start w:w="120" w:type="dxa"/>
              <w:bottom w:w="120" w:type="dxa"/>
              <w:end w:w="120" w:type="dxa"/>
            </w:tcMar>
            <w:shd w:fill="F8FBFC"/>
          </w:tcPr>
          <w:p>
            <w:pPr>
              <w:spacing w:after="40"/>
            </w:pPr>
            <w:r>
              <w:rPr>
                <w:rFonts w:ascii="Aptos" w:hAnsi="Aptos"/>
                <w:sz w:val="17"/>
              </w:rPr>
              <w:t>Prevents overreacting to one-month volatility.</w:t>
            </w:r>
          </w:p>
        </w:tc>
      </w:tr>
      <w:tr>
        <w:tc>
          <w:tcPr>
            <w:tcW w:type="dxa" w:w="5040"/>
            <w:vAlign w:val="center"/>
            <w:tcMar>
              <w:top w:w="120" w:type="dxa"/>
              <w:start w:w="120" w:type="dxa"/>
              <w:bottom w:w="120" w:type="dxa"/>
              <w:end w:w="120" w:type="dxa"/>
            </w:tcMar>
          </w:tcPr>
          <w:p>
            <w:pPr>
              <w:spacing w:after="40"/>
            </w:pPr>
            <w:r>
              <w:rPr>
                <w:rFonts w:ascii="Aptos" w:hAnsi="Aptos"/>
                <w:sz w:val="17"/>
              </w:rPr>
              <w:t>Management action evidence</w:t>
            </w:r>
          </w:p>
        </w:tc>
        <w:tc>
          <w:tcPr>
            <w:tcW w:type="dxa" w:w="5040"/>
            <w:vAlign w:val="center"/>
            <w:tcMar>
              <w:top w:w="120" w:type="dxa"/>
              <w:start w:w="120" w:type="dxa"/>
              <w:bottom w:w="120" w:type="dxa"/>
              <w:end w:w="120" w:type="dxa"/>
            </w:tcMar>
          </w:tcPr>
          <w:p>
            <w:pPr>
              <w:spacing w:after="40"/>
            </w:pPr>
            <w:r>
              <w:rPr>
                <w:rFonts w:ascii="Aptos" w:hAnsi="Aptos"/>
                <w:sz w:val="17"/>
              </w:rPr>
              <w:t>Shows whether mitigation is underway or only planned.</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Citation quality</w:t>
            </w:r>
          </w:p>
        </w:tc>
        <w:tc>
          <w:tcPr>
            <w:tcW w:type="dxa" w:w="5040"/>
            <w:vAlign w:val="center"/>
            <w:tcMar>
              <w:top w:w="120" w:type="dxa"/>
              <w:start w:w="120" w:type="dxa"/>
              <w:bottom w:w="120" w:type="dxa"/>
              <w:end w:w="120" w:type="dxa"/>
            </w:tcMar>
            <w:shd w:fill="F8FBFC"/>
          </w:tcPr>
          <w:p>
            <w:pPr>
              <w:spacing w:after="40"/>
            </w:pPr>
            <w:r>
              <w:rPr>
                <w:rFonts w:ascii="Aptos" w:hAnsi="Aptos"/>
                <w:sz w:val="17"/>
              </w:rPr>
              <w:t>Ensures answers cite both data and narrative source sections.</w:t>
            </w:r>
          </w:p>
        </w:tc>
      </w:tr>
    </w:tbl>
    <w:p/>
    <w:p>
      <w:pPr>
        <w:pStyle w:val="ListBullet"/>
        <w:spacing w:after="60"/>
      </w:pPr>
      <w:r>
        <w:t>Example question: How does project milestone timing affect revenue volatility?</w:t>
      </w:r>
    </w:p>
    <w:p>
      <w:pPr>
        <w:pStyle w:val="ListBullet"/>
        <w:spacing w:after="60"/>
      </w:pPr>
      <w:r>
        <w:t>Example question: Is project milestone timing a Q3 guidance risk?</w:t>
      </w:r>
    </w:p>
    <w:p>
      <w:pPr>
        <w:pStyle w:val="ListBullet"/>
        <w:spacing w:after="60"/>
      </w:pPr>
      <w:r>
        <w:t>Example question: Which business unit is most exposed to project milestone timing?</w:t>
      </w:r>
    </w:p>
    <w:p>
      <w:r>
        <w:br w:type="page"/>
      </w:r>
    </w:p>
    <w:p>
      <w:pPr>
        <w:pStyle w:val="Heading1"/>
      </w:pPr>
      <w:r>
        <w:t>Appendix A: Extended Factor Narratives for Chunking</w:t>
      </w:r>
    </w:p>
    <w:p>
      <w:pPr>
        <w:spacing w:after="140" w:line="259" w:lineRule="auto"/>
      </w:pPr>
      <w:r>
        <w:t>This appendix adds longer factor profiles and analyst interpretation language so chunking pipelines can test semantic retrieval against realistic narrative density. Each factor is repeated with richer context, evidence thresholds, and recommended copilot behavior.</w:t>
      </w:r>
    </w:p>
    <w:p>
      <w:pPr>
        <w:pStyle w:val="Heading2"/>
      </w:pPr>
      <w:r>
        <w:t>A.1 Extended narrative - Cloud migration demand</w:t>
      </w:r>
    </w:p>
    <w:p>
      <w:pPr>
        <w:spacing w:after="140" w:line="259" w:lineRule="auto"/>
      </w:pPr>
      <w:r>
        <w:t>Cloud migration demand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cloud migration demand, but it should still compute the related KPI from structured data before presenting an answer.</w:t>
      </w:r>
    </w:p>
    <w:p>
      <w:pPr>
        <w:spacing w:after="140" w:line="259" w:lineRule="auto"/>
      </w:pPr>
      <w:r>
        <w:t>Cloud migration demand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cloud migration demand, but it should still compute the related KPI from structured data before presenting an answer.</w:t>
      </w:r>
    </w:p>
    <w:p>
      <w:pPr>
        <w:spacing w:after="140" w:line="259" w:lineRule="auto"/>
      </w:pPr>
      <w:r>
        <w:t>Cloud migration demand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cloud migration demand,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A.2 Extended narrative - Managed Operations renewal base</w:t>
      </w:r>
    </w:p>
    <w:p>
      <w:pPr>
        <w:spacing w:after="140" w:line="259" w:lineRule="auto"/>
      </w:pPr>
      <w:r>
        <w:t>Managed Operations renewal base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managed operations renewal base, but it should still compute the related KPI from structured data before presenting an answer.</w:t>
      </w:r>
    </w:p>
    <w:p>
      <w:pPr>
        <w:spacing w:after="140" w:line="259" w:lineRule="auto"/>
      </w:pPr>
      <w:r>
        <w:t>Managed Operations renewal base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managed operations renewal base, but it should still compute the related KPI from structured data before presenting an answer.</w:t>
      </w:r>
    </w:p>
    <w:p>
      <w:pPr>
        <w:spacing w:after="140" w:line="259" w:lineRule="auto"/>
      </w:pPr>
      <w:r>
        <w:t>Managed Operations renewal base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managed operations renewal base,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A.3 Extended narrative - AI-enabled delivery automation</w:t>
      </w:r>
    </w:p>
    <w:p>
      <w:pPr>
        <w:spacing w:after="140" w:line="259" w:lineRule="auto"/>
      </w:pPr>
      <w:r>
        <w:t>AI-enabled delivery automation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ai-enabled delivery automation, but it should still compute the related KPI from structured data before presenting an answer.</w:t>
      </w:r>
    </w:p>
    <w:p>
      <w:pPr>
        <w:spacing w:after="140" w:line="259" w:lineRule="auto"/>
      </w:pPr>
      <w:r>
        <w:t>AI-enabled delivery automation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ai-enabled delivery automation, but it should still compute the related KPI from structured data before presenting an answer.</w:t>
      </w:r>
    </w:p>
    <w:p>
      <w:pPr>
        <w:spacing w:after="140" w:line="259" w:lineRule="auto"/>
      </w:pPr>
      <w:r>
        <w:t>AI-enabled delivery automation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ai-enabled delivery automation,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A.4 Extended narrative - Data modernization cross-sell</w:t>
      </w:r>
    </w:p>
    <w:p>
      <w:pPr>
        <w:spacing w:after="140" w:line="259" w:lineRule="auto"/>
      </w:pPr>
      <w:r>
        <w:t>Data modernization cross-sell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data modernization cross-sell, but it should still compute the related KPI from structured data before presenting an answer.</w:t>
      </w:r>
    </w:p>
    <w:p>
      <w:pPr>
        <w:spacing w:after="140" w:line="259" w:lineRule="auto"/>
      </w:pPr>
      <w:r>
        <w:t>Data modernization cross-sell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data modernization cross-sell, but it should still compute the related KPI from structured data before presenting an answer.</w:t>
      </w:r>
    </w:p>
    <w:p>
      <w:pPr>
        <w:spacing w:after="140" w:line="259" w:lineRule="auto"/>
      </w:pPr>
      <w:r>
        <w:t>Data modernization cross-sell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data modernization cross-sell,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A.5 Extended narrative - Cloud hosting cost inflation</w:t>
      </w:r>
    </w:p>
    <w:p>
      <w:pPr>
        <w:spacing w:after="140" w:line="259" w:lineRule="auto"/>
      </w:pPr>
      <w:r>
        <w:t>Cloud hosting cost inflation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cloud hosting cost inflation, but it should still compute the related KPI from structured data before presenting an answer.</w:t>
      </w:r>
    </w:p>
    <w:p>
      <w:pPr>
        <w:spacing w:after="140" w:line="259" w:lineRule="auto"/>
      </w:pPr>
      <w:r>
        <w:t>Cloud hosting cost inflation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cloud hosting cost inflation, but it should still compute the related KPI from structured data before presenting an answer.</w:t>
      </w:r>
    </w:p>
    <w:p>
      <w:pPr>
        <w:spacing w:after="140" w:line="259" w:lineRule="auto"/>
      </w:pPr>
      <w:r>
        <w:t>Cloud hosting cost inflation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cloud hosting cost inflation,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A.6 Extended narrative - Enterprise procurement delays</w:t>
      </w:r>
    </w:p>
    <w:p>
      <w:pPr>
        <w:spacing w:after="140" w:line="259" w:lineRule="auto"/>
      </w:pPr>
      <w:r>
        <w:t>Enterprise procurement delays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enterprise procurement delays, but it should still compute the related KPI from structured data before presenting an answer.</w:t>
      </w:r>
    </w:p>
    <w:p>
      <w:pPr>
        <w:spacing w:after="140" w:line="259" w:lineRule="auto"/>
      </w:pPr>
      <w:r>
        <w:t>Enterprise procurement delays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enterprise procurement delays, but it should still compute the related KPI from structured data before presenting an answer.</w:t>
      </w:r>
    </w:p>
    <w:p>
      <w:pPr>
        <w:spacing w:after="140" w:line="259" w:lineRule="auto"/>
      </w:pPr>
      <w:r>
        <w:t>Enterprise procurement delays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enterprise procurement delays,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A.7 Extended narrative - Talent scarcity in cloud architecture</w:t>
      </w:r>
    </w:p>
    <w:p>
      <w:pPr>
        <w:spacing w:after="140" w:line="259" w:lineRule="auto"/>
      </w:pPr>
      <w:r>
        <w:t>Talent scarcity in cloud architecture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talent scarcity in cloud architecture, but it should still compute the related KPI from structured data before presenting an answer.</w:t>
      </w:r>
    </w:p>
    <w:p>
      <w:pPr>
        <w:spacing w:after="140" w:line="259" w:lineRule="auto"/>
      </w:pPr>
      <w:r>
        <w:t>Talent scarcity in cloud architecture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talent scarcity in cloud architecture, but it should still compute the related KPI from structured data before presenting an answer.</w:t>
      </w:r>
    </w:p>
    <w:p>
      <w:pPr>
        <w:spacing w:after="140" w:line="259" w:lineRule="auto"/>
      </w:pPr>
      <w:r>
        <w:t>Talent scarcity in cloud architecture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talent scarcity in cloud architecture,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p>
      <w:pPr>
        <w:pStyle w:val="Heading2"/>
      </w:pPr>
      <w:r>
        <w:t>A.8 Extended narrative - Project milestone timing</w:t>
      </w:r>
    </w:p>
    <w:p>
      <w:pPr>
        <w:spacing w:after="140" w:line="259" w:lineRule="auto"/>
      </w:pPr>
      <w:r>
        <w:t>Project milestone timing narrative layer 1: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project milestone timing, but it should still compute the related KPI from structured data before presenting an answer.</w:t>
      </w:r>
    </w:p>
    <w:p>
      <w:pPr>
        <w:spacing w:after="140" w:line="259" w:lineRule="auto"/>
      </w:pPr>
      <w:r>
        <w:t>Project milestone timing narrative layer 2: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project milestone timing, but it should still compute the related KPI from structured data before presenting an answer.</w:t>
      </w:r>
    </w:p>
    <w:p>
      <w:pPr>
        <w:spacing w:after="140" w:line="259" w:lineRule="auto"/>
      </w:pPr>
      <w:r>
        <w:t>Project milestone timing narrative layer 3: Analysts should evaluate this factor through a finance lens, not a generic business lens. The question is not only whether the factor exists, but whether it is visible in revenue conversion, COGS behavior, gross margin, EBITDA, cash timing, or forecast confidence. In a realistic finance review, this factor would be discussed with both quantitative evidence and management commentary. The copilot should retrieve this passage when a user asks about project milestone timing, but it should still compute the related KPI from structured data before presenting an answer.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Evidence item</w:t>
            </w:r>
          </w:p>
        </w:tc>
        <w:tc>
          <w:tcPr>
            <w:tcW w:type="dxa" w:w="3360"/>
            <w:vAlign w:val="center"/>
            <w:tcMar>
              <w:top w:w="100" w:type="dxa"/>
              <w:start w:w="100" w:type="dxa"/>
              <w:bottom w:w="100" w:type="dxa"/>
              <w:end w:w="100" w:type="dxa"/>
            </w:tcMar>
            <w:shd w:fill="0E7C86"/>
          </w:tcPr>
          <w:p>
            <w:pPr>
              <w:spacing w:after="40"/>
            </w:pPr>
            <w:r>
              <w:rPr>
                <w:b/>
                <w:color w:val="FFFFFF"/>
                <w:sz w:val="17"/>
              </w:rPr>
              <w:t>How analyst should use it</w:t>
            </w:r>
          </w:p>
        </w:tc>
        <w:tc>
          <w:tcPr>
            <w:tcW w:type="dxa" w:w="3360"/>
            <w:vAlign w:val="center"/>
            <w:tcMar>
              <w:top w:w="100" w:type="dxa"/>
              <w:start w:w="100" w:type="dxa"/>
              <w:bottom w:w="100" w:type="dxa"/>
              <w:end w:w="100" w:type="dxa"/>
            </w:tcMar>
            <w:shd w:fill="0E7C86"/>
          </w:tcPr>
          <w:p>
            <w:pPr>
              <w:spacing w:after="40"/>
            </w:pPr>
            <w:r>
              <w:rPr>
                <w:b/>
                <w:color w:val="FFFFFF"/>
                <w:sz w:val="17"/>
              </w:rPr>
              <w:t>Copilot behavior</w:t>
            </w:r>
          </w:p>
        </w:tc>
      </w:tr>
      <w:tr>
        <w:tc>
          <w:tcPr>
            <w:tcW w:type="dxa" w:w="3360"/>
            <w:vAlign w:val="center"/>
            <w:tcMar>
              <w:top w:w="100" w:type="dxa"/>
              <w:start w:w="100" w:type="dxa"/>
              <w:bottom w:w="100" w:type="dxa"/>
              <w:end w:w="100" w:type="dxa"/>
            </w:tcMar>
          </w:tcPr>
          <w:p>
            <w:pPr>
              <w:spacing w:after="40"/>
            </w:pPr>
            <w:r>
              <w:rPr>
                <w:sz w:val="17"/>
              </w:rPr>
              <w:t>Structured KPI trend</w:t>
            </w:r>
          </w:p>
        </w:tc>
        <w:tc>
          <w:tcPr>
            <w:tcW w:type="dxa" w:w="3360"/>
            <w:vAlign w:val="center"/>
            <w:tcMar>
              <w:top w:w="100" w:type="dxa"/>
              <w:start w:w="100" w:type="dxa"/>
              <w:bottom w:w="100" w:type="dxa"/>
              <w:end w:w="100" w:type="dxa"/>
            </w:tcMar>
          </w:tcPr>
          <w:p>
            <w:pPr>
              <w:spacing w:after="40"/>
            </w:pPr>
            <w:r>
              <w:rPr>
                <w:sz w:val="17"/>
              </w:rPr>
              <w:t>Confirms whether the factor aligns with actual financial movement.</w:t>
            </w:r>
          </w:p>
        </w:tc>
        <w:tc>
          <w:tcPr>
            <w:tcW w:type="dxa" w:w="3360"/>
            <w:vAlign w:val="center"/>
            <w:tcMar>
              <w:top w:w="100" w:type="dxa"/>
              <w:start w:w="100" w:type="dxa"/>
              <w:bottom w:w="100" w:type="dxa"/>
              <w:end w:w="100" w:type="dxa"/>
            </w:tcMar>
          </w:tcPr>
          <w:p>
            <w:pPr>
              <w:spacing w:after="40"/>
            </w:pPr>
            <w:r>
              <w:rPr>
                <w:sz w:val="17"/>
              </w:rPr>
              <w:t>Calculate first, then explain.</w:t>
            </w:r>
          </w:p>
        </w:tc>
      </w:tr>
      <w:tr>
        <w:tc>
          <w:tcPr>
            <w:tcW w:type="dxa" w:w="3360"/>
            <w:vAlign w:val="center"/>
            <w:tcMar>
              <w:top w:w="100" w:type="dxa"/>
              <w:start w:w="100" w:type="dxa"/>
              <w:bottom w:w="100" w:type="dxa"/>
              <w:end w:w="100" w:type="dxa"/>
            </w:tcMar>
            <w:shd w:fill="F8FBFC"/>
          </w:tcPr>
          <w:p>
            <w:pPr>
              <w:spacing w:after="40"/>
            </w:pPr>
            <w:r>
              <w:rPr>
                <w:sz w:val="17"/>
              </w:rPr>
              <w:t>Management commentary</w:t>
            </w:r>
          </w:p>
        </w:tc>
        <w:tc>
          <w:tcPr>
            <w:tcW w:type="dxa" w:w="3360"/>
            <w:vAlign w:val="center"/>
            <w:tcMar>
              <w:top w:w="100" w:type="dxa"/>
              <w:start w:w="100" w:type="dxa"/>
              <w:bottom w:w="100" w:type="dxa"/>
              <w:end w:w="100" w:type="dxa"/>
            </w:tcMar>
            <w:shd w:fill="F8FBFC"/>
          </w:tcPr>
          <w:p>
            <w:pPr>
              <w:spacing w:after="40"/>
            </w:pPr>
            <w:r>
              <w:rPr>
                <w:sz w:val="17"/>
              </w:rPr>
              <w:t>Provides business context for the movement.</w:t>
            </w:r>
          </w:p>
        </w:tc>
        <w:tc>
          <w:tcPr>
            <w:tcW w:type="dxa" w:w="3360"/>
            <w:vAlign w:val="center"/>
            <w:tcMar>
              <w:top w:w="100" w:type="dxa"/>
              <w:start w:w="100" w:type="dxa"/>
              <w:bottom w:w="100" w:type="dxa"/>
              <w:end w:w="100" w:type="dxa"/>
            </w:tcMar>
            <w:shd w:fill="F8FBFC"/>
          </w:tcPr>
          <w:p>
            <w:pPr>
              <w:spacing w:after="40"/>
            </w:pPr>
            <w:r>
              <w:rPr>
                <w:sz w:val="17"/>
              </w:rPr>
              <w:t>Cite as narrative support.</w:t>
            </w:r>
          </w:p>
        </w:tc>
      </w:tr>
      <w:tr>
        <w:tc>
          <w:tcPr>
            <w:tcW w:type="dxa" w:w="3360"/>
            <w:vAlign w:val="center"/>
            <w:tcMar>
              <w:top w:w="100" w:type="dxa"/>
              <w:start w:w="100" w:type="dxa"/>
              <w:bottom w:w="100" w:type="dxa"/>
              <w:end w:w="100" w:type="dxa"/>
            </w:tcMar>
          </w:tcPr>
          <w:p>
            <w:pPr>
              <w:spacing w:after="40"/>
            </w:pPr>
            <w:r>
              <w:rPr>
                <w:sz w:val="17"/>
              </w:rPr>
              <w:t>Timing indicator</w:t>
            </w:r>
          </w:p>
        </w:tc>
        <w:tc>
          <w:tcPr>
            <w:tcW w:type="dxa" w:w="3360"/>
            <w:vAlign w:val="center"/>
            <w:tcMar>
              <w:top w:w="100" w:type="dxa"/>
              <w:start w:w="100" w:type="dxa"/>
              <w:bottom w:w="100" w:type="dxa"/>
              <w:end w:w="100" w:type="dxa"/>
            </w:tcMar>
          </w:tcPr>
          <w:p>
            <w:pPr>
              <w:spacing w:after="40"/>
            </w:pPr>
            <w:r>
              <w:rPr>
                <w:sz w:val="17"/>
              </w:rPr>
              <w:t>Helps determine if the factor is temporary or structural.</w:t>
            </w:r>
          </w:p>
        </w:tc>
        <w:tc>
          <w:tcPr>
            <w:tcW w:type="dxa" w:w="3360"/>
            <w:vAlign w:val="center"/>
            <w:tcMar>
              <w:top w:w="100" w:type="dxa"/>
              <w:start w:w="100" w:type="dxa"/>
              <w:bottom w:w="100" w:type="dxa"/>
              <w:end w:w="100" w:type="dxa"/>
            </w:tcMar>
          </w:tcPr>
          <w:p>
            <w:pPr>
              <w:spacing w:after="40"/>
            </w:pPr>
            <w:r>
              <w:rPr>
                <w:sz w:val="17"/>
              </w:rPr>
              <w:t>State assumptions and limitations.</w:t>
            </w:r>
          </w:p>
        </w:tc>
      </w:tr>
      <w:tr>
        <w:tc>
          <w:tcPr>
            <w:tcW w:type="dxa" w:w="3360"/>
            <w:vAlign w:val="center"/>
            <w:tcMar>
              <w:top w:w="100" w:type="dxa"/>
              <w:start w:w="100" w:type="dxa"/>
              <w:bottom w:w="100" w:type="dxa"/>
              <w:end w:w="100" w:type="dxa"/>
            </w:tcMar>
            <w:shd w:fill="F8FBFC"/>
          </w:tcPr>
          <w:p>
            <w:pPr>
              <w:spacing w:after="40"/>
            </w:pPr>
            <w:r>
              <w:rPr>
                <w:sz w:val="17"/>
              </w:rPr>
              <w:t>Mitigation plan</w:t>
            </w:r>
          </w:p>
        </w:tc>
        <w:tc>
          <w:tcPr>
            <w:tcW w:type="dxa" w:w="3360"/>
            <w:vAlign w:val="center"/>
            <w:tcMar>
              <w:top w:w="100" w:type="dxa"/>
              <w:start w:w="100" w:type="dxa"/>
              <w:bottom w:w="100" w:type="dxa"/>
              <w:end w:w="100" w:type="dxa"/>
            </w:tcMar>
            <w:shd w:fill="F8FBFC"/>
          </w:tcPr>
          <w:p>
            <w:pPr>
              <w:spacing w:after="40"/>
            </w:pPr>
            <w:r>
              <w:rPr>
                <w:sz w:val="17"/>
              </w:rPr>
              <w:t>Shows whether management has a response.</w:t>
            </w:r>
          </w:p>
        </w:tc>
        <w:tc>
          <w:tcPr>
            <w:tcW w:type="dxa" w:w="3360"/>
            <w:vAlign w:val="center"/>
            <w:tcMar>
              <w:top w:w="100" w:type="dxa"/>
              <w:start w:w="100" w:type="dxa"/>
              <w:bottom w:w="100" w:type="dxa"/>
              <w:end w:w="100" w:type="dxa"/>
            </w:tcMar>
            <w:shd w:fill="F8FBFC"/>
          </w:tcPr>
          <w:p>
            <w:pPr>
              <w:spacing w:after="40"/>
            </w:pPr>
            <w:r>
              <w:rPr>
                <w:sz w:val="17"/>
              </w:rPr>
              <w:t>Summarize action without overstating impact.</w:t>
            </w:r>
          </w:p>
        </w:tc>
      </w:tr>
    </w:tbl>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