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F4E79"/>
          <w:sz w:val="48"/>
        </w:rPr>
        <w:t>Upcoming Growth Drivers Commentary - Management and Analyst Deep Dive</w:t>
      </w:r>
    </w:p>
    <w:p>
      <w:pPr>
        <w:jc w:val="center"/>
      </w:pPr>
      <w:r>
        <w:rPr>
          <w:i/>
          <w:color w:val="0E7C86"/>
          <w:sz w:val="26"/>
        </w:rPr>
        <w:t>Detailed growth thesis, driver economics, execution requirements, and analyst challenge questions</w:t>
      </w:r>
    </w:p>
    <w:p>
      <w:pPr>
        <w:spacing w:before="360"/>
        <w:jc w:val="center"/>
      </w:pPr>
      <w:r>
        <w:rPr>
          <w:b/>
          <w:sz w:val="28"/>
        </w:rPr>
        <w:t>Asteria Digital Solutions, Inc.</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shd w:fill="1F4E79"/>
          </w:tcPr>
          <w:p>
            <w:pPr>
              <w:spacing w:after="40"/>
            </w:pPr>
            <w:r>
              <w:rPr>
                <w:rFonts w:ascii="Aptos" w:hAnsi="Aptos"/>
                <w:b/>
                <w:color w:val="FFFFFF"/>
                <w:sz w:val="17"/>
              </w:rPr>
              <w:t>Document Type</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Growth Driver Report</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Prepared For</w:t>
            </w:r>
          </w:p>
        </w:tc>
        <w:tc>
          <w:tcPr>
            <w:tcW w:type="dxa" w:w="5040"/>
            <w:vAlign w:val="center"/>
            <w:tcMar>
              <w:top w:w="120" w:type="dxa"/>
              <w:start w:w="120" w:type="dxa"/>
              <w:bottom w:w="120" w:type="dxa"/>
              <w:end w:w="120" w:type="dxa"/>
            </w:tcMar>
          </w:tcPr>
          <w:p>
            <w:pPr>
              <w:spacing w:after="40"/>
            </w:pPr>
            <w:r>
              <w:rPr>
                <w:rFonts w:ascii="Aptos" w:hAnsi="Aptos"/>
                <w:sz w:val="17"/>
              </w:rPr>
              <w:t>Financial Analyst Copilot Capstone MVP</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Dataset</w:t>
            </w:r>
          </w:p>
        </w:tc>
        <w:tc>
          <w:tcPr>
            <w:tcW w:type="dxa" w:w="5040"/>
            <w:vAlign w:val="center"/>
            <w:tcMar>
              <w:top w:w="120" w:type="dxa"/>
              <w:start w:w="120" w:type="dxa"/>
              <w:bottom w:w="120" w:type="dxa"/>
              <w:end w:w="120" w:type="dxa"/>
            </w:tcMar>
            <w:shd w:fill="F8FBFC"/>
          </w:tcPr>
          <w:p>
            <w:pPr>
              <w:spacing w:after="40"/>
            </w:pPr>
            <w:r>
              <w:rPr>
                <w:rFonts w:ascii="Aptos" w:hAnsi="Aptos"/>
                <w:sz w:val="17"/>
              </w:rPr>
              <w:t>Synthetic company and finance data</w:t>
            </w:r>
          </w:p>
        </w:tc>
      </w:tr>
      <w:tr>
        <w:tc>
          <w:tcPr>
            <w:tcW w:type="dxa" w:w="5040"/>
            <w:vAlign w:val="center"/>
            <w:tcMar>
              <w:top w:w="120" w:type="dxa"/>
              <w:start w:w="120" w:type="dxa"/>
              <w:bottom w:w="120" w:type="dxa"/>
              <w:end w:w="120" w:type="dxa"/>
            </w:tcMar>
            <w:shd w:fill="EAF3F8"/>
          </w:tcPr>
          <w:p>
            <w:pPr>
              <w:spacing w:after="40"/>
            </w:pPr>
            <w:r>
              <w:rPr>
                <w:rFonts w:ascii="Aptos" w:hAnsi="Aptos"/>
                <w:b/>
                <w:color w:val="1F4E79"/>
                <w:sz w:val="17"/>
              </w:rPr>
              <w:t>Document Date</w:t>
            </w:r>
          </w:p>
        </w:tc>
        <w:tc>
          <w:tcPr>
            <w:tcW w:type="dxa" w:w="5040"/>
            <w:vAlign w:val="center"/>
            <w:tcMar>
              <w:top w:w="120" w:type="dxa"/>
              <w:start w:w="120" w:type="dxa"/>
              <w:bottom w:w="120" w:type="dxa"/>
              <w:end w:w="120" w:type="dxa"/>
            </w:tcMar>
          </w:tcPr>
          <w:p>
            <w:pPr>
              <w:spacing w:after="40"/>
            </w:pPr>
            <w:r>
              <w:rPr>
                <w:rFonts w:ascii="Aptos" w:hAnsi="Aptos"/>
                <w:sz w:val="17"/>
              </w:rPr>
              <w:t>September 30, 2026</w:t>
            </w:r>
          </w:p>
        </w:tc>
      </w:tr>
      <w:tr>
        <w:tc>
          <w:tcPr>
            <w:tcW w:type="dxa" w:w="5040"/>
            <w:vAlign w:val="center"/>
            <w:tcMar>
              <w:top w:w="120" w:type="dxa"/>
              <w:start w:w="120" w:type="dxa"/>
              <w:bottom w:w="120" w:type="dxa"/>
              <w:end w:w="120" w:type="dxa"/>
            </w:tcMar>
            <w:shd w:fill="F8FBFC"/>
            <w:shd w:fill="EAF3F8"/>
          </w:tcPr>
          <w:p>
            <w:pPr>
              <w:spacing w:after="40"/>
            </w:pPr>
            <w:r>
              <w:rPr>
                <w:rFonts w:ascii="Aptos" w:hAnsi="Aptos"/>
                <w:b/>
                <w:color w:val="1F4E79"/>
                <w:sz w:val="17"/>
              </w:rPr>
              <w:t>RAG Use</w:t>
            </w:r>
          </w:p>
        </w:tc>
        <w:tc>
          <w:tcPr>
            <w:tcW w:type="dxa" w:w="5040"/>
            <w:vAlign w:val="center"/>
            <w:tcMar>
              <w:top w:w="120" w:type="dxa"/>
              <w:start w:w="120" w:type="dxa"/>
              <w:bottom w:w="120" w:type="dxa"/>
              <w:end w:w="120" w:type="dxa"/>
            </w:tcMar>
            <w:shd w:fill="F8FBFC"/>
          </w:tcPr>
          <w:p>
            <w:pPr>
              <w:spacing w:after="40"/>
            </w:pPr>
            <w:r>
              <w:rPr>
                <w:rFonts w:ascii="Aptos" w:hAnsi="Aptos"/>
                <w:sz w:val="17"/>
              </w:rPr>
              <w:t>Chunking, retrieval, citation tests, narrative grounding</w:t>
            </w:r>
          </w:p>
        </w:tc>
      </w:tr>
    </w:tbl>
    <w:p>
      <w:pPr>
        <w:spacing w:before="360"/>
        <w:jc w:val="center"/>
      </w:pPr>
      <w:r>
        <w:rPr>
          <w:color w:val="646464"/>
          <w:sz w:val="18"/>
        </w:rPr>
        <w:t>Synthetic data pack for Financial Analyst Copilot capstone - not real company data</w:t>
      </w:r>
    </w:p>
    <w:p>
      <w:r>
        <w:br w:type="page"/>
      </w:r>
    </w:p>
    <w:p>
      <w:pPr>
        <w:pStyle w:val="Heading1"/>
      </w:pPr>
      <w:r>
        <w:t>Management Commentary Summary</w:t>
      </w:r>
    </w:p>
    <w:p>
      <w:pPr>
        <w:spacing w:after="140" w:line="259" w:lineRule="auto"/>
      </w:pPr>
      <w:r>
        <w:t>Management believes upcoming growth will come from a combination of recurring revenue expansion, cloud modernization demand, data modernization cross-sell, and productivity from AI-enabled delivery. The most important caveat is that management is prioritizing profitable growth rather than total revenue growth alone.</w:t>
      </w:r>
    </w:p>
    <w:p>
      <w:pPr>
        <w:spacing w:after="140" w:line="259" w:lineRule="auto"/>
      </w:pPr>
      <w:r>
        <w:t>The growth algorithm is intentionally multi-factor. Cloud modernization creates the initial demand signal. Managed operations turns project wins into recurring revenue. Data modernization creates cross-sell and consulting expansion. AI delivery automation is expected to protect margin as scale increases. Finance analysts should evaluate each driver separately because the evidence and KPIs differ by driver.</w:t>
      </w:r>
    </w:p>
    <w:p>
      <w:pPr>
        <w:pStyle w:val="Heading2"/>
      </w:pPr>
      <w:r>
        <w:t>Growth Driver 1: Enterprise cloud modernization</w:t>
      </w:r>
    </w:p>
    <w:p>
      <w:pPr>
        <w:spacing w:after="140" w:line="259" w:lineRule="auto"/>
      </w:pPr>
      <w:r>
        <w:t>Demand for modernization, observability, security hardening, and cost optimization remains the most important near-term growth driver. Management expects cloud modernization to pull through managed services and analytics work when proposal teams include post-migration operating support.</w:t>
      </w:r>
    </w:p>
    <w:p>
      <w:pPr>
        <w:spacing w:after="140" w:line="259" w:lineRule="auto"/>
      </w:pPr>
      <w:r>
        <w:t>Management commentary: Enterprise cloud modernization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enterprise cloud modernization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2: Managed operations expansion</w:t>
      </w:r>
    </w:p>
    <w:p>
      <w:pPr>
        <w:spacing w:after="140" w:line="259" w:lineRule="auto"/>
      </w:pPr>
      <w:r>
        <w:t>Multi-year managed operations contracts provide stable recurring revenue and better visibility for guidance. Growth depends on renewals, expansion clauses, and service automation that improves margin as contracts mature.</w:t>
      </w:r>
    </w:p>
    <w:p>
      <w:pPr>
        <w:spacing w:after="140" w:line="259" w:lineRule="auto"/>
      </w:pPr>
      <w:r>
        <w:t>Management commentary: Managed operations expansion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managed operations expansion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3: AI-enabled delivery productivity</w:t>
      </w:r>
    </w:p>
    <w:p>
      <w:pPr>
        <w:spacing w:after="140" w:line="259" w:lineRule="auto"/>
      </w:pPr>
      <w:r>
        <w:t>The delivery automation roadmap is intended to reduce manual effort, shrink triage time, improve knowledge reuse, and lower subcontractor dependence. Management does not assume immediate margin uplift in every unit; benefits are expected to ramp as reusable tools are embedded in delivery workflows.</w:t>
      </w:r>
    </w:p>
    <w:p>
      <w:pPr>
        <w:spacing w:after="140" w:line="259" w:lineRule="auto"/>
      </w:pPr>
      <w:r>
        <w:t>Management commentary: AI-enabled delivery productivity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ai-enabled delivery productivity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4: Data modernization and KPI governance</w:t>
      </w:r>
    </w:p>
    <w:p>
      <w:pPr>
        <w:spacing w:after="140" w:line="259" w:lineRule="auto"/>
      </w:pPr>
      <w:r>
        <w:t>Clients that modernize cloud platforms often need governed data models, standardized metrics, and reporting rationalization. This creates a natural cross-sell path for Data &amp; Analytics when sales teams identify fragmented KPI definitions and manual reporting effort.</w:t>
      </w:r>
    </w:p>
    <w:p>
      <w:pPr>
        <w:spacing w:after="140" w:line="259" w:lineRule="auto"/>
      </w:pPr>
      <w:r>
        <w:t>Management commentary: Data modernization and KPI governance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data modernization and kpi governance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5: FinOps and workload optimization</w:t>
      </w:r>
    </w:p>
    <w:p>
      <w:pPr>
        <w:spacing w:after="140" w:line="259" w:lineRule="auto"/>
      </w:pPr>
      <w:r>
        <w:t>Clients are increasingly asking for cost transparency and optimization in cloud estates. Asteria can position FinOps assessments and managed optimization as recurring services, offsetting hosting cost pressure while improving client value realization.</w:t>
      </w:r>
    </w:p>
    <w:p>
      <w:pPr>
        <w:spacing w:after="140" w:line="259" w:lineRule="auto"/>
      </w:pPr>
      <w:r>
        <w:t>Management commentary: FinOps and workload optimization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finops and workload optimization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2"/>
      </w:pPr>
      <w:r>
        <w:t>Growth Driver 6: Strategic account expansion</w:t>
      </w:r>
    </w:p>
    <w:p>
      <w:pPr>
        <w:spacing w:after="140" w:line="259" w:lineRule="auto"/>
      </w:pPr>
      <w:r>
        <w:t>The account team is focused on expanding wallet share in existing enterprise accounts. The strongest opportunities come from accounts where Asteria already supports cloud operations, because switching costs are higher and business context is already established.</w:t>
      </w:r>
    </w:p>
    <w:p>
      <w:pPr>
        <w:spacing w:after="140" w:line="259" w:lineRule="auto"/>
      </w:pPr>
      <w:r>
        <w:t>Management commentary: Strategic account expansion is expected to contribute to the FY2027 growth thesis only if sales execution, delivery capacity, and margin discipline remain aligned. The company is prioritizing opportunities where growth is repeatable, implementation risk is manageable, and the contract structure protects margin.</w:t>
      </w:r>
    </w:p>
    <w:p>
      <w:pPr>
        <w:spacing w:after="140" w:line="259" w:lineRule="auto"/>
      </w:pPr>
      <w:r>
        <w:t>Finance analyst interpretation: Analysts should connect strategic account expansion to the KPI most directly affected. Revenue drivers should be checked against bookings, backlog, and actual revenue. Margin drivers should be checked against COGS, subcontractor expense, utilization, and hosting costs.</w:t>
      </w:r>
    </w:p>
    <w:p>
      <w:pPr>
        <w:pStyle w:val="ListBullet"/>
        <w:spacing w:after="60"/>
      </w:pPr>
      <w:r>
        <w:t>Primary KPI linkage: revenue growth, gross margin, EBITDA, or recurring revenue visibility.</w:t>
      </w:r>
    </w:p>
    <w:p>
      <w:pPr>
        <w:pStyle w:val="ListBullet"/>
        <w:spacing w:after="60"/>
      </w:pPr>
      <w:r>
        <w:t>Leading indicators: pipeline stage movement, renewal coverage, utilization, delivery automation adoption, and contract terms.</w:t>
      </w:r>
    </w:p>
    <w:p>
      <w:pPr>
        <w:pStyle w:val="ListBullet"/>
        <w:spacing w:after="60"/>
      </w:pPr>
      <w:r>
        <w:t>Copilot behavior: provide a narrative citation and then state whether structured data confirms, contradicts, or does not yet evidence the commentary.</w:t>
      </w:r>
    </w:p>
    <w:p>
      <w:pPr>
        <w:pStyle w:val="Heading1"/>
      </w:pPr>
      <w:r>
        <w:t>Analyst Challenge Questions on Growth Drivers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20" w:type="dxa"/>
              <w:start w:w="120" w:type="dxa"/>
              <w:bottom w:w="120" w:type="dxa"/>
              <w:end w:w="120" w:type="dxa"/>
            </w:tcMar>
            <w:shd w:fill="0E7C86"/>
          </w:tcPr>
          <w:p>
            <w:pPr>
              <w:spacing w:after="40"/>
            </w:pPr>
            <w:r>
              <w:rPr>
                <w:rFonts w:ascii="Aptos" w:hAnsi="Aptos"/>
                <w:b/>
                <w:color w:val="FFFFFF"/>
                <w:sz w:val="17"/>
              </w:rPr>
              <w:t>Analyst</w:t>
            </w:r>
          </w:p>
        </w:tc>
        <w:tc>
          <w:tcPr>
            <w:tcW w:type="dxa" w:w="3360"/>
            <w:vAlign w:val="center"/>
            <w:tcMar>
              <w:top w:w="120" w:type="dxa"/>
              <w:start w:w="120" w:type="dxa"/>
              <w:bottom w:w="120" w:type="dxa"/>
              <w:end w:w="120" w:type="dxa"/>
            </w:tcMar>
            <w:shd w:fill="0E7C86"/>
          </w:tcPr>
          <w:p>
            <w:pPr>
              <w:spacing w:after="40"/>
            </w:pPr>
            <w:r>
              <w:rPr>
                <w:rFonts w:ascii="Aptos" w:hAnsi="Aptos"/>
                <w:b/>
                <w:color w:val="FFFFFF"/>
                <w:sz w:val="17"/>
              </w:rPr>
              <w:t>Challenge question</w:t>
            </w:r>
          </w:p>
        </w:tc>
        <w:tc>
          <w:tcPr>
            <w:tcW w:type="dxa" w:w="3360"/>
            <w:vAlign w:val="center"/>
            <w:tcMar>
              <w:top w:w="120" w:type="dxa"/>
              <w:start w:w="120" w:type="dxa"/>
              <w:bottom w:w="120" w:type="dxa"/>
              <w:end w:w="120" w:type="dxa"/>
            </w:tcMar>
            <w:shd w:fill="0E7C86"/>
          </w:tcPr>
          <w:p>
            <w:pPr>
              <w:spacing w:after="40"/>
            </w:pPr>
            <w:r>
              <w:rPr>
                <w:rFonts w:ascii="Aptos" w:hAnsi="Aptos"/>
                <w:b/>
                <w:color w:val="FFFFFF"/>
                <w:sz w:val="17"/>
              </w:rPr>
              <w:t>Recommended evidence</w:t>
            </w:r>
          </w:p>
        </w:tc>
      </w:tr>
      <w:tr>
        <w:tc>
          <w:tcPr>
            <w:tcW w:type="dxa" w:w="3360"/>
            <w:vAlign w:val="center"/>
            <w:tcMar>
              <w:top w:w="120" w:type="dxa"/>
              <w:start w:w="120" w:type="dxa"/>
              <w:bottom w:w="120" w:type="dxa"/>
              <w:end w:w="120" w:type="dxa"/>
            </w:tcMar>
          </w:tcPr>
          <w:p>
            <w:pPr>
              <w:spacing w:after="40"/>
            </w:pPr>
            <w:r>
              <w:rPr>
                <w:rFonts w:ascii="Aptos" w:hAnsi="Aptos"/>
                <w:sz w:val="17"/>
              </w:rPr>
              <w:t>Mira Cole</w:t>
            </w:r>
          </w:p>
        </w:tc>
        <w:tc>
          <w:tcPr>
            <w:tcW w:type="dxa" w:w="3360"/>
            <w:vAlign w:val="center"/>
            <w:tcMar>
              <w:top w:w="120" w:type="dxa"/>
              <w:start w:w="120" w:type="dxa"/>
              <w:bottom w:w="120" w:type="dxa"/>
              <w:end w:w="120" w:type="dxa"/>
            </w:tcMar>
          </w:tcPr>
          <w:p>
            <w:pPr>
              <w:spacing w:after="40"/>
            </w:pPr>
            <w:r>
              <w:rPr>
                <w:rFonts w:ascii="Aptos" w:hAnsi="Aptos"/>
                <w:sz w:val="17"/>
              </w:rPr>
              <w:t>How much growth is recurring versus project-based?</w:t>
            </w:r>
          </w:p>
        </w:tc>
        <w:tc>
          <w:tcPr>
            <w:tcW w:type="dxa" w:w="3360"/>
            <w:vAlign w:val="center"/>
            <w:tcMar>
              <w:top w:w="120" w:type="dxa"/>
              <w:start w:w="120" w:type="dxa"/>
              <w:bottom w:w="120" w:type="dxa"/>
              <w:end w:w="120" w:type="dxa"/>
            </w:tcMar>
          </w:tcPr>
          <w:p>
            <w:pPr>
              <w:spacing w:after="40"/>
            </w:pPr>
            <w:r>
              <w:rPr>
                <w:rFonts w:ascii="Aptos" w:hAnsi="Aptos"/>
                <w:sz w:val="17"/>
              </w:rPr>
              <w:t>Segment revenue by business unit and contract type where available. Use Managed Operations renewal commentary for recurrence and structured revenue data for actuals.</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Carlos Mendes</w:t>
            </w:r>
          </w:p>
        </w:tc>
        <w:tc>
          <w:tcPr>
            <w:tcW w:type="dxa" w:w="3360"/>
            <w:vAlign w:val="center"/>
            <w:tcMar>
              <w:top w:w="120" w:type="dxa"/>
              <w:start w:w="120" w:type="dxa"/>
              <w:bottom w:w="120" w:type="dxa"/>
              <w:end w:w="120" w:type="dxa"/>
            </w:tcMar>
            <w:shd w:fill="F8FBFC"/>
          </w:tcPr>
          <w:p>
            <w:pPr>
              <w:spacing w:after="40"/>
            </w:pPr>
            <w:r>
              <w:rPr>
                <w:rFonts w:ascii="Aptos" w:hAnsi="Aptos"/>
                <w:sz w:val="17"/>
              </w:rPr>
              <w:t>What would prove that cloud demand is converting?</w:t>
            </w:r>
          </w:p>
        </w:tc>
        <w:tc>
          <w:tcPr>
            <w:tcW w:type="dxa" w:w="3360"/>
            <w:vAlign w:val="center"/>
            <w:tcMar>
              <w:top w:w="120" w:type="dxa"/>
              <w:start w:w="120" w:type="dxa"/>
              <w:bottom w:w="120" w:type="dxa"/>
              <w:end w:w="120" w:type="dxa"/>
            </w:tcMar>
            <w:shd w:fill="F8FBFC"/>
          </w:tcPr>
          <w:p>
            <w:pPr>
              <w:spacing w:after="40"/>
            </w:pPr>
            <w:r>
              <w:rPr>
                <w:rFonts w:ascii="Aptos" w:hAnsi="Aptos"/>
                <w:sz w:val="17"/>
              </w:rPr>
              <w:t>Signed SOW value, late-stage opportunity movement, revenue recognition, and attach rate for managed services.</w:t>
            </w:r>
          </w:p>
        </w:tc>
      </w:tr>
      <w:tr>
        <w:tc>
          <w:tcPr>
            <w:tcW w:type="dxa" w:w="3360"/>
            <w:vAlign w:val="center"/>
            <w:tcMar>
              <w:top w:w="120" w:type="dxa"/>
              <w:start w:w="120" w:type="dxa"/>
              <w:bottom w:w="120" w:type="dxa"/>
              <w:end w:w="120" w:type="dxa"/>
            </w:tcMar>
          </w:tcPr>
          <w:p>
            <w:pPr>
              <w:spacing w:after="40"/>
            </w:pPr>
            <w:r>
              <w:rPr>
                <w:rFonts w:ascii="Aptos" w:hAnsi="Aptos"/>
                <w:sz w:val="17"/>
              </w:rPr>
              <w:t>Owen Hughes</w:t>
            </w:r>
          </w:p>
        </w:tc>
        <w:tc>
          <w:tcPr>
            <w:tcW w:type="dxa" w:w="3360"/>
            <w:vAlign w:val="center"/>
            <w:tcMar>
              <w:top w:w="120" w:type="dxa"/>
              <w:start w:w="120" w:type="dxa"/>
              <w:bottom w:w="120" w:type="dxa"/>
              <w:end w:w="120" w:type="dxa"/>
            </w:tcMar>
          </w:tcPr>
          <w:p>
            <w:pPr>
              <w:spacing w:after="40"/>
            </w:pPr>
            <w:r>
              <w:rPr>
                <w:rFonts w:ascii="Aptos" w:hAnsi="Aptos"/>
                <w:sz w:val="17"/>
              </w:rPr>
              <w:t>What would disprove the margin expansion thesis?</w:t>
            </w:r>
          </w:p>
        </w:tc>
        <w:tc>
          <w:tcPr>
            <w:tcW w:type="dxa" w:w="3360"/>
            <w:vAlign w:val="center"/>
            <w:tcMar>
              <w:top w:w="120" w:type="dxa"/>
              <w:start w:w="120" w:type="dxa"/>
              <w:bottom w:w="120" w:type="dxa"/>
              <w:end w:w="120" w:type="dxa"/>
            </w:tcMar>
          </w:tcPr>
          <w:p>
            <w:pPr>
              <w:spacing w:after="40"/>
            </w:pPr>
            <w:r>
              <w:rPr>
                <w:rFonts w:ascii="Aptos" w:hAnsi="Aptos"/>
                <w:sz w:val="17"/>
              </w:rPr>
              <w:t>Hosting costs outpacing cloud revenue, subcontractor spend exceeding budget, and utilization falling below plan.</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Leena Shah</w:t>
            </w:r>
          </w:p>
        </w:tc>
        <w:tc>
          <w:tcPr>
            <w:tcW w:type="dxa" w:w="3360"/>
            <w:vAlign w:val="center"/>
            <w:tcMar>
              <w:top w:w="120" w:type="dxa"/>
              <w:start w:w="120" w:type="dxa"/>
              <w:bottom w:w="120" w:type="dxa"/>
              <w:end w:w="120" w:type="dxa"/>
            </w:tcMar>
            <w:shd w:fill="F8FBFC"/>
          </w:tcPr>
          <w:p>
            <w:pPr>
              <w:spacing w:after="40"/>
            </w:pPr>
            <w:r>
              <w:rPr>
                <w:rFonts w:ascii="Aptos" w:hAnsi="Aptos"/>
                <w:sz w:val="17"/>
              </w:rPr>
              <w:t>What should move guidance upward?</w:t>
            </w:r>
          </w:p>
        </w:tc>
        <w:tc>
          <w:tcPr>
            <w:tcW w:type="dxa" w:w="3360"/>
            <w:vAlign w:val="center"/>
            <w:tcMar>
              <w:top w:w="120" w:type="dxa"/>
              <w:start w:w="120" w:type="dxa"/>
              <w:bottom w:w="120" w:type="dxa"/>
              <w:end w:w="120" w:type="dxa"/>
            </w:tcMar>
            <w:shd w:fill="F8FBFC"/>
          </w:tcPr>
          <w:p>
            <w:pPr>
              <w:spacing w:after="40"/>
            </w:pPr>
            <w:r>
              <w:rPr>
                <w:rFonts w:ascii="Aptos" w:hAnsi="Aptos"/>
                <w:sz w:val="17"/>
              </w:rPr>
              <w:t>Above-plan renewal conversion, cleared milestone backlog, improved utilization, and early automation savings.</w:t>
            </w:r>
          </w:p>
        </w:tc>
      </w:tr>
      <w:tr>
        <w:tc>
          <w:tcPr>
            <w:tcW w:type="dxa" w:w="3360"/>
            <w:vAlign w:val="center"/>
            <w:tcMar>
              <w:top w:w="120" w:type="dxa"/>
              <w:start w:w="120" w:type="dxa"/>
              <w:bottom w:w="120" w:type="dxa"/>
              <w:end w:w="120" w:type="dxa"/>
            </w:tcMar>
          </w:tcPr>
          <w:p>
            <w:pPr>
              <w:spacing w:after="40"/>
            </w:pPr>
            <w:r>
              <w:rPr>
                <w:rFonts w:ascii="Aptos" w:hAnsi="Aptos"/>
                <w:sz w:val="17"/>
              </w:rPr>
              <w:t>Anika Desai</w:t>
            </w:r>
          </w:p>
        </w:tc>
        <w:tc>
          <w:tcPr>
            <w:tcW w:type="dxa" w:w="3360"/>
            <w:vAlign w:val="center"/>
            <w:tcMar>
              <w:top w:w="120" w:type="dxa"/>
              <w:start w:w="120" w:type="dxa"/>
              <w:bottom w:w="120" w:type="dxa"/>
              <w:end w:w="120" w:type="dxa"/>
            </w:tcMar>
          </w:tcPr>
          <w:p>
            <w:pPr>
              <w:spacing w:after="40"/>
            </w:pPr>
            <w:r>
              <w:rPr>
                <w:rFonts w:ascii="Aptos" w:hAnsi="Aptos"/>
                <w:sz w:val="17"/>
              </w:rPr>
              <w:t>What cash risk accompanies growth?</w:t>
            </w:r>
          </w:p>
        </w:tc>
        <w:tc>
          <w:tcPr>
            <w:tcW w:type="dxa" w:w="3360"/>
            <w:vAlign w:val="center"/>
            <w:tcMar>
              <w:top w:w="120" w:type="dxa"/>
              <w:start w:w="120" w:type="dxa"/>
              <w:bottom w:w="120" w:type="dxa"/>
              <w:end w:w="120" w:type="dxa"/>
            </w:tcMar>
          </w:tcPr>
          <w:p>
            <w:pPr>
              <w:spacing w:after="40"/>
            </w:pPr>
            <w:r>
              <w:rPr>
                <w:rFonts w:ascii="Aptos" w:hAnsi="Aptos"/>
                <w:sz w:val="17"/>
              </w:rPr>
              <w:t>Milestone billing and DSO risk if acceptance delays create revenue and billing timing gaps.</w:t>
            </w:r>
          </w:p>
        </w:tc>
      </w:tr>
      <w:tr>
        <w:tc>
          <w:tcPr>
            <w:tcW w:type="dxa" w:w="3360"/>
            <w:vAlign w:val="center"/>
            <w:tcMar>
              <w:top w:w="120" w:type="dxa"/>
              <w:start w:w="120" w:type="dxa"/>
              <w:bottom w:w="120" w:type="dxa"/>
              <w:end w:w="120" w:type="dxa"/>
            </w:tcMar>
            <w:shd w:fill="F8FBFC"/>
          </w:tcPr>
          <w:p>
            <w:pPr>
              <w:spacing w:after="40"/>
            </w:pPr>
            <w:r>
              <w:rPr>
                <w:rFonts w:ascii="Aptos" w:hAnsi="Aptos"/>
                <w:sz w:val="17"/>
              </w:rPr>
              <w:t>Bethany Luo</w:t>
            </w:r>
          </w:p>
        </w:tc>
        <w:tc>
          <w:tcPr>
            <w:tcW w:type="dxa" w:w="3360"/>
            <w:vAlign w:val="center"/>
            <w:tcMar>
              <w:top w:w="120" w:type="dxa"/>
              <w:start w:w="120" w:type="dxa"/>
              <w:bottom w:w="120" w:type="dxa"/>
              <w:end w:w="120" w:type="dxa"/>
            </w:tcMar>
            <w:shd w:fill="F8FBFC"/>
          </w:tcPr>
          <w:p>
            <w:pPr>
              <w:spacing w:after="40"/>
            </w:pPr>
            <w:r>
              <w:rPr>
                <w:rFonts w:ascii="Aptos" w:hAnsi="Aptos"/>
                <w:sz w:val="17"/>
              </w:rPr>
              <w:t>What is the control risk?</w:t>
            </w:r>
          </w:p>
        </w:tc>
        <w:tc>
          <w:tcPr>
            <w:tcW w:type="dxa" w:w="3360"/>
            <w:vAlign w:val="center"/>
            <w:tcMar>
              <w:top w:w="120" w:type="dxa"/>
              <w:start w:w="120" w:type="dxa"/>
              <w:bottom w:w="120" w:type="dxa"/>
              <w:end w:w="120" w:type="dxa"/>
            </w:tcMar>
            <w:shd w:fill="F8FBFC"/>
          </w:tcPr>
          <w:p>
            <w:pPr>
              <w:spacing w:after="40"/>
            </w:pPr>
            <w:r>
              <w:rPr>
                <w:rFonts w:ascii="Aptos" w:hAnsi="Aptos"/>
                <w:sz w:val="17"/>
              </w:rPr>
              <w:t>Narratives may overstate performance if not tied to source data, formula registry, and consistent definitions.</w:t>
            </w:r>
          </w:p>
        </w:tc>
      </w:tr>
    </w:tbl>
    <w:p/>
    <w:p>
      <w:pPr>
        <w:pStyle w:val="Heading1"/>
      </w:pPr>
      <w:r>
        <w:t>Quarterly Commentary Template for Copilot Use</w:t>
      </w:r>
    </w:p>
    <w:p>
      <w:pPr>
        <w:spacing w:after="140" w:line="259" w:lineRule="auto"/>
      </w:pPr>
      <w:r>
        <w:t>A strong answer about growth drivers should follow a consistent structure: direct answer, evidence from actuals or guidance, business interpretation, tailwinds and headwinds, assumptions, and cited sources. The copilot should explicitly state when the source supports a qualitative interpretation but does not prove a numerical outcome.</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Response component</w:t>
            </w:r>
          </w:p>
        </w:tc>
        <w:tc>
          <w:tcPr>
            <w:tcW w:type="dxa" w:w="5040"/>
            <w:vAlign w:val="center"/>
            <w:tcMar>
              <w:top w:w="120" w:type="dxa"/>
              <w:start w:w="120" w:type="dxa"/>
              <w:bottom w:w="120" w:type="dxa"/>
              <w:end w:w="120" w:type="dxa"/>
            </w:tcMar>
            <w:shd w:fill="1F4E79"/>
          </w:tcPr>
          <w:p>
            <w:pPr>
              <w:spacing w:after="40"/>
            </w:pPr>
            <w:r>
              <w:rPr>
                <w:rFonts w:ascii="Aptos" w:hAnsi="Aptos"/>
                <w:b/>
                <w:color w:val="FFFFFF"/>
                <w:sz w:val="17"/>
              </w:rPr>
              <w:t>What to include</w:t>
            </w:r>
          </w:p>
        </w:tc>
      </w:tr>
      <w:tr>
        <w:tc>
          <w:tcPr>
            <w:tcW w:type="dxa" w:w="5040"/>
            <w:vAlign w:val="center"/>
            <w:tcMar>
              <w:top w:w="120" w:type="dxa"/>
              <w:start w:w="120" w:type="dxa"/>
              <w:bottom w:w="120" w:type="dxa"/>
              <w:end w:w="120" w:type="dxa"/>
            </w:tcMar>
          </w:tcPr>
          <w:p>
            <w:pPr>
              <w:spacing w:after="40"/>
            </w:pPr>
            <w:r>
              <w:rPr>
                <w:rFonts w:ascii="Aptos" w:hAnsi="Aptos"/>
                <w:sz w:val="17"/>
              </w:rPr>
              <w:t>Direct answer</w:t>
            </w:r>
          </w:p>
        </w:tc>
        <w:tc>
          <w:tcPr>
            <w:tcW w:type="dxa" w:w="5040"/>
            <w:vAlign w:val="center"/>
            <w:tcMar>
              <w:top w:w="120" w:type="dxa"/>
              <w:start w:w="120" w:type="dxa"/>
              <w:bottom w:w="120" w:type="dxa"/>
              <w:end w:w="120" w:type="dxa"/>
            </w:tcMar>
          </w:tcPr>
          <w:p>
            <w:pPr>
              <w:spacing w:after="40"/>
            </w:pPr>
            <w:r>
              <w:rPr>
                <w:rFonts w:ascii="Aptos" w:hAnsi="Aptos"/>
                <w:sz w:val="17"/>
              </w:rPr>
              <w:t>State the most relevant growth driver or risk in one or two sentences.</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Metric evidence</w:t>
            </w:r>
          </w:p>
        </w:tc>
        <w:tc>
          <w:tcPr>
            <w:tcW w:type="dxa" w:w="5040"/>
            <w:vAlign w:val="center"/>
            <w:tcMar>
              <w:top w:w="120" w:type="dxa"/>
              <w:start w:w="120" w:type="dxa"/>
              <w:bottom w:w="120" w:type="dxa"/>
              <w:end w:w="120" w:type="dxa"/>
            </w:tcMar>
            <w:shd w:fill="F8FBFC"/>
          </w:tcPr>
          <w:p>
            <w:pPr>
              <w:spacing w:after="40"/>
            </w:pPr>
            <w:r>
              <w:rPr>
                <w:rFonts w:ascii="Aptos" w:hAnsi="Aptos"/>
                <w:sz w:val="17"/>
              </w:rPr>
              <w:t>Revenue growth, gross margin, EBITDA, budget variance, or other computed value.</w:t>
            </w:r>
          </w:p>
        </w:tc>
      </w:tr>
      <w:tr>
        <w:tc>
          <w:tcPr>
            <w:tcW w:type="dxa" w:w="5040"/>
            <w:vAlign w:val="center"/>
            <w:tcMar>
              <w:top w:w="120" w:type="dxa"/>
              <w:start w:w="120" w:type="dxa"/>
              <w:bottom w:w="120" w:type="dxa"/>
              <w:end w:w="120" w:type="dxa"/>
            </w:tcMar>
          </w:tcPr>
          <w:p>
            <w:pPr>
              <w:spacing w:after="40"/>
            </w:pPr>
            <w:r>
              <w:rPr>
                <w:rFonts w:ascii="Aptos" w:hAnsi="Aptos"/>
                <w:sz w:val="17"/>
              </w:rPr>
              <w:t>Narrative evidence</w:t>
            </w:r>
          </w:p>
        </w:tc>
        <w:tc>
          <w:tcPr>
            <w:tcW w:type="dxa" w:w="5040"/>
            <w:vAlign w:val="center"/>
            <w:tcMar>
              <w:top w:w="120" w:type="dxa"/>
              <w:start w:w="120" w:type="dxa"/>
              <w:bottom w:w="120" w:type="dxa"/>
              <w:end w:w="120" w:type="dxa"/>
            </w:tcMar>
          </w:tcPr>
          <w:p>
            <w:pPr>
              <w:spacing w:after="40"/>
            </w:pPr>
            <w:r>
              <w:rPr>
                <w:rFonts w:ascii="Aptos" w:hAnsi="Aptos"/>
                <w:sz w:val="17"/>
              </w:rPr>
              <w:t>Quarterly report, guidance document, transcript, or stakeholder commentary.</w:t>
            </w:r>
          </w:p>
        </w:tc>
      </w:tr>
      <w:tr>
        <w:tc>
          <w:tcPr>
            <w:tcW w:type="dxa" w:w="5040"/>
            <w:vAlign w:val="center"/>
            <w:tcMar>
              <w:top w:w="120" w:type="dxa"/>
              <w:start w:w="120" w:type="dxa"/>
              <w:bottom w:w="120" w:type="dxa"/>
              <w:end w:w="120" w:type="dxa"/>
            </w:tcMar>
            <w:shd w:fill="F8FBFC"/>
          </w:tcPr>
          <w:p>
            <w:pPr>
              <w:spacing w:after="40"/>
            </w:pPr>
            <w:r>
              <w:rPr>
                <w:rFonts w:ascii="Aptos" w:hAnsi="Aptos"/>
                <w:sz w:val="17"/>
              </w:rPr>
              <w:t>Assumptions</w:t>
            </w:r>
          </w:p>
        </w:tc>
        <w:tc>
          <w:tcPr>
            <w:tcW w:type="dxa" w:w="5040"/>
            <w:vAlign w:val="center"/>
            <w:tcMar>
              <w:top w:w="120" w:type="dxa"/>
              <w:start w:w="120" w:type="dxa"/>
              <w:bottom w:w="120" w:type="dxa"/>
              <w:end w:w="120" w:type="dxa"/>
            </w:tcMar>
            <w:shd w:fill="F8FBFC"/>
          </w:tcPr>
          <w:p>
            <w:pPr>
              <w:spacing w:after="40"/>
            </w:pPr>
            <w:r>
              <w:rPr>
                <w:rFonts w:ascii="Aptos" w:hAnsi="Aptos"/>
                <w:sz w:val="17"/>
              </w:rPr>
              <w:t>Period, business unit, account mapping, metric definition, and whether guidance or actuals are being discussed.</w:t>
            </w:r>
          </w:p>
        </w:tc>
      </w:tr>
      <w:tr>
        <w:tc>
          <w:tcPr>
            <w:tcW w:type="dxa" w:w="5040"/>
            <w:vAlign w:val="center"/>
            <w:tcMar>
              <w:top w:w="120" w:type="dxa"/>
              <w:start w:w="120" w:type="dxa"/>
              <w:bottom w:w="120" w:type="dxa"/>
              <w:end w:w="120" w:type="dxa"/>
            </w:tcMar>
          </w:tcPr>
          <w:p>
            <w:pPr>
              <w:spacing w:after="40"/>
            </w:pPr>
            <w:r>
              <w:rPr>
                <w:rFonts w:ascii="Aptos" w:hAnsi="Aptos"/>
                <w:sz w:val="17"/>
              </w:rPr>
              <w:t>Limitations</w:t>
            </w:r>
          </w:p>
        </w:tc>
        <w:tc>
          <w:tcPr>
            <w:tcW w:type="dxa" w:w="5040"/>
            <w:vAlign w:val="center"/>
            <w:tcMar>
              <w:top w:w="120" w:type="dxa"/>
              <w:start w:w="120" w:type="dxa"/>
              <w:bottom w:w="120" w:type="dxa"/>
              <w:end w:w="120" w:type="dxa"/>
            </w:tcMar>
          </w:tcPr>
          <w:p>
            <w:pPr>
              <w:spacing w:after="40"/>
            </w:pPr>
            <w:r>
              <w:rPr>
                <w:rFonts w:ascii="Aptos" w:hAnsi="Aptos"/>
                <w:sz w:val="17"/>
              </w:rPr>
              <w:t>Unavailable data, unsupported questions, or need for clarification.</w:t>
            </w:r>
          </w:p>
        </w:tc>
      </w:tr>
    </w:tbl>
    <w:p/>
    <w:p>
      <w:r>
        <w:br w:type="page"/>
      </w:r>
    </w:p>
    <w:p>
      <w:pPr>
        <w:pStyle w:val="Heading1"/>
      </w:pPr>
      <w:r>
        <w:t>Appendix A: Growth Driver Evidence Framework</w:t>
      </w:r>
    </w:p>
    <w:p>
      <w:pPr>
        <w:spacing w:after="140" w:line="259" w:lineRule="auto"/>
      </w:pPr>
      <w:r>
        <w:t>This appendix expands management commentary into an evidence framework. It helps the copilot answer not just what the growth drivers are, but what evidence would support or challenge each driver in a finance review.</w:t>
      </w:r>
    </w:p>
    <w:p>
      <w:pPr>
        <w:pStyle w:val="Heading2"/>
      </w:pPr>
      <w:r>
        <w:t>A.1 Enterprise cloud modernization</w:t>
      </w:r>
    </w:p>
    <w:p>
      <w:pPr>
        <w:spacing w:after="140" w:line="259" w:lineRule="auto"/>
      </w:pPr>
      <w:r>
        <w:t>Enterprise cloud modernization is a management-defined growth driver that should be evaluated through multiple lenses. The finance team should look for evidence in bookings, backlog, renewal coverage, revenue recognition, gross margin, operating expense, and cash conversion. A qualitative statement that enterprise cloud modernization is promising is not enough; the answer should identify which metric would prove the driver is working.</w:t>
      </w:r>
    </w:p>
    <w:p>
      <w:pPr>
        <w:spacing w:after="140" w:line="259" w:lineRule="auto"/>
      </w:pPr>
      <w:r>
        <w:t>For copilot retrieval, this section should rank highly when the user asks about upcoming growth drivers, management commentary, strategic initiatives, or evidence behind the growth thesis. The response should distinguish between leading indicators, actual results, and future guidance.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1F4E79"/>
          </w:tcPr>
          <w:p>
            <w:pPr>
              <w:spacing w:after="40"/>
            </w:pPr>
            <w:r>
              <w:rPr>
                <w:b/>
                <w:color w:val="FFFFFF"/>
                <w:sz w:val="17"/>
              </w:rPr>
              <w:t>Evidence category</w:t>
            </w:r>
          </w:p>
        </w:tc>
        <w:tc>
          <w:tcPr>
            <w:tcW w:type="dxa" w:w="3360"/>
            <w:vAlign w:val="center"/>
            <w:tcMar>
              <w:top w:w="100" w:type="dxa"/>
              <w:start w:w="100" w:type="dxa"/>
              <w:bottom w:w="100" w:type="dxa"/>
              <w:end w:w="100" w:type="dxa"/>
            </w:tcMar>
            <w:shd w:fill="1F4E79"/>
          </w:tcPr>
          <w:p>
            <w:pPr>
              <w:spacing w:after="40"/>
            </w:pPr>
            <w:r>
              <w:rPr>
                <w:b/>
                <w:color w:val="FFFFFF"/>
                <w:sz w:val="17"/>
              </w:rPr>
              <w:t>Positive signal</w:t>
            </w:r>
          </w:p>
        </w:tc>
        <w:tc>
          <w:tcPr>
            <w:tcW w:type="dxa" w:w="3360"/>
            <w:vAlign w:val="center"/>
            <w:tcMar>
              <w:top w:w="100" w:type="dxa"/>
              <w:start w:w="100" w:type="dxa"/>
              <w:bottom w:w="100" w:type="dxa"/>
              <w:end w:w="100" w:type="dxa"/>
            </w:tcMar>
            <w:shd w:fill="1F4E79"/>
          </w:tcPr>
          <w:p>
            <w:pPr>
              <w:spacing w:after="40"/>
            </w:pPr>
            <w:r>
              <w:rPr>
                <w:b/>
                <w:color w:val="FFFFFF"/>
                <w:sz w:val="17"/>
              </w:rPr>
              <w:t>Risk signal</w:t>
            </w:r>
          </w:p>
        </w:tc>
      </w:tr>
      <w:tr>
        <w:tc>
          <w:tcPr>
            <w:tcW w:type="dxa" w:w="3360"/>
            <w:vAlign w:val="center"/>
            <w:tcMar>
              <w:top w:w="100" w:type="dxa"/>
              <w:start w:w="100" w:type="dxa"/>
              <w:bottom w:w="100" w:type="dxa"/>
              <w:end w:w="100" w:type="dxa"/>
            </w:tcMar>
          </w:tcPr>
          <w:p>
            <w:pPr>
              <w:spacing w:after="40"/>
            </w:pPr>
            <w:r>
              <w:rPr>
                <w:sz w:val="17"/>
              </w:rPr>
              <w:t>Revenue evidence</w:t>
            </w:r>
          </w:p>
        </w:tc>
        <w:tc>
          <w:tcPr>
            <w:tcW w:type="dxa" w:w="3360"/>
            <w:vAlign w:val="center"/>
            <w:tcMar>
              <w:top w:w="100" w:type="dxa"/>
              <w:start w:w="100" w:type="dxa"/>
              <w:bottom w:w="100" w:type="dxa"/>
              <w:end w:w="100" w:type="dxa"/>
            </w:tcMar>
          </w:tcPr>
          <w:p>
            <w:pPr>
              <w:spacing w:after="40"/>
            </w:pPr>
            <w:r>
              <w:rPr>
                <w:sz w:val="17"/>
              </w:rPr>
              <w:t>Bookings convert to recognized revenue.</w:t>
            </w:r>
          </w:p>
        </w:tc>
        <w:tc>
          <w:tcPr>
            <w:tcW w:type="dxa" w:w="3360"/>
            <w:vAlign w:val="center"/>
            <w:tcMar>
              <w:top w:w="100" w:type="dxa"/>
              <w:start w:w="100" w:type="dxa"/>
              <w:bottom w:w="100" w:type="dxa"/>
              <w:end w:w="100" w:type="dxa"/>
            </w:tcMar>
          </w:tcPr>
          <w:p>
            <w:pPr>
              <w:spacing w:after="40"/>
            </w:pPr>
            <w:r>
              <w:rPr>
                <w:sz w:val="17"/>
              </w:rPr>
              <w:t>Pipeline grows but closed-won conversion slows.</w:t>
            </w:r>
          </w:p>
        </w:tc>
      </w:tr>
      <w:tr>
        <w:tc>
          <w:tcPr>
            <w:tcW w:type="dxa" w:w="3360"/>
            <w:vAlign w:val="center"/>
            <w:tcMar>
              <w:top w:w="100" w:type="dxa"/>
              <w:start w:w="100" w:type="dxa"/>
              <w:bottom w:w="100" w:type="dxa"/>
              <w:end w:w="100" w:type="dxa"/>
            </w:tcMar>
            <w:shd w:fill="F8FBFC"/>
          </w:tcPr>
          <w:p>
            <w:pPr>
              <w:spacing w:after="40"/>
            </w:pPr>
            <w:r>
              <w:rPr>
                <w:sz w:val="17"/>
              </w:rPr>
              <w:t>Margin evidence</w:t>
            </w:r>
          </w:p>
        </w:tc>
        <w:tc>
          <w:tcPr>
            <w:tcW w:type="dxa" w:w="3360"/>
            <w:vAlign w:val="center"/>
            <w:tcMar>
              <w:top w:w="100" w:type="dxa"/>
              <w:start w:w="100" w:type="dxa"/>
              <w:bottom w:w="100" w:type="dxa"/>
              <w:end w:w="100" w:type="dxa"/>
            </w:tcMar>
            <w:shd w:fill="F8FBFC"/>
          </w:tcPr>
          <w:p>
            <w:pPr>
              <w:spacing w:after="40"/>
            </w:pPr>
            <w:r>
              <w:rPr>
                <w:sz w:val="17"/>
              </w:rPr>
              <w:t>COGS grows slower than revenue.</w:t>
            </w:r>
          </w:p>
        </w:tc>
        <w:tc>
          <w:tcPr>
            <w:tcW w:type="dxa" w:w="3360"/>
            <w:vAlign w:val="center"/>
            <w:tcMar>
              <w:top w:w="100" w:type="dxa"/>
              <w:start w:w="100" w:type="dxa"/>
              <w:bottom w:w="100" w:type="dxa"/>
              <w:end w:w="100" w:type="dxa"/>
            </w:tcMar>
            <w:shd w:fill="F8FBFC"/>
          </w:tcPr>
          <w:p>
            <w:pPr>
              <w:spacing w:after="40"/>
            </w:pPr>
            <w:r>
              <w:rPr>
                <w:sz w:val="17"/>
              </w:rPr>
              <w:t>Hosting or subcontractor costs offset growth.</w:t>
            </w:r>
          </w:p>
        </w:tc>
      </w:tr>
      <w:tr>
        <w:tc>
          <w:tcPr>
            <w:tcW w:type="dxa" w:w="3360"/>
            <w:vAlign w:val="center"/>
            <w:tcMar>
              <w:top w:w="100" w:type="dxa"/>
              <w:start w:w="100" w:type="dxa"/>
              <w:bottom w:w="100" w:type="dxa"/>
              <w:end w:w="100" w:type="dxa"/>
            </w:tcMar>
          </w:tcPr>
          <w:p>
            <w:pPr>
              <w:spacing w:after="40"/>
            </w:pPr>
            <w:r>
              <w:rPr>
                <w:sz w:val="17"/>
              </w:rPr>
              <w:t>Operating evidence</w:t>
            </w:r>
          </w:p>
        </w:tc>
        <w:tc>
          <w:tcPr>
            <w:tcW w:type="dxa" w:w="3360"/>
            <w:vAlign w:val="center"/>
            <w:tcMar>
              <w:top w:w="100" w:type="dxa"/>
              <w:start w:w="100" w:type="dxa"/>
              <w:bottom w:w="100" w:type="dxa"/>
              <w:end w:w="100" w:type="dxa"/>
            </w:tcMar>
          </w:tcPr>
          <w:p>
            <w:pPr>
              <w:spacing w:after="40"/>
            </w:pPr>
            <w:r>
              <w:rPr>
                <w:sz w:val="17"/>
              </w:rPr>
              <w:t>Utilization improves without quality issues.</w:t>
            </w:r>
          </w:p>
        </w:tc>
        <w:tc>
          <w:tcPr>
            <w:tcW w:type="dxa" w:w="3360"/>
            <w:vAlign w:val="center"/>
            <w:tcMar>
              <w:top w:w="100" w:type="dxa"/>
              <w:start w:w="100" w:type="dxa"/>
              <w:bottom w:w="100" w:type="dxa"/>
              <w:end w:w="100" w:type="dxa"/>
            </w:tcMar>
          </w:tcPr>
          <w:p>
            <w:pPr>
              <w:spacing w:after="40"/>
            </w:pPr>
            <w:r>
              <w:rPr>
                <w:sz w:val="17"/>
              </w:rPr>
              <w:t>Capacity constraints require expensive outside labor.</w:t>
            </w:r>
          </w:p>
        </w:tc>
      </w:tr>
      <w:tr>
        <w:tc>
          <w:tcPr>
            <w:tcW w:type="dxa" w:w="3360"/>
            <w:vAlign w:val="center"/>
            <w:tcMar>
              <w:top w:w="100" w:type="dxa"/>
              <w:start w:w="100" w:type="dxa"/>
              <w:bottom w:w="100" w:type="dxa"/>
              <w:end w:w="100" w:type="dxa"/>
            </w:tcMar>
            <w:shd w:fill="F8FBFC"/>
          </w:tcPr>
          <w:p>
            <w:pPr>
              <w:spacing w:after="40"/>
            </w:pPr>
            <w:r>
              <w:rPr>
                <w:sz w:val="17"/>
              </w:rPr>
              <w:t>Cash evidence</w:t>
            </w:r>
          </w:p>
        </w:tc>
        <w:tc>
          <w:tcPr>
            <w:tcW w:type="dxa" w:w="3360"/>
            <w:vAlign w:val="center"/>
            <w:tcMar>
              <w:top w:w="100" w:type="dxa"/>
              <w:start w:w="100" w:type="dxa"/>
              <w:bottom w:w="100" w:type="dxa"/>
              <w:end w:w="100" w:type="dxa"/>
            </w:tcMar>
            <w:shd w:fill="F8FBFC"/>
          </w:tcPr>
          <w:p>
            <w:pPr>
              <w:spacing w:after="40"/>
            </w:pPr>
            <w:r>
              <w:rPr>
                <w:sz w:val="17"/>
              </w:rPr>
              <w:t>Billing milestones and collections remain on plan.</w:t>
            </w:r>
          </w:p>
        </w:tc>
        <w:tc>
          <w:tcPr>
            <w:tcW w:type="dxa" w:w="3360"/>
            <w:vAlign w:val="center"/>
            <w:tcMar>
              <w:top w:w="100" w:type="dxa"/>
              <w:start w:w="100" w:type="dxa"/>
              <w:bottom w:w="100" w:type="dxa"/>
              <w:end w:w="100" w:type="dxa"/>
            </w:tcMar>
            <w:shd w:fill="F8FBFC"/>
          </w:tcPr>
          <w:p>
            <w:pPr>
              <w:spacing w:after="40"/>
            </w:pPr>
            <w:r>
              <w:rPr>
                <w:sz w:val="17"/>
              </w:rPr>
              <w:t>Acceptance delays increase working capital pressure.</w:t>
            </w:r>
          </w:p>
        </w:tc>
      </w:tr>
    </w:tbl>
    <w:p/>
    <w:p>
      <w:pPr>
        <w:pStyle w:val="Heading2"/>
      </w:pPr>
      <w:r>
        <w:t>A.2 Managed operations expansion</w:t>
      </w:r>
    </w:p>
    <w:p>
      <w:pPr>
        <w:spacing w:after="140" w:line="259" w:lineRule="auto"/>
      </w:pPr>
      <w:r>
        <w:t>Managed operations expansion is a management-defined growth driver that should be evaluated through multiple lenses. The finance team should look for evidence in bookings, backlog, renewal coverage, revenue recognition, gross margin, operating expense, and cash conversion. A qualitative statement that managed operations expansion is promising is not enough; the answer should identify which metric would prove the driver is working.</w:t>
      </w:r>
    </w:p>
    <w:p>
      <w:pPr>
        <w:spacing w:after="140" w:line="259" w:lineRule="auto"/>
      </w:pPr>
      <w:r>
        <w:t>For copilot retrieval, this section should rank highly when the user asks about upcoming growth drivers, management commentary, strategic initiatives, or evidence behind the growth thesis. The response should distinguish between leading indicators, actual results, and future guidance.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1F4E79"/>
          </w:tcPr>
          <w:p>
            <w:pPr>
              <w:spacing w:after="40"/>
            </w:pPr>
            <w:r>
              <w:rPr>
                <w:b/>
                <w:color w:val="FFFFFF"/>
                <w:sz w:val="17"/>
              </w:rPr>
              <w:t>Evidence category</w:t>
            </w:r>
          </w:p>
        </w:tc>
        <w:tc>
          <w:tcPr>
            <w:tcW w:type="dxa" w:w="3360"/>
            <w:vAlign w:val="center"/>
            <w:tcMar>
              <w:top w:w="100" w:type="dxa"/>
              <w:start w:w="100" w:type="dxa"/>
              <w:bottom w:w="100" w:type="dxa"/>
              <w:end w:w="100" w:type="dxa"/>
            </w:tcMar>
            <w:shd w:fill="1F4E79"/>
          </w:tcPr>
          <w:p>
            <w:pPr>
              <w:spacing w:after="40"/>
            </w:pPr>
            <w:r>
              <w:rPr>
                <w:b/>
                <w:color w:val="FFFFFF"/>
                <w:sz w:val="17"/>
              </w:rPr>
              <w:t>Positive signal</w:t>
            </w:r>
          </w:p>
        </w:tc>
        <w:tc>
          <w:tcPr>
            <w:tcW w:type="dxa" w:w="3360"/>
            <w:vAlign w:val="center"/>
            <w:tcMar>
              <w:top w:w="100" w:type="dxa"/>
              <w:start w:w="100" w:type="dxa"/>
              <w:bottom w:w="100" w:type="dxa"/>
              <w:end w:w="100" w:type="dxa"/>
            </w:tcMar>
            <w:shd w:fill="1F4E79"/>
          </w:tcPr>
          <w:p>
            <w:pPr>
              <w:spacing w:after="40"/>
            </w:pPr>
            <w:r>
              <w:rPr>
                <w:b/>
                <w:color w:val="FFFFFF"/>
                <w:sz w:val="17"/>
              </w:rPr>
              <w:t>Risk signal</w:t>
            </w:r>
          </w:p>
        </w:tc>
      </w:tr>
      <w:tr>
        <w:tc>
          <w:tcPr>
            <w:tcW w:type="dxa" w:w="3360"/>
            <w:vAlign w:val="center"/>
            <w:tcMar>
              <w:top w:w="100" w:type="dxa"/>
              <w:start w:w="100" w:type="dxa"/>
              <w:bottom w:w="100" w:type="dxa"/>
              <w:end w:w="100" w:type="dxa"/>
            </w:tcMar>
          </w:tcPr>
          <w:p>
            <w:pPr>
              <w:spacing w:after="40"/>
            </w:pPr>
            <w:r>
              <w:rPr>
                <w:sz w:val="17"/>
              </w:rPr>
              <w:t>Revenue evidence</w:t>
            </w:r>
          </w:p>
        </w:tc>
        <w:tc>
          <w:tcPr>
            <w:tcW w:type="dxa" w:w="3360"/>
            <w:vAlign w:val="center"/>
            <w:tcMar>
              <w:top w:w="100" w:type="dxa"/>
              <w:start w:w="100" w:type="dxa"/>
              <w:bottom w:w="100" w:type="dxa"/>
              <w:end w:w="100" w:type="dxa"/>
            </w:tcMar>
          </w:tcPr>
          <w:p>
            <w:pPr>
              <w:spacing w:after="40"/>
            </w:pPr>
            <w:r>
              <w:rPr>
                <w:sz w:val="17"/>
              </w:rPr>
              <w:t>Bookings convert to recognized revenue.</w:t>
            </w:r>
          </w:p>
        </w:tc>
        <w:tc>
          <w:tcPr>
            <w:tcW w:type="dxa" w:w="3360"/>
            <w:vAlign w:val="center"/>
            <w:tcMar>
              <w:top w:w="100" w:type="dxa"/>
              <w:start w:w="100" w:type="dxa"/>
              <w:bottom w:w="100" w:type="dxa"/>
              <w:end w:w="100" w:type="dxa"/>
            </w:tcMar>
          </w:tcPr>
          <w:p>
            <w:pPr>
              <w:spacing w:after="40"/>
            </w:pPr>
            <w:r>
              <w:rPr>
                <w:sz w:val="17"/>
              </w:rPr>
              <w:t>Pipeline grows but closed-won conversion slows.</w:t>
            </w:r>
          </w:p>
        </w:tc>
      </w:tr>
      <w:tr>
        <w:tc>
          <w:tcPr>
            <w:tcW w:type="dxa" w:w="3360"/>
            <w:vAlign w:val="center"/>
            <w:tcMar>
              <w:top w:w="100" w:type="dxa"/>
              <w:start w:w="100" w:type="dxa"/>
              <w:bottom w:w="100" w:type="dxa"/>
              <w:end w:w="100" w:type="dxa"/>
            </w:tcMar>
            <w:shd w:fill="F8FBFC"/>
          </w:tcPr>
          <w:p>
            <w:pPr>
              <w:spacing w:after="40"/>
            </w:pPr>
            <w:r>
              <w:rPr>
                <w:sz w:val="17"/>
              </w:rPr>
              <w:t>Margin evidence</w:t>
            </w:r>
          </w:p>
        </w:tc>
        <w:tc>
          <w:tcPr>
            <w:tcW w:type="dxa" w:w="3360"/>
            <w:vAlign w:val="center"/>
            <w:tcMar>
              <w:top w:w="100" w:type="dxa"/>
              <w:start w:w="100" w:type="dxa"/>
              <w:bottom w:w="100" w:type="dxa"/>
              <w:end w:w="100" w:type="dxa"/>
            </w:tcMar>
            <w:shd w:fill="F8FBFC"/>
          </w:tcPr>
          <w:p>
            <w:pPr>
              <w:spacing w:after="40"/>
            </w:pPr>
            <w:r>
              <w:rPr>
                <w:sz w:val="17"/>
              </w:rPr>
              <w:t>COGS grows slower than revenue.</w:t>
            </w:r>
          </w:p>
        </w:tc>
        <w:tc>
          <w:tcPr>
            <w:tcW w:type="dxa" w:w="3360"/>
            <w:vAlign w:val="center"/>
            <w:tcMar>
              <w:top w:w="100" w:type="dxa"/>
              <w:start w:w="100" w:type="dxa"/>
              <w:bottom w:w="100" w:type="dxa"/>
              <w:end w:w="100" w:type="dxa"/>
            </w:tcMar>
            <w:shd w:fill="F8FBFC"/>
          </w:tcPr>
          <w:p>
            <w:pPr>
              <w:spacing w:after="40"/>
            </w:pPr>
            <w:r>
              <w:rPr>
                <w:sz w:val="17"/>
              </w:rPr>
              <w:t>Hosting or subcontractor costs offset growth.</w:t>
            </w:r>
          </w:p>
        </w:tc>
      </w:tr>
      <w:tr>
        <w:tc>
          <w:tcPr>
            <w:tcW w:type="dxa" w:w="3360"/>
            <w:vAlign w:val="center"/>
            <w:tcMar>
              <w:top w:w="100" w:type="dxa"/>
              <w:start w:w="100" w:type="dxa"/>
              <w:bottom w:w="100" w:type="dxa"/>
              <w:end w:w="100" w:type="dxa"/>
            </w:tcMar>
          </w:tcPr>
          <w:p>
            <w:pPr>
              <w:spacing w:after="40"/>
            </w:pPr>
            <w:r>
              <w:rPr>
                <w:sz w:val="17"/>
              </w:rPr>
              <w:t>Operating evidence</w:t>
            </w:r>
          </w:p>
        </w:tc>
        <w:tc>
          <w:tcPr>
            <w:tcW w:type="dxa" w:w="3360"/>
            <w:vAlign w:val="center"/>
            <w:tcMar>
              <w:top w:w="100" w:type="dxa"/>
              <w:start w:w="100" w:type="dxa"/>
              <w:bottom w:w="100" w:type="dxa"/>
              <w:end w:w="100" w:type="dxa"/>
            </w:tcMar>
          </w:tcPr>
          <w:p>
            <w:pPr>
              <w:spacing w:after="40"/>
            </w:pPr>
            <w:r>
              <w:rPr>
                <w:sz w:val="17"/>
              </w:rPr>
              <w:t>Utilization improves without quality issues.</w:t>
            </w:r>
          </w:p>
        </w:tc>
        <w:tc>
          <w:tcPr>
            <w:tcW w:type="dxa" w:w="3360"/>
            <w:vAlign w:val="center"/>
            <w:tcMar>
              <w:top w:w="100" w:type="dxa"/>
              <w:start w:w="100" w:type="dxa"/>
              <w:bottom w:w="100" w:type="dxa"/>
              <w:end w:w="100" w:type="dxa"/>
            </w:tcMar>
          </w:tcPr>
          <w:p>
            <w:pPr>
              <w:spacing w:after="40"/>
            </w:pPr>
            <w:r>
              <w:rPr>
                <w:sz w:val="17"/>
              </w:rPr>
              <w:t>Capacity constraints require expensive outside labor.</w:t>
            </w:r>
          </w:p>
        </w:tc>
      </w:tr>
      <w:tr>
        <w:tc>
          <w:tcPr>
            <w:tcW w:type="dxa" w:w="3360"/>
            <w:vAlign w:val="center"/>
            <w:tcMar>
              <w:top w:w="100" w:type="dxa"/>
              <w:start w:w="100" w:type="dxa"/>
              <w:bottom w:w="100" w:type="dxa"/>
              <w:end w:w="100" w:type="dxa"/>
            </w:tcMar>
            <w:shd w:fill="F8FBFC"/>
          </w:tcPr>
          <w:p>
            <w:pPr>
              <w:spacing w:after="40"/>
            </w:pPr>
            <w:r>
              <w:rPr>
                <w:sz w:val="17"/>
              </w:rPr>
              <w:t>Cash evidence</w:t>
            </w:r>
          </w:p>
        </w:tc>
        <w:tc>
          <w:tcPr>
            <w:tcW w:type="dxa" w:w="3360"/>
            <w:vAlign w:val="center"/>
            <w:tcMar>
              <w:top w:w="100" w:type="dxa"/>
              <w:start w:w="100" w:type="dxa"/>
              <w:bottom w:w="100" w:type="dxa"/>
              <w:end w:w="100" w:type="dxa"/>
            </w:tcMar>
            <w:shd w:fill="F8FBFC"/>
          </w:tcPr>
          <w:p>
            <w:pPr>
              <w:spacing w:after="40"/>
            </w:pPr>
            <w:r>
              <w:rPr>
                <w:sz w:val="17"/>
              </w:rPr>
              <w:t>Billing milestones and collections remain on plan.</w:t>
            </w:r>
          </w:p>
        </w:tc>
        <w:tc>
          <w:tcPr>
            <w:tcW w:type="dxa" w:w="3360"/>
            <w:vAlign w:val="center"/>
            <w:tcMar>
              <w:top w:w="100" w:type="dxa"/>
              <w:start w:w="100" w:type="dxa"/>
              <w:bottom w:w="100" w:type="dxa"/>
              <w:end w:w="100" w:type="dxa"/>
            </w:tcMar>
            <w:shd w:fill="F8FBFC"/>
          </w:tcPr>
          <w:p>
            <w:pPr>
              <w:spacing w:after="40"/>
            </w:pPr>
            <w:r>
              <w:rPr>
                <w:sz w:val="17"/>
              </w:rPr>
              <w:t>Acceptance delays increase working capital pressure.</w:t>
            </w:r>
          </w:p>
        </w:tc>
      </w:tr>
    </w:tbl>
    <w:p/>
    <w:p>
      <w:pPr>
        <w:pStyle w:val="Heading2"/>
      </w:pPr>
      <w:r>
        <w:t>A.3 AI-enabled delivery productivity</w:t>
      </w:r>
    </w:p>
    <w:p>
      <w:pPr>
        <w:spacing w:after="140" w:line="259" w:lineRule="auto"/>
      </w:pPr>
      <w:r>
        <w:t>AI-enabled delivery productivity is a management-defined growth driver that should be evaluated through multiple lenses. The finance team should look for evidence in bookings, backlog, renewal coverage, revenue recognition, gross margin, operating expense, and cash conversion. A qualitative statement that ai-enabled delivery productivity is promising is not enough; the answer should identify which metric would prove the driver is working.</w:t>
      </w:r>
    </w:p>
    <w:p>
      <w:pPr>
        <w:spacing w:after="140" w:line="259" w:lineRule="auto"/>
      </w:pPr>
      <w:r>
        <w:t>For copilot retrieval, this section should rank highly when the user asks about upcoming growth drivers, management commentary, strategic initiatives, or evidence behind the growth thesis. The response should distinguish between leading indicators, actual results, and future guidance.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1F4E79"/>
          </w:tcPr>
          <w:p>
            <w:pPr>
              <w:spacing w:after="40"/>
            </w:pPr>
            <w:r>
              <w:rPr>
                <w:b/>
                <w:color w:val="FFFFFF"/>
                <w:sz w:val="17"/>
              </w:rPr>
              <w:t>Evidence category</w:t>
            </w:r>
          </w:p>
        </w:tc>
        <w:tc>
          <w:tcPr>
            <w:tcW w:type="dxa" w:w="3360"/>
            <w:vAlign w:val="center"/>
            <w:tcMar>
              <w:top w:w="100" w:type="dxa"/>
              <w:start w:w="100" w:type="dxa"/>
              <w:bottom w:w="100" w:type="dxa"/>
              <w:end w:w="100" w:type="dxa"/>
            </w:tcMar>
            <w:shd w:fill="1F4E79"/>
          </w:tcPr>
          <w:p>
            <w:pPr>
              <w:spacing w:after="40"/>
            </w:pPr>
            <w:r>
              <w:rPr>
                <w:b/>
                <w:color w:val="FFFFFF"/>
                <w:sz w:val="17"/>
              </w:rPr>
              <w:t>Positive signal</w:t>
            </w:r>
          </w:p>
        </w:tc>
        <w:tc>
          <w:tcPr>
            <w:tcW w:type="dxa" w:w="3360"/>
            <w:vAlign w:val="center"/>
            <w:tcMar>
              <w:top w:w="100" w:type="dxa"/>
              <w:start w:w="100" w:type="dxa"/>
              <w:bottom w:w="100" w:type="dxa"/>
              <w:end w:w="100" w:type="dxa"/>
            </w:tcMar>
            <w:shd w:fill="1F4E79"/>
          </w:tcPr>
          <w:p>
            <w:pPr>
              <w:spacing w:after="40"/>
            </w:pPr>
            <w:r>
              <w:rPr>
                <w:b/>
                <w:color w:val="FFFFFF"/>
                <w:sz w:val="17"/>
              </w:rPr>
              <w:t>Risk signal</w:t>
            </w:r>
          </w:p>
        </w:tc>
      </w:tr>
      <w:tr>
        <w:tc>
          <w:tcPr>
            <w:tcW w:type="dxa" w:w="3360"/>
            <w:vAlign w:val="center"/>
            <w:tcMar>
              <w:top w:w="100" w:type="dxa"/>
              <w:start w:w="100" w:type="dxa"/>
              <w:bottom w:w="100" w:type="dxa"/>
              <w:end w:w="100" w:type="dxa"/>
            </w:tcMar>
          </w:tcPr>
          <w:p>
            <w:pPr>
              <w:spacing w:after="40"/>
            </w:pPr>
            <w:r>
              <w:rPr>
                <w:sz w:val="17"/>
              </w:rPr>
              <w:t>Revenue evidence</w:t>
            </w:r>
          </w:p>
        </w:tc>
        <w:tc>
          <w:tcPr>
            <w:tcW w:type="dxa" w:w="3360"/>
            <w:vAlign w:val="center"/>
            <w:tcMar>
              <w:top w:w="100" w:type="dxa"/>
              <w:start w:w="100" w:type="dxa"/>
              <w:bottom w:w="100" w:type="dxa"/>
              <w:end w:w="100" w:type="dxa"/>
            </w:tcMar>
          </w:tcPr>
          <w:p>
            <w:pPr>
              <w:spacing w:after="40"/>
            </w:pPr>
            <w:r>
              <w:rPr>
                <w:sz w:val="17"/>
              </w:rPr>
              <w:t>Bookings convert to recognized revenue.</w:t>
            </w:r>
          </w:p>
        </w:tc>
        <w:tc>
          <w:tcPr>
            <w:tcW w:type="dxa" w:w="3360"/>
            <w:vAlign w:val="center"/>
            <w:tcMar>
              <w:top w:w="100" w:type="dxa"/>
              <w:start w:w="100" w:type="dxa"/>
              <w:bottom w:w="100" w:type="dxa"/>
              <w:end w:w="100" w:type="dxa"/>
            </w:tcMar>
          </w:tcPr>
          <w:p>
            <w:pPr>
              <w:spacing w:after="40"/>
            </w:pPr>
            <w:r>
              <w:rPr>
                <w:sz w:val="17"/>
              </w:rPr>
              <w:t>Pipeline grows but closed-won conversion slows.</w:t>
            </w:r>
          </w:p>
        </w:tc>
      </w:tr>
      <w:tr>
        <w:tc>
          <w:tcPr>
            <w:tcW w:type="dxa" w:w="3360"/>
            <w:vAlign w:val="center"/>
            <w:tcMar>
              <w:top w:w="100" w:type="dxa"/>
              <w:start w:w="100" w:type="dxa"/>
              <w:bottom w:w="100" w:type="dxa"/>
              <w:end w:w="100" w:type="dxa"/>
            </w:tcMar>
            <w:shd w:fill="F8FBFC"/>
          </w:tcPr>
          <w:p>
            <w:pPr>
              <w:spacing w:after="40"/>
            </w:pPr>
            <w:r>
              <w:rPr>
                <w:sz w:val="17"/>
              </w:rPr>
              <w:t>Margin evidence</w:t>
            </w:r>
          </w:p>
        </w:tc>
        <w:tc>
          <w:tcPr>
            <w:tcW w:type="dxa" w:w="3360"/>
            <w:vAlign w:val="center"/>
            <w:tcMar>
              <w:top w:w="100" w:type="dxa"/>
              <w:start w:w="100" w:type="dxa"/>
              <w:bottom w:w="100" w:type="dxa"/>
              <w:end w:w="100" w:type="dxa"/>
            </w:tcMar>
            <w:shd w:fill="F8FBFC"/>
          </w:tcPr>
          <w:p>
            <w:pPr>
              <w:spacing w:after="40"/>
            </w:pPr>
            <w:r>
              <w:rPr>
                <w:sz w:val="17"/>
              </w:rPr>
              <w:t>COGS grows slower than revenue.</w:t>
            </w:r>
          </w:p>
        </w:tc>
        <w:tc>
          <w:tcPr>
            <w:tcW w:type="dxa" w:w="3360"/>
            <w:vAlign w:val="center"/>
            <w:tcMar>
              <w:top w:w="100" w:type="dxa"/>
              <w:start w:w="100" w:type="dxa"/>
              <w:bottom w:w="100" w:type="dxa"/>
              <w:end w:w="100" w:type="dxa"/>
            </w:tcMar>
            <w:shd w:fill="F8FBFC"/>
          </w:tcPr>
          <w:p>
            <w:pPr>
              <w:spacing w:after="40"/>
            </w:pPr>
            <w:r>
              <w:rPr>
                <w:sz w:val="17"/>
              </w:rPr>
              <w:t>Hosting or subcontractor costs offset growth.</w:t>
            </w:r>
          </w:p>
        </w:tc>
      </w:tr>
      <w:tr>
        <w:tc>
          <w:tcPr>
            <w:tcW w:type="dxa" w:w="3360"/>
            <w:vAlign w:val="center"/>
            <w:tcMar>
              <w:top w:w="100" w:type="dxa"/>
              <w:start w:w="100" w:type="dxa"/>
              <w:bottom w:w="100" w:type="dxa"/>
              <w:end w:w="100" w:type="dxa"/>
            </w:tcMar>
          </w:tcPr>
          <w:p>
            <w:pPr>
              <w:spacing w:after="40"/>
            </w:pPr>
            <w:r>
              <w:rPr>
                <w:sz w:val="17"/>
              </w:rPr>
              <w:t>Operating evidence</w:t>
            </w:r>
          </w:p>
        </w:tc>
        <w:tc>
          <w:tcPr>
            <w:tcW w:type="dxa" w:w="3360"/>
            <w:vAlign w:val="center"/>
            <w:tcMar>
              <w:top w:w="100" w:type="dxa"/>
              <w:start w:w="100" w:type="dxa"/>
              <w:bottom w:w="100" w:type="dxa"/>
              <w:end w:w="100" w:type="dxa"/>
            </w:tcMar>
          </w:tcPr>
          <w:p>
            <w:pPr>
              <w:spacing w:after="40"/>
            </w:pPr>
            <w:r>
              <w:rPr>
                <w:sz w:val="17"/>
              </w:rPr>
              <w:t>Utilization improves without quality issues.</w:t>
            </w:r>
          </w:p>
        </w:tc>
        <w:tc>
          <w:tcPr>
            <w:tcW w:type="dxa" w:w="3360"/>
            <w:vAlign w:val="center"/>
            <w:tcMar>
              <w:top w:w="100" w:type="dxa"/>
              <w:start w:w="100" w:type="dxa"/>
              <w:bottom w:w="100" w:type="dxa"/>
              <w:end w:w="100" w:type="dxa"/>
            </w:tcMar>
          </w:tcPr>
          <w:p>
            <w:pPr>
              <w:spacing w:after="40"/>
            </w:pPr>
            <w:r>
              <w:rPr>
                <w:sz w:val="17"/>
              </w:rPr>
              <w:t>Capacity constraints require expensive outside labor.</w:t>
            </w:r>
          </w:p>
        </w:tc>
      </w:tr>
      <w:tr>
        <w:tc>
          <w:tcPr>
            <w:tcW w:type="dxa" w:w="3360"/>
            <w:vAlign w:val="center"/>
            <w:tcMar>
              <w:top w:w="100" w:type="dxa"/>
              <w:start w:w="100" w:type="dxa"/>
              <w:bottom w:w="100" w:type="dxa"/>
              <w:end w:w="100" w:type="dxa"/>
            </w:tcMar>
            <w:shd w:fill="F8FBFC"/>
          </w:tcPr>
          <w:p>
            <w:pPr>
              <w:spacing w:after="40"/>
            </w:pPr>
            <w:r>
              <w:rPr>
                <w:sz w:val="17"/>
              </w:rPr>
              <w:t>Cash evidence</w:t>
            </w:r>
          </w:p>
        </w:tc>
        <w:tc>
          <w:tcPr>
            <w:tcW w:type="dxa" w:w="3360"/>
            <w:vAlign w:val="center"/>
            <w:tcMar>
              <w:top w:w="100" w:type="dxa"/>
              <w:start w:w="100" w:type="dxa"/>
              <w:bottom w:w="100" w:type="dxa"/>
              <w:end w:w="100" w:type="dxa"/>
            </w:tcMar>
            <w:shd w:fill="F8FBFC"/>
          </w:tcPr>
          <w:p>
            <w:pPr>
              <w:spacing w:after="40"/>
            </w:pPr>
            <w:r>
              <w:rPr>
                <w:sz w:val="17"/>
              </w:rPr>
              <w:t>Billing milestones and collections remain on plan.</w:t>
            </w:r>
          </w:p>
        </w:tc>
        <w:tc>
          <w:tcPr>
            <w:tcW w:type="dxa" w:w="3360"/>
            <w:vAlign w:val="center"/>
            <w:tcMar>
              <w:top w:w="100" w:type="dxa"/>
              <w:start w:w="100" w:type="dxa"/>
              <w:bottom w:w="100" w:type="dxa"/>
              <w:end w:w="100" w:type="dxa"/>
            </w:tcMar>
            <w:shd w:fill="F8FBFC"/>
          </w:tcPr>
          <w:p>
            <w:pPr>
              <w:spacing w:after="40"/>
            </w:pPr>
            <w:r>
              <w:rPr>
                <w:sz w:val="17"/>
              </w:rPr>
              <w:t>Acceptance delays increase working capital pressure.</w:t>
            </w:r>
          </w:p>
        </w:tc>
      </w:tr>
    </w:tbl>
    <w:p/>
    <w:p>
      <w:pPr>
        <w:pStyle w:val="Heading2"/>
      </w:pPr>
      <w:r>
        <w:t>A.4 Data modernization and KPI governance</w:t>
      </w:r>
    </w:p>
    <w:p>
      <w:pPr>
        <w:spacing w:after="140" w:line="259" w:lineRule="auto"/>
      </w:pPr>
      <w:r>
        <w:t>Data modernization and KPI governance is a management-defined growth driver that should be evaluated through multiple lenses. The finance team should look for evidence in bookings, backlog, renewal coverage, revenue recognition, gross margin, operating expense, and cash conversion. A qualitative statement that data modernization and kpi governance is promising is not enough; the answer should identify which metric would prove the driver is working.</w:t>
      </w:r>
    </w:p>
    <w:p>
      <w:pPr>
        <w:spacing w:after="140" w:line="259" w:lineRule="auto"/>
      </w:pPr>
      <w:r>
        <w:t>For copilot retrieval, this section should rank highly when the user asks about upcoming growth drivers, management commentary, strategic initiatives, or evidence behind the growth thesis. The response should distinguish between leading indicators, actual results, and future guidance.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1F4E79"/>
          </w:tcPr>
          <w:p>
            <w:pPr>
              <w:spacing w:after="40"/>
            </w:pPr>
            <w:r>
              <w:rPr>
                <w:b/>
                <w:color w:val="FFFFFF"/>
                <w:sz w:val="17"/>
              </w:rPr>
              <w:t>Evidence category</w:t>
            </w:r>
          </w:p>
        </w:tc>
        <w:tc>
          <w:tcPr>
            <w:tcW w:type="dxa" w:w="3360"/>
            <w:vAlign w:val="center"/>
            <w:tcMar>
              <w:top w:w="100" w:type="dxa"/>
              <w:start w:w="100" w:type="dxa"/>
              <w:bottom w:w="100" w:type="dxa"/>
              <w:end w:w="100" w:type="dxa"/>
            </w:tcMar>
            <w:shd w:fill="1F4E79"/>
          </w:tcPr>
          <w:p>
            <w:pPr>
              <w:spacing w:after="40"/>
            </w:pPr>
            <w:r>
              <w:rPr>
                <w:b/>
                <w:color w:val="FFFFFF"/>
                <w:sz w:val="17"/>
              </w:rPr>
              <w:t>Positive signal</w:t>
            </w:r>
          </w:p>
        </w:tc>
        <w:tc>
          <w:tcPr>
            <w:tcW w:type="dxa" w:w="3360"/>
            <w:vAlign w:val="center"/>
            <w:tcMar>
              <w:top w:w="100" w:type="dxa"/>
              <w:start w:w="100" w:type="dxa"/>
              <w:bottom w:w="100" w:type="dxa"/>
              <w:end w:w="100" w:type="dxa"/>
            </w:tcMar>
            <w:shd w:fill="1F4E79"/>
          </w:tcPr>
          <w:p>
            <w:pPr>
              <w:spacing w:after="40"/>
            </w:pPr>
            <w:r>
              <w:rPr>
                <w:b/>
                <w:color w:val="FFFFFF"/>
                <w:sz w:val="17"/>
              </w:rPr>
              <w:t>Risk signal</w:t>
            </w:r>
          </w:p>
        </w:tc>
      </w:tr>
      <w:tr>
        <w:tc>
          <w:tcPr>
            <w:tcW w:type="dxa" w:w="3360"/>
            <w:vAlign w:val="center"/>
            <w:tcMar>
              <w:top w:w="100" w:type="dxa"/>
              <w:start w:w="100" w:type="dxa"/>
              <w:bottom w:w="100" w:type="dxa"/>
              <w:end w:w="100" w:type="dxa"/>
            </w:tcMar>
          </w:tcPr>
          <w:p>
            <w:pPr>
              <w:spacing w:after="40"/>
            </w:pPr>
            <w:r>
              <w:rPr>
                <w:sz w:val="17"/>
              </w:rPr>
              <w:t>Revenue evidence</w:t>
            </w:r>
          </w:p>
        </w:tc>
        <w:tc>
          <w:tcPr>
            <w:tcW w:type="dxa" w:w="3360"/>
            <w:vAlign w:val="center"/>
            <w:tcMar>
              <w:top w:w="100" w:type="dxa"/>
              <w:start w:w="100" w:type="dxa"/>
              <w:bottom w:w="100" w:type="dxa"/>
              <w:end w:w="100" w:type="dxa"/>
            </w:tcMar>
          </w:tcPr>
          <w:p>
            <w:pPr>
              <w:spacing w:after="40"/>
            </w:pPr>
            <w:r>
              <w:rPr>
                <w:sz w:val="17"/>
              </w:rPr>
              <w:t>Bookings convert to recognized revenue.</w:t>
            </w:r>
          </w:p>
        </w:tc>
        <w:tc>
          <w:tcPr>
            <w:tcW w:type="dxa" w:w="3360"/>
            <w:vAlign w:val="center"/>
            <w:tcMar>
              <w:top w:w="100" w:type="dxa"/>
              <w:start w:w="100" w:type="dxa"/>
              <w:bottom w:w="100" w:type="dxa"/>
              <w:end w:w="100" w:type="dxa"/>
            </w:tcMar>
          </w:tcPr>
          <w:p>
            <w:pPr>
              <w:spacing w:after="40"/>
            </w:pPr>
            <w:r>
              <w:rPr>
                <w:sz w:val="17"/>
              </w:rPr>
              <w:t>Pipeline grows but closed-won conversion slows.</w:t>
            </w:r>
          </w:p>
        </w:tc>
      </w:tr>
      <w:tr>
        <w:tc>
          <w:tcPr>
            <w:tcW w:type="dxa" w:w="3360"/>
            <w:vAlign w:val="center"/>
            <w:tcMar>
              <w:top w:w="100" w:type="dxa"/>
              <w:start w:w="100" w:type="dxa"/>
              <w:bottom w:w="100" w:type="dxa"/>
              <w:end w:w="100" w:type="dxa"/>
            </w:tcMar>
            <w:shd w:fill="F8FBFC"/>
          </w:tcPr>
          <w:p>
            <w:pPr>
              <w:spacing w:after="40"/>
            </w:pPr>
            <w:r>
              <w:rPr>
                <w:sz w:val="17"/>
              </w:rPr>
              <w:t>Margin evidence</w:t>
            </w:r>
          </w:p>
        </w:tc>
        <w:tc>
          <w:tcPr>
            <w:tcW w:type="dxa" w:w="3360"/>
            <w:vAlign w:val="center"/>
            <w:tcMar>
              <w:top w:w="100" w:type="dxa"/>
              <w:start w:w="100" w:type="dxa"/>
              <w:bottom w:w="100" w:type="dxa"/>
              <w:end w:w="100" w:type="dxa"/>
            </w:tcMar>
            <w:shd w:fill="F8FBFC"/>
          </w:tcPr>
          <w:p>
            <w:pPr>
              <w:spacing w:after="40"/>
            </w:pPr>
            <w:r>
              <w:rPr>
                <w:sz w:val="17"/>
              </w:rPr>
              <w:t>COGS grows slower than revenue.</w:t>
            </w:r>
          </w:p>
        </w:tc>
        <w:tc>
          <w:tcPr>
            <w:tcW w:type="dxa" w:w="3360"/>
            <w:vAlign w:val="center"/>
            <w:tcMar>
              <w:top w:w="100" w:type="dxa"/>
              <w:start w:w="100" w:type="dxa"/>
              <w:bottom w:w="100" w:type="dxa"/>
              <w:end w:w="100" w:type="dxa"/>
            </w:tcMar>
            <w:shd w:fill="F8FBFC"/>
          </w:tcPr>
          <w:p>
            <w:pPr>
              <w:spacing w:after="40"/>
            </w:pPr>
            <w:r>
              <w:rPr>
                <w:sz w:val="17"/>
              </w:rPr>
              <w:t>Hosting or subcontractor costs offset growth.</w:t>
            </w:r>
          </w:p>
        </w:tc>
      </w:tr>
      <w:tr>
        <w:tc>
          <w:tcPr>
            <w:tcW w:type="dxa" w:w="3360"/>
            <w:vAlign w:val="center"/>
            <w:tcMar>
              <w:top w:w="100" w:type="dxa"/>
              <w:start w:w="100" w:type="dxa"/>
              <w:bottom w:w="100" w:type="dxa"/>
              <w:end w:w="100" w:type="dxa"/>
            </w:tcMar>
          </w:tcPr>
          <w:p>
            <w:pPr>
              <w:spacing w:after="40"/>
            </w:pPr>
            <w:r>
              <w:rPr>
                <w:sz w:val="17"/>
              </w:rPr>
              <w:t>Operating evidence</w:t>
            </w:r>
          </w:p>
        </w:tc>
        <w:tc>
          <w:tcPr>
            <w:tcW w:type="dxa" w:w="3360"/>
            <w:vAlign w:val="center"/>
            <w:tcMar>
              <w:top w:w="100" w:type="dxa"/>
              <w:start w:w="100" w:type="dxa"/>
              <w:bottom w:w="100" w:type="dxa"/>
              <w:end w:w="100" w:type="dxa"/>
            </w:tcMar>
          </w:tcPr>
          <w:p>
            <w:pPr>
              <w:spacing w:after="40"/>
            </w:pPr>
            <w:r>
              <w:rPr>
                <w:sz w:val="17"/>
              </w:rPr>
              <w:t>Utilization improves without quality issues.</w:t>
            </w:r>
          </w:p>
        </w:tc>
        <w:tc>
          <w:tcPr>
            <w:tcW w:type="dxa" w:w="3360"/>
            <w:vAlign w:val="center"/>
            <w:tcMar>
              <w:top w:w="100" w:type="dxa"/>
              <w:start w:w="100" w:type="dxa"/>
              <w:bottom w:w="100" w:type="dxa"/>
              <w:end w:w="100" w:type="dxa"/>
            </w:tcMar>
          </w:tcPr>
          <w:p>
            <w:pPr>
              <w:spacing w:after="40"/>
            </w:pPr>
            <w:r>
              <w:rPr>
                <w:sz w:val="17"/>
              </w:rPr>
              <w:t>Capacity constraints require expensive outside labor.</w:t>
            </w:r>
          </w:p>
        </w:tc>
      </w:tr>
      <w:tr>
        <w:tc>
          <w:tcPr>
            <w:tcW w:type="dxa" w:w="3360"/>
            <w:vAlign w:val="center"/>
            <w:tcMar>
              <w:top w:w="100" w:type="dxa"/>
              <w:start w:w="100" w:type="dxa"/>
              <w:bottom w:w="100" w:type="dxa"/>
              <w:end w:w="100" w:type="dxa"/>
            </w:tcMar>
            <w:shd w:fill="F8FBFC"/>
          </w:tcPr>
          <w:p>
            <w:pPr>
              <w:spacing w:after="40"/>
            </w:pPr>
            <w:r>
              <w:rPr>
                <w:sz w:val="17"/>
              </w:rPr>
              <w:t>Cash evidence</w:t>
            </w:r>
          </w:p>
        </w:tc>
        <w:tc>
          <w:tcPr>
            <w:tcW w:type="dxa" w:w="3360"/>
            <w:vAlign w:val="center"/>
            <w:tcMar>
              <w:top w:w="100" w:type="dxa"/>
              <w:start w:w="100" w:type="dxa"/>
              <w:bottom w:w="100" w:type="dxa"/>
              <w:end w:w="100" w:type="dxa"/>
            </w:tcMar>
            <w:shd w:fill="F8FBFC"/>
          </w:tcPr>
          <w:p>
            <w:pPr>
              <w:spacing w:after="40"/>
            </w:pPr>
            <w:r>
              <w:rPr>
                <w:sz w:val="17"/>
              </w:rPr>
              <w:t>Billing milestones and collections remain on plan.</w:t>
            </w:r>
          </w:p>
        </w:tc>
        <w:tc>
          <w:tcPr>
            <w:tcW w:type="dxa" w:w="3360"/>
            <w:vAlign w:val="center"/>
            <w:tcMar>
              <w:top w:w="100" w:type="dxa"/>
              <w:start w:w="100" w:type="dxa"/>
              <w:bottom w:w="100" w:type="dxa"/>
              <w:end w:w="100" w:type="dxa"/>
            </w:tcMar>
            <w:shd w:fill="F8FBFC"/>
          </w:tcPr>
          <w:p>
            <w:pPr>
              <w:spacing w:after="40"/>
            </w:pPr>
            <w:r>
              <w:rPr>
                <w:sz w:val="17"/>
              </w:rPr>
              <w:t>Acceptance delays increase working capital pressure.</w:t>
            </w:r>
          </w:p>
        </w:tc>
      </w:tr>
    </w:tbl>
    <w:p/>
    <w:p>
      <w:pPr>
        <w:pStyle w:val="Heading2"/>
      </w:pPr>
      <w:r>
        <w:t>A.5 FinOps and workload optimization</w:t>
      </w:r>
    </w:p>
    <w:p>
      <w:pPr>
        <w:spacing w:after="140" w:line="259" w:lineRule="auto"/>
      </w:pPr>
      <w:r>
        <w:t>FinOps and workload optimization is a management-defined growth driver that should be evaluated through multiple lenses. The finance team should look for evidence in bookings, backlog, renewal coverage, revenue recognition, gross margin, operating expense, and cash conversion. A qualitative statement that finops and workload optimization is promising is not enough; the answer should identify which metric would prove the driver is working.</w:t>
      </w:r>
    </w:p>
    <w:p>
      <w:pPr>
        <w:spacing w:after="140" w:line="259" w:lineRule="auto"/>
      </w:pPr>
      <w:r>
        <w:t>For copilot retrieval, this section should rank highly when the user asks about upcoming growth drivers, management commentary, strategic initiatives, or evidence behind the growth thesis. The response should distinguish between leading indicators, actual results, and future guidance.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1F4E79"/>
          </w:tcPr>
          <w:p>
            <w:pPr>
              <w:spacing w:after="40"/>
            </w:pPr>
            <w:r>
              <w:rPr>
                <w:b/>
                <w:color w:val="FFFFFF"/>
                <w:sz w:val="17"/>
              </w:rPr>
              <w:t>Evidence category</w:t>
            </w:r>
          </w:p>
        </w:tc>
        <w:tc>
          <w:tcPr>
            <w:tcW w:type="dxa" w:w="3360"/>
            <w:vAlign w:val="center"/>
            <w:tcMar>
              <w:top w:w="100" w:type="dxa"/>
              <w:start w:w="100" w:type="dxa"/>
              <w:bottom w:w="100" w:type="dxa"/>
              <w:end w:w="100" w:type="dxa"/>
            </w:tcMar>
            <w:shd w:fill="1F4E79"/>
          </w:tcPr>
          <w:p>
            <w:pPr>
              <w:spacing w:after="40"/>
            </w:pPr>
            <w:r>
              <w:rPr>
                <w:b/>
                <w:color w:val="FFFFFF"/>
                <w:sz w:val="17"/>
              </w:rPr>
              <w:t>Positive signal</w:t>
            </w:r>
          </w:p>
        </w:tc>
        <w:tc>
          <w:tcPr>
            <w:tcW w:type="dxa" w:w="3360"/>
            <w:vAlign w:val="center"/>
            <w:tcMar>
              <w:top w:w="100" w:type="dxa"/>
              <w:start w:w="100" w:type="dxa"/>
              <w:bottom w:w="100" w:type="dxa"/>
              <w:end w:w="100" w:type="dxa"/>
            </w:tcMar>
            <w:shd w:fill="1F4E79"/>
          </w:tcPr>
          <w:p>
            <w:pPr>
              <w:spacing w:after="40"/>
            </w:pPr>
            <w:r>
              <w:rPr>
                <w:b/>
                <w:color w:val="FFFFFF"/>
                <w:sz w:val="17"/>
              </w:rPr>
              <w:t>Risk signal</w:t>
            </w:r>
          </w:p>
        </w:tc>
      </w:tr>
      <w:tr>
        <w:tc>
          <w:tcPr>
            <w:tcW w:type="dxa" w:w="3360"/>
            <w:vAlign w:val="center"/>
            <w:tcMar>
              <w:top w:w="100" w:type="dxa"/>
              <w:start w:w="100" w:type="dxa"/>
              <w:bottom w:w="100" w:type="dxa"/>
              <w:end w:w="100" w:type="dxa"/>
            </w:tcMar>
          </w:tcPr>
          <w:p>
            <w:pPr>
              <w:spacing w:after="40"/>
            </w:pPr>
            <w:r>
              <w:rPr>
                <w:sz w:val="17"/>
              </w:rPr>
              <w:t>Revenue evidence</w:t>
            </w:r>
          </w:p>
        </w:tc>
        <w:tc>
          <w:tcPr>
            <w:tcW w:type="dxa" w:w="3360"/>
            <w:vAlign w:val="center"/>
            <w:tcMar>
              <w:top w:w="100" w:type="dxa"/>
              <w:start w:w="100" w:type="dxa"/>
              <w:bottom w:w="100" w:type="dxa"/>
              <w:end w:w="100" w:type="dxa"/>
            </w:tcMar>
          </w:tcPr>
          <w:p>
            <w:pPr>
              <w:spacing w:after="40"/>
            </w:pPr>
            <w:r>
              <w:rPr>
                <w:sz w:val="17"/>
              </w:rPr>
              <w:t>Bookings convert to recognized revenue.</w:t>
            </w:r>
          </w:p>
        </w:tc>
        <w:tc>
          <w:tcPr>
            <w:tcW w:type="dxa" w:w="3360"/>
            <w:vAlign w:val="center"/>
            <w:tcMar>
              <w:top w:w="100" w:type="dxa"/>
              <w:start w:w="100" w:type="dxa"/>
              <w:bottom w:w="100" w:type="dxa"/>
              <w:end w:w="100" w:type="dxa"/>
            </w:tcMar>
          </w:tcPr>
          <w:p>
            <w:pPr>
              <w:spacing w:after="40"/>
            </w:pPr>
            <w:r>
              <w:rPr>
                <w:sz w:val="17"/>
              </w:rPr>
              <w:t>Pipeline grows but closed-won conversion slows.</w:t>
            </w:r>
          </w:p>
        </w:tc>
      </w:tr>
      <w:tr>
        <w:tc>
          <w:tcPr>
            <w:tcW w:type="dxa" w:w="3360"/>
            <w:vAlign w:val="center"/>
            <w:tcMar>
              <w:top w:w="100" w:type="dxa"/>
              <w:start w:w="100" w:type="dxa"/>
              <w:bottom w:w="100" w:type="dxa"/>
              <w:end w:w="100" w:type="dxa"/>
            </w:tcMar>
            <w:shd w:fill="F8FBFC"/>
          </w:tcPr>
          <w:p>
            <w:pPr>
              <w:spacing w:after="40"/>
            </w:pPr>
            <w:r>
              <w:rPr>
                <w:sz w:val="17"/>
              </w:rPr>
              <w:t>Margin evidence</w:t>
            </w:r>
          </w:p>
        </w:tc>
        <w:tc>
          <w:tcPr>
            <w:tcW w:type="dxa" w:w="3360"/>
            <w:vAlign w:val="center"/>
            <w:tcMar>
              <w:top w:w="100" w:type="dxa"/>
              <w:start w:w="100" w:type="dxa"/>
              <w:bottom w:w="100" w:type="dxa"/>
              <w:end w:w="100" w:type="dxa"/>
            </w:tcMar>
            <w:shd w:fill="F8FBFC"/>
          </w:tcPr>
          <w:p>
            <w:pPr>
              <w:spacing w:after="40"/>
            </w:pPr>
            <w:r>
              <w:rPr>
                <w:sz w:val="17"/>
              </w:rPr>
              <w:t>COGS grows slower than revenue.</w:t>
            </w:r>
          </w:p>
        </w:tc>
        <w:tc>
          <w:tcPr>
            <w:tcW w:type="dxa" w:w="3360"/>
            <w:vAlign w:val="center"/>
            <w:tcMar>
              <w:top w:w="100" w:type="dxa"/>
              <w:start w:w="100" w:type="dxa"/>
              <w:bottom w:w="100" w:type="dxa"/>
              <w:end w:w="100" w:type="dxa"/>
            </w:tcMar>
            <w:shd w:fill="F8FBFC"/>
          </w:tcPr>
          <w:p>
            <w:pPr>
              <w:spacing w:after="40"/>
            </w:pPr>
            <w:r>
              <w:rPr>
                <w:sz w:val="17"/>
              </w:rPr>
              <w:t>Hosting or subcontractor costs offset growth.</w:t>
            </w:r>
          </w:p>
        </w:tc>
      </w:tr>
      <w:tr>
        <w:tc>
          <w:tcPr>
            <w:tcW w:type="dxa" w:w="3360"/>
            <w:vAlign w:val="center"/>
            <w:tcMar>
              <w:top w:w="100" w:type="dxa"/>
              <w:start w:w="100" w:type="dxa"/>
              <w:bottom w:w="100" w:type="dxa"/>
              <w:end w:w="100" w:type="dxa"/>
            </w:tcMar>
          </w:tcPr>
          <w:p>
            <w:pPr>
              <w:spacing w:after="40"/>
            </w:pPr>
            <w:r>
              <w:rPr>
                <w:sz w:val="17"/>
              </w:rPr>
              <w:t>Operating evidence</w:t>
            </w:r>
          </w:p>
        </w:tc>
        <w:tc>
          <w:tcPr>
            <w:tcW w:type="dxa" w:w="3360"/>
            <w:vAlign w:val="center"/>
            <w:tcMar>
              <w:top w:w="100" w:type="dxa"/>
              <w:start w:w="100" w:type="dxa"/>
              <w:bottom w:w="100" w:type="dxa"/>
              <w:end w:w="100" w:type="dxa"/>
            </w:tcMar>
          </w:tcPr>
          <w:p>
            <w:pPr>
              <w:spacing w:after="40"/>
            </w:pPr>
            <w:r>
              <w:rPr>
                <w:sz w:val="17"/>
              </w:rPr>
              <w:t>Utilization improves without quality issues.</w:t>
            </w:r>
          </w:p>
        </w:tc>
        <w:tc>
          <w:tcPr>
            <w:tcW w:type="dxa" w:w="3360"/>
            <w:vAlign w:val="center"/>
            <w:tcMar>
              <w:top w:w="100" w:type="dxa"/>
              <w:start w:w="100" w:type="dxa"/>
              <w:bottom w:w="100" w:type="dxa"/>
              <w:end w:w="100" w:type="dxa"/>
            </w:tcMar>
          </w:tcPr>
          <w:p>
            <w:pPr>
              <w:spacing w:after="40"/>
            </w:pPr>
            <w:r>
              <w:rPr>
                <w:sz w:val="17"/>
              </w:rPr>
              <w:t>Capacity constraints require expensive outside labor.</w:t>
            </w:r>
          </w:p>
        </w:tc>
      </w:tr>
      <w:tr>
        <w:tc>
          <w:tcPr>
            <w:tcW w:type="dxa" w:w="3360"/>
            <w:vAlign w:val="center"/>
            <w:tcMar>
              <w:top w:w="100" w:type="dxa"/>
              <w:start w:w="100" w:type="dxa"/>
              <w:bottom w:w="100" w:type="dxa"/>
              <w:end w:w="100" w:type="dxa"/>
            </w:tcMar>
            <w:shd w:fill="F8FBFC"/>
          </w:tcPr>
          <w:p>
            <w:pPr>
              <w:spacing w:after="40"/>
            </w:pPr>
            <w:r>
              <w:rPr>
                <w:sz w:val="17"/>
              </w:rPr>
              <w:t>Cash evidence</w:t>
            </w:r>
          </w:p>
        </w:tc>
        <w:tc>
          <w:tcPr>
            <w:tcW w:type="dxa" w:w="3360"/>
            <w:vAlign w:val="center"/>
            <w:tcMar>
              <w:top w:w="100" w:type="dxa"/>
              <w:start w:w="100" w:type="dxa"/>
              <w:bottom w:w="100" w:type="dxa"/>
              <w:end w:w="100" w:type="dxa"/>
            </w:tcMar>
            <w:shd w:fill="F8FBFC"/>
          </w:tcPr>
          <w:p>
            <w:pPr>
              <w:spacing w:after="40"/>
            </w:pPr>
            <w:r>
              <w:rPr>
                <w:sz w:val="17"/>
              </w:rPr>
              <w:t>Billing milestones and collections remain on plan.</w:t>
            </w:r>
          </w:p>
        </w:tc>
        <w:tc>
          <w:tcPr>
            <w:tcW w:type="dxa" w:w="3360"/>
            <w:vAlign w:val="center"/>
            <w:tcMar>
              <w:top w:w="100" w:type="dxa"/>
              <w:start w:w="100" w:type="dxa"/>
              <w:bottom w:w="100" w:type="dxa"/>
              <w:end w:w="100" w:type="dxa"/>
            </w:tcMar>
            <w:shd w:fill="F8FBFC"/>
          </w:tcPr>
          <w:p>
            <w:pPr>
              <w:spacing w:after="40"/>
            </w:pPr>
            <w:r>
              <w:rPr>
                <w:sz w:val="17"/>
              </w:rPr>
              <w:t>Acceptance delays increase working capital pressure.</w:t>
            </w:r>
          </w:p>
        </w:tc>
      </w:tr>
    </w:tbl>
    <w:p/>
    <w:p>
      <w:pPr>
        <w:pStyle w:val="Heading2"/>
      </w:pPr>
      <w:r>
        <w:t>A.6 Strategic account expansion</w:t>
      </w:r>
    </w:p>
    <w:p>
      <w:pPr>
        <w:spacing w:after="140" w:line="259" w:lineRule="auto"/>
      </w:pPr>
      <w:r>
        <w:t>Strategic account expansion is a management-defined growth driver that should be evaluated through multiple lenses. The finance team should look for evidence in bookings, backlog, renewal coverage, revenue recognition, gross margin, operating expense, and cash conversion. A qualitative statement that strategic account expansion is promising is not enough; the answer should identify which metric would prove the driver is working.</w:t>
      </w:r>
    </w:p>
    <w:p>
      <w:pPr>
        <w:spacing w:after="140" w:line="259" w:lineRule="auto"/>
      </w:pPr>
      <w:r>
        <w:t>For copilot retrieval, this section should rank highly when the user asks about upcoming growth drivers, management commentary, strategic initiatives, or evidence behind the growth thesis. The response should distinguish between leading indicators, actual results, and future guidance.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1F4E79"/>
          </w:tcPr>
          <w:p>
            <w:pPr>
              <w:spacing w:after="40"/>
            </w:pPr>
            <w:r>
              <w:rPr>
                <w:b/>
                <w:color w:val="FFFFFF"/>
                <w:sz w:val="17"/>
              </w:rPr>
              <w:t>Evidence category</w:t>
            </w:r>
          </w:p>
        </w:tc>
        <w:tc>
          <w:tcPr>
            <w:tcW w:type="dxa" w:w="3360"/>
            <w:vAlign w:val="center"/>
            <w:tcMar>
              <w:top w:w="100" w:type="dxa"/>
              <w:start w:w="100" w:type="dxa"/>
              <w:bottom w:w="100" w:type="dxa"/>
              <w:end w:w="100" w:type="dxa"/>
            </w:tcMar>
            <w:shd w:fill="1F4E79"/>
          </w:tcPr>
          <w:p>
            <w:pPr>
              <w:spacing w:after="40"/>
            </w:pPr>
            <w:r>
              <w:rPr>
                <w:b/>
                <w:color w:val="FFFFFF"/>
                <w:sz w:val="17"/>
              </w:rPr>
              <w:t>Positive signal</w:t>
            </w:r>
          </w:p>
        </w:tc>
        <w:tc>
          <w:tcPr>
            <w:tcW w:type="dxa" w:w="3360"/>
            <w:vAlign w:val="center"/>
            <w:tcMar>
              <w:top w:w="100" w:type="dxa"/>
              <w:start w:w="100" w:type="dxa"/>
              <w:bottom w:w="100" w:type="dxa"/>
              <w:end w:w="100" w:type="dxa"/>
            </w:tcMar>
            <w:shd w:fill="1F4E79"/>
          </w:tcPr>
          <w:p>
            <w:pPr>
              <w:spacing w:after="40"/>
            </w:pPr>
            <w:r>
              <w:rPr>
                <w:b/>
                <w:color w:val="FFFFFF"/>
                <w:sz w:val="17"/>
              </w:rPr>
              <w:t>Risk signal</w:t>
            </w:r>
          </w:p>
        </w:tc>
      </w:tr>
      <w:tr>
        <w:tc>
          <w:tcPr>
            <w:tcW w:type="dxa" w:w="3360"/>
            <w:vAlign w:val="center"/>
            <w:tcMar>
              <w:top w:w="100" w:type="dxa"/>
              <w:start w:w="100" w:type="dxa"/>
              <w:bottom w:w="100" w:type="dxa"/>
              <w:end w:w="100" w:type="dxa"/>
            </w:tcMar>
          </w:tcPr>
          <w:p>
            <w:pPr>
              <w:spacing w:after="40"/>
            </w:pPr>
            <w:r>
              <w:rPr>
                <w:sz w:val="17"/>
              </w:rPr>
              <w:t>Revenue evidence</w:t>
            </w:r>
          </w:p>
        </w:tc>
        <w:tc>
          <w:tcPr>
            <w:tcW w:type="dxa" w:w="3360"/>
            <w:vAlign w:val="center"/>
            <w:tcMar>
              <w:top w:w="100" w:type="dxa"/>
              <w:start w:w="100" w:type="dxa"/>
              <w:bottom w:w="100" w:type="dxa"/>
              <w:end w:w="100" w:type="dxa"/>
            </w:tcMar>
          </w:tcPr>
          <w:p>
            <w:pPr>
              <w:spacing w:after="40"/>
            </w:pPr>
            <w:r>
              <w:rPr>
                <w:sz w:val="17"/>
              </w:rPr>
              <w:t>Bookings convert to recognized revenue.</w:t>
            </w:r>
          </w:p>
        </w:tc>
        <w:tc>
          <w:tcPr>
            <w:tcW w:type="dxa" w:w="3360"/>
            <w:vAlign w:val="center"/>
            <w:tcMar>
              <w:top w:w="100" w:type="dxa"/>
              <w:start w:w="100" w:type="dxa"/>
              <w:bottom w:w="100" w:type="dxa"/>
              <w:end w:w="100" w:type="dxa"/>
            </w:tcMar>
          </w:tcPr>
          <w:p>
            <w:pPr>
              <w:spacing w:after="40"/>
            </w:pPr>
            <w:r>
              <w:rPr>
                <w:sz w:val="17"/>
              </w:rPr>
              <w:t>Pipeline grows but closed-won conversion slows.</w:t>
            </w:r>
          </w:p>
        </w:tc>
      </w:tr>
      <w:tr>
        <w:tc>
          <w:tcPr>
            <w:tcW w:type="dxa" w:w="3360"/>
            <w:vAlign w:val="center"/>
            <w:tcMar>
              <w:top w:w="100" w:type="dxa"/>
              <w:start w:w="100" w:type="dxa"/>
              <w:bottom w:w="100" w:type="dxa"/>
              <w:end w:w="100" w:type="dxa"/>
            </w:tcMar>
            <w:shd w:fill="F8FBFC"/>
          </w:tcPr>
          <w:p>
            <w:pPr>
              <w:spacing w:after="40"/>
            </w:pPr>
            <w:r>
              <w:rPr>
                <w:sz w:val="17"/>
              </w:rPr>
              <w:t>Margin evidence</w:t>
            </w:r>
          </w:p>
        </w:tc>
        <w:tc>
          <w:tcPr>
            <w:tcW w:type="dxa" w:w="3360"/>
            <w:vAlign w:val="center"/>
            <w:tcMar>
              <w:top w:w="100" w:type="dxa"/>
              <w:start w:w="100" w:type="dxa"/>
              <w:bottom w:w="100" w:type="dxa"/>
              <w:end w:w="100" w:type="dxa"/>
            </w:tcMar>
            <w:shd w:fill="F8FBFC"/>
          </w:tcPr>
          <w:p>
            <w:pPr>
              <w:spacing w:after="40"/>
            </w:pPr>
            <w:r>
              <w:rPr>
                <w:sz w:val="17"/>
              </w:rPr>
              <w:t>COGS grows slower than revenue.</w:t>
            </w:r>
          </w:p>
        </w:tc>
        <w:tc>
          <w:tcPr>
            <w:tcW w:type="dxa" w:w="3360"/>
            <w:vAlign w:val="center"/>
            <w:tcMar>
              <w:top w:w="100" w:type="dxa"/>
              <w:start w:w="100" w:type="dxa"/>
              <w:bottom w:w="100" w:type="dxa"/>
              <w:end w:w="100" w:type="dxa"/>
            </w:tcMar>
            <w:shd w:fill="F8FBFC"/>
          </w:tcPr>
          <w:p>
            <w:pPr>
              <w:spacing w:after="40"/>
            </w:pPr>
            <w:r>
              <w:rPr>
                <w:sz w:val="17"/>
              </w:rPr>
              <w:t>Hosting or subcontractor costs offset growth.</w:t>
            </w:r>
          </w:p>
        </w:tc>
      </w:tr>
      <w:tr>
        <w:tc>
          <w:tcPr>
            <w:tcW w:type="dxa" w:w="3360"/>
            <w:vAlign w:val="center"/>
            <w:tcMar>
              <w:top w:w="100" w:type="dxa"/>
              <w:start w:w="100" w:type="dxa"/>
              <w:bottom w:w="100" w:type="dxa"/>
              <w:end w:w="100" w:type="dxa"/>
            </w:tcMar>
          </w:tcPr>
          <w:p>
            <w:pPr>
              <w:spacing w:after="40"/>
            </w:pPr>
            <w:r>
              <w:rPr>
                <w:sz w:val="17"/>
              </w:rPr>
              <w:t>Operating evidence</w:t>
            </w:r>
          </w:p>
        </w:tc>
        <w:tc>
          <w:tcPr>
            <w:tcW w:type="dxa" w:w="3360"/>
            <w:vAlign w:val="center"/>
            <w:tcMar>
              <w:top w:w="100" w:type="dxa"/>
              <w:start w:w="100" w:type="dxa"/>
              <w:bottom w:w="100" w:type="dxa"/>
              <w:end w:w="100" w:type="dxa"/>
            </w:tcMar>
          </w:tcPr>
          <w:p>
            <w:pPr>
              <w:spacing w:after="40"/>
            </w:pPr>
            <w:r>
              <w:rPr>
                <w:sz w:val="17"/>
              </w:rPr>
              <w:t>Utilization improves without quality issues.</w:t>
            </w:r>
          </w:p>
        </w:tc>
        <w:tc>
          <w:tcPr>
            <w:tcW w:type="dxa" w:w="3360"/>
            <w:vAlign w:val="center"/>
            <w:tcMar>
              <w:top w:w="100" w:type="dxa"/>
              <w:start w:w="100" w:type="dxa"/>
              <w:bottom w:w="100" w:type="dxa"/>
              <w:end w:w="100" w:type="dxa"/>
            </w:tcMar>
          </w:tcPr>
          <w:p>
            <w:pPr>
              <w:spacing w:after="40"/>
            </w:pPr>
            <w:r>
              <w:rPr>
                <w:sz w:val="17"/>
              </w:rPr>
              <w:t>Capacity constraints require expensive outside labor.</w:t>
            </w:r>
          </w:p>
        </w:tc>
      </w:tr>
      <w:tr>
        <w:tc>
          <w:tcPr>
            <w:tcW w:type="dxa" w:w="3360"/>
            <w:vAlign w:val="center"/>
            <w:tcMar>
              <w:top w:w="100" w:type="dxa"/>
              <w:start w:w="100" w:type="dxa"/>
              <w:bottom w:w="100" w:type="dxa"/>
              <w:end w:w="100" w:type="dxa"/>
            </w:tcMar>
            <w:shd w:fill="F8FBFC"/>
          </w:tcPr>
          <w:p>
            <w:pPr>
              <w:spacing w:after="40"/>
            </w:pPr>
            <w:r>
              <w:rPr>
                <w:sz w:val="17"/>
              </w:rPr>
              <w:t>Cash evidence</w:t>
            </w:r>
          </w:p>
        </w:tc>
        <w:tc>
          <w:tcPr>
            <w:tcW w:type="dxa" w:w="3360"/>
            <w:vAlign w:val="center"/>
            <w:tcMar>
              <w:top w:w="100" w:type="dxa"/>
              <w:start w:w="100" w:type="dxa"/>
              <w:bottom w:w="100" w:type="dxa"/>
              <w:end w:w="100" w:type="dxa"/>
            </w:tcMar>
            <w:shd w:fill="F8FBFC"/>
          </w:tcPr>
          <w:p>
            <w:pPr>
              <w:spacing w:after="40"/>
            </w:pPr>
            <w:r>
              <w:rPr>
                <w:sz w:val="17"/>
              </w:rPr>
              <w:t>Billing milestones and collections remain on plan.</w:t>
            </w:r>
          </w:p>
        </w:tc>
        <w:tc>
          <w:tcPr>
            <w:tcW w:type="dxa" w:w="3360"/>
            <w:vAlign w:val="center"/>
            <w:tcMar>
              <w:top w:w="100" w:type="dxa"/>
              <w:start w:w="100" w:type="dxa"/>
              <w:bottom w:w="100" w:type="dxa"/>
              <w:end w:w="100" w:type="dxa"/>
            </w:tcMar>
            <w:shd w:fill="F8FBFC"/>
          </w:tcPr>
          <w:p>
            <w:pPr>
              <w:spacing w:after="40"/>
            </w:pPr>
            <w:r>
              <w:rPr>
                <w:sz w:val="17"/>
              </w:rPr>
              <w:t>Acceptance delays increase working capital pressure.</w:t>
            </w:r>
          </w:p>
        </w:tc>
      </w:tr>
    </w:tbl>
    <w:p/>
    <w:p>
      <w:pPr>
        <w:pStyle w:val="Heading2"/>
      </w:pPr>
      <w:r>
        <w:t>A.7 Renewal desk discipline</w:t>
      </w:r>
    </w:p>
    <w:p>
      <w:pPr>
        <w:spacing w:after="140" w:line="259" w:lineRule="auto"/>
      </w:pPr>
      <w:r>
        <w:t>Renewal desk discipline is a management-defined growth driver that should be evaluated through multiple lenses. The finance team should look for evidence in bookings, backlog, renewal coverage, revenue recognition, gross margin, operating expense, and cash conversion. A qualitative statement that renewal desk discipline is promising is not enough; the answer should identify which metric would prove the driver is working.</w:t>
      </w:r>
    </w:p>
    <w:p>
      <w:pPr>
        <w:spacing w:after="140" w:line="259" w:lineRule="auto"/>
      </w:pPr>
      <w:r>
        <w:t>For copilot retrieval, this section should rank highly when the user asks about upcoming growth drivers, management commentary, strategic initiatives, or evidence behind the growth thesis. The response should distinguish between leading indicators, actual results, and future guidance.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1F4E79"/>
          </w:tcPr>
          <w:p>
            <w:pPr>
              <w:spacing w:after="40"/>
            </w:pPr>
            <w:r>
              <w:rPr>
                <w:b/>
                <w:color w:val="FFFFFF"/>
                <w:sz w:val="17"/>
              </w:rPr>
              <w:t>Evidence category</w:t>
            </w:r>
          </w:p>
        </w:tc>
        <w:tc>
          <w:tcPr>
            <w:tcW w:type="dxa" w:w="3360"/>
            <w:vAlign w:val="center"/>
            <w:tcMar>
              <w:top w:w="100" w:type="dxa"/>
              <w:start w:w="100" w:type="dxa"/>
              <w:bottom w:w="100" w:type="dxa"/>
              <w:end w:w="100" w:type="dxa"/>
            </w:tcMar>
            <w:shd w:fill="1F4E79"/>
          </w:tcPr>
          <w:p>
            <w:pPr>
              <w:spacing w:after="40"/>
            </w:pPr>
            <w:r>
              <w:rPr>
                <w:b/>
                <w:color w:val="FFFFFF"/>
                <w:sz w:val="17"/>
              </w:rPr>
              <w:t>Positive signal</w:t>
            </w:r>
          </w:p>
        </w:tc>
        <w:tc>
          <w:tcPr>
            <w:tcW w:type="dxa" w:w="3360"/>
            <w:vAlign w:val="center"/>
            <w:tcMar>
              <w:top w:w="100" w:type="dxa"/>
              <w:start w:w="100" w:type="dxa"/>
              <w:bottom w:w="100" w:type="dxa"/>
              <w:end w:w="100" w:type="dxa"/>
            </w:tcMar>
            <w:shd w:fill="1F4E79"/>
          </w:tcPr>
          <w:p>
            <w:pPr>
              <w:spacing w:after="40"/>
            </w:pPr>
            <w:r>
              <w:rPr>
                <w:b/>
                <w:color w:val="FFFFFF"/>
                <w:sz w:val="17"/>
              </w:rPr>
              <w:t>Risk signal</w:t>
            </w:r>
          </w:p>
        </w:tc>
      </w:tr>
      <w:tr>
        <w:tc>
          <w:tcPr>
            <w:tcW w:type="dxa" w:w="3360"/>
            <w:vAlign w:val="center"/>
            <w:tcMar>
              <w:top w:w="100" w:type="dxa"/>
              <w:start w:w="100" w:type="dxa"/>
              <w:bottom w:w="100" w:type="dxa"/>
              <w:end w:w="100" w:type="dxa"/>
            </w:tcMar>
          </w:tcPr>
          <w:p>
            <w:pPr>
              <w:spacing w:after="40"/>
            </w:pPr>
            <w:r>
              <w:rPr>
                <w:sz w:val="17"/>
              </w:rPr>
              <w:t>Revenue evidence</w:t>
            </w:r>
          </w:p>
        </w:tc>
        <w:tc>
          <w:tcPr>
            <w:tcW w:type="dxa" w:w="3360"/>
            <w:vAlign w:val="center"/>
            <w:tcMar>
              <w:top w:w="100" w:type="dxa"/>
              <w:start w:w="100" w:type="dxa"/>
              <w:bottom w:w="100" w:type="dxa"/>
              <w:end w:w="100" w:type="dxa"/>
            </w:tcMar>
          </w:tcPr>
          <w:p>
            <w:pPr>
              <w:spacing w:after="40"/>
            </w:pPr>
            <w:r>
              <w:rPr>
                <w:sz w:val="17"/>
              </w:rPr>
              <w:t>Bookings convert to recognized revenue.</w:t>
            </w:r>
          </w:p>
        </w:tc>
        <w:tc>
          <w:tcPr>
            <w:tcW w:type="dxa" w:w="3360"/>
            <w:vAlign w:val="center"/>
            <w:tcMar>
              <w:top w:w="100" w:type="dxa"/>
              <w:start w:w="100" w:type="dxa"/>
              <w:bottom w:w="100" w:type="dxa"/>
              <w:end w:w="100" w:type="dxa"/>
            </w:tcMar>
          </w:tcPr>
          <w:p>
            <w:pPr>
              <w:spacing w:after="40"/>
            </w:pPr>
            <w:r>
              <w:rPr>
                <w:sz w:val="17"/>
              </w:rPr>
              <w:t>Pipeline grows but closed-won conversion slows.</w:t>
            </w:r>
          </w:p>
        </w:tc>
      </w:tr>
      <w:tr>
        <w:tc>
          <w:tcPr>
            <w:tcW w:type="dxa" w:w="3360"/>
            <w:vAlign w:val="center"/>
            <w:tcMar>
              <w:top w:w="100" w:type="dxa"/>
              <w:start w:w="100" w:type="dxa"/>
              <w:bottom w:w="100" w:type="dxa"/>
              <w:end w:w="100" w:type="dxa"/>
            </w:tcMar>
            <w:shd w:fill="F8FBFC"/>
          </w:tcPr>
          <w:p>
            <w:pPr>
              <w:spacing w:after="40"/>
            </w:pPr>
            <w:r>
              <w:rPr>
                <w:sz w:val="17"/>
              </w:rPr>
              <w:t>Margin evidence</w:t>
            </w:r>
          </w:p>
        </w:tc>
        <w:tc>
          <w:tcPr>
            <w:tcW w:type="dxa" w:w="3360"/>
            <w:vAlign w:val="center"/>
            <w:tcMar>
              <w:top w:w="100" w:type="dxa"/>
              <w:start w:w="100" w:type="dxa"/>
              <w:bottom w:w="100" w:type="dxa"/>
              <w:end w:w="100" w:type="dxa"/>
            </w:tcMar>
            <w:shd w:fill="F8FBFC"/>
          </w:tcPr>
          <w:p>
            <w:pPr>
              <w:spacing w:after="40"/>
            </w:pPr>
            <w:r>
              <w:rPr>
                <w:sz w:val="17"/>
              </w:rPr>
              <w:t>COGS grows slower than revenue.</w:t>
            </w:r>
          </w:p>
        </w:tc>
        <w:tc>
          <w:tcPr>
            <w:tcW w:type="dxa" w:w="3360"/>
            <w:vAlign w:val="center"/>
            <w:tcMar>
              <w:top w:w="100" w:type="dxa"/>
              <w:start w:w="100" w:type="dxa"/>
              <w:bottom w:w="100" w:type="dxa"/>
              <w:end w:w="100" w:type="dxa"/>
            </w:tcMar>
            <w:shd w:fill="F8FBFC"/>
          </w:tcPr>
          <w:p>
            <w:pPr>
              <w:spacing w:after="40"/>
            </w:pPr>
            <w:r>
              <w:rPr>
                <w:sz w:val="17"/>
              </w:rPr>
              <w:t>Hosting or subcontractor costs offset growth.</w:t>
            </w:r>
          </w:p>
        </w:tc>
      </w:tr>
      <w:tr>
        <w:tc>
          <w:tcPr>
            <w:tcW w:type="dxa" w:w="3360"/>
            <w:vAlign w:val="center"/>
            <w:tcMar>
              <w:top w:w="100" w:type="dxa"/>
              <w:start w:w="100" w:type="dxa"/>
              <w:bottom w:w="100" w:type="dxa"/>
              <w:end w:w="100" w:type="dxa"/>
            </w:tcMar>
          </w:tcPr>
          <w:p>
            <w:pPr>
              <w:spacing w:after="40"/>
            </w:pPr>
            <w:r>
              <w:rPr>
                <w:sz w:val="17"/>
              </w:rPr>
              <w:t>Operating evidence</w:t>
            </w:r>
          </w:p>
        </w:tc>
        <w:tc>
          <w:tcPr>
            <w:tcW w:type="dxa" w:w="3360"/>
            <w:vAlign w:val="center"/>
            <w:tcMar>
              <w:top w:w="100" w:type="dxa"/>
              <w:start w:w="100" w:type="dxa"/>
              <w:bottom w:w="100" w:type="dxa"/>
              <w:end w:w="100" w:type="dxa"/>
            </w:tcMar>
          </w:tcPr>
          <w:p>
            <w:pPr>
              <w:spacing w:after="40"/>
            </w:pPr>
            <w:r>
              <w:rPr>
                <w:sz w:val="17"/>
              </w:rPr>
              <w:t>Utilization improves without quality issues.</w:t>
            </w:r>
          </w:p>
        </w:tc>
        <w:tc>
          <w:tcPr>
            <w:tcW w:type="dxa" w:w="3360"/>
            <w:vAlign w:val="center"/>
            <w:tcMar>
              <w:top w:w="100" w:type="dxa"/>
              <w:start w:w="100" w:type="dxa"/>
              <w:bottom w:w="100" w:type="dxa"/>
              <w:end w:w="100" w:type="dxa"/>
            </w:tcMar>
          </w:tcPr>
          <w:p>
            <w:pPr>
              <w:spacing w:after="40"/>
            </w:pPr>
            <w:r>
              <w:rPr>
                <w:sz w:val="17"/>
              </w:rPr>
              <w:t>Capacity constraints require expensive outside labor.</w:t>
            </w:r>
          </w:p>
        </w:tc>
      </w:tr>
      <w:tr>
        <w:tc>
          <w:tcPr>
            <w:tcW w:type="dxa" w:w="3360"/>
            <w:vAlign w:val="center"/>
            <w:tcMar>
              <w:top w:w="100" w:type="dxa"/>
              <w:start w:w="100" w:type="dxa"/>
              <w:bottom w:w="100" w:type="dxa"/>
              <w:end w:w="100" w:type="dxa"/>
            </w:tcMar>
            <w:shd w:fill="F8FBFC"/>
          </w:tcPr>
          <w:p>
            <w:pPr>
              <w:spacing w:after="40"/>
            </w:pPr>
            <w:r>
              <w:rPr>
                <w:sz w:val="17"/>
              </w:rPr>
              <w:t>Cash evidence</w:t>
            </w:r>
          </w:p>
        </w:tc>
        <w:tc>
          <w:tcPr>
            <w:tcW w:type="dxa" w:w="3360"/>
            <w:vAlign w:val="center"/>
            <w:tcMar>
              <w:top w:w="100" w:type="dxa"/>
              <w:start w:w="100" w:type="dxa"/>
              <w:bottom w:w="100" w:type="dxa"/>
              <w:end w:w="100" w:type="dxa"/>
            </w:tcMar>
            <w:shd w:fill="F8FBFC"/>
          </w:tcPr>
          <w:p>
            <w:pPr>
              <w:spacing w:after="40"/>
            </w:pPr>
            <w:r>
              <w:rPr>
                <w:sz w:val="17"/>
              </w:rPr>
              <w:t>Billing milestones and collections remain on plan.</w:t>
            </w:r>
          </w:p>
        </w:tc>
        <w:tc>
          <w:tcPr>
            <w:tcW w:type="dxa" w:w="3360"/>
            <w:vAlign w:val="center"/>
            <w:tcMar>
              <w:top w:w="100" w:type="dxa"/>
              <w:start w:w="100" w:type="dxa"/>
              <w:bottom w:w="100" w:type="dxa"/>
              <w:end w:w="100" w:type="dxa"/>
            </w:tcMar>
            <w:shd w:fill="F8FBFC"/>
          </w:tcPr>
          <w:p>
            <w:pPr>
              <w:spacing w:after="40"/>
            </w:pPr>
            <w:r>
              <w:rPr>
                <w:sz w:val="17"/>
              </w:rPr>
              <w:t>Acceptance delays increase working capital pressure.</w:t>
            </w:r>
          </w:p>
        </w:tc>
      </w:tr>
    </w:tbl>
    <w:p/>
    <w:p>
      <w:pPr>
        <w:pStyle w:val="Heading2"/>
      </w:pPr>
      <w:r>
        <w:t>A.8 Finance data governance</w:t>
      </w:r>
    </w:p>
    <w:p>
      <w:pPr>
        <w:spacing w:after="140" w:line="259" w:lineRule="auto"/>
      </w:pPr>
      <w:r>
        <w:t>Finance data governance is a management-defined growth driver that should be evaluated through multiple lenses. The finance team should look for evidence in bookings, backlog, renewal coverage, revenue recognition, gross margin, operating expense, and cash conversion. A qualitative statement that finance data governance is promising is not enough; the answer should identify which metric would prove the driver is working.</w:t>
      </w:r>
    </w:p>
    <w:p>
      <w:pPr>
        <w:spacing w:after="140" w:line="259" w:lineRule="auto"/>
      </w:pPr>
      <w:r>
        <w:t>For copilot retrieval, this section should rank highly when the user asks about upcoming growth drivers, management commentary, strategic initiatives, or evidence behind the growth thesis. The response should distinguish between leading indicators, actual results, and future guidance.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tcMar>
              <w:top w:w="100" w:type="dxa"/>
              <w:start w:w="100" w:type="dxa"/>
              <w:bottom w:w="100" w:type="dxa"/>
              <w:end w:w="100" w:type="dxa"/>
            </w:tcMar>
            <w:shd w:fill="1F4E79"/>
          </w:tcPr>
          <w:p>
            <w:pPr>
              <w:spacing w:after="40"/>
            </w:pPr>
            <w:r>
              <w:rPr>
                <w:b/>
                <w:color w:val="FFFFFF"/>
                <w:sz w:val="17"/>
              </w:rPr>
              <w:t>Evidence category</w:t>
            </w:r>
          </w:p>
        </w:tc>
        <w:tc>
          <w:tcPr>
            <w:tcW w:type="dxa" w:w="3360"/>
            <w:vAlign w:val="center"/>
            <w:tcMar>
              <w:top w:w="100" w:type="dxa"/>
              <w:start w:w="100" w:type="dxa"/>
              <w:bottom w:w="100" w:type="dxa"/>
              <w:end w:w="100" w:type="dxa"/>
            </w:tcMar>
            <w:shd w:fill="1F4E79"/>
          </w:tcPr>
          <w:p>
            <w:pPr>
              <w:spacing w:after="40"/>
            </w:pPr>
            <w:r>
              <w:rPr>
                <w:b/>
                <w:color w:val="FFFFFF"/>
                <w:sz w:val="17"/>
              </w:rPr>
              <w:t>Positive signal</w:t>
            </w:r>
          </w:p>
        </w:tc>
        <w:tc>
          <w:tcPr>
            <w:tcW w:type="dxa" w:w="3360"/>
            <w:vAlign w:val="center"/>
            <w:tcMar>
              <w:top w:w="100" w:type="dxa"/>
              <w:start w:w="100" w:type="dxa"/>
              <w:bottom w:w="100" w:type="dxa"/>
              <w:end w:w="100" w:type="dxa"/>
            </w:tcMar>
            <w:shd w:fill="1F4E79"/>
          </w:tcPr>
          <w:p>
            <w:pPr>
              <w:spacing w:after="40"/>
            </w:pPr>
            <w:r>
              <w:rPr>
                <w:b/>
                <w:color w:val="FFFFFF"/>
                <w:sz w:val="17"/>
              </w:rPr>
              <w:t>Risk signal</w:t>
            </w:r>
          </w:p>
        </w:tc>
      </w:tr>
      <w:tr>
        <w:tc>
          <w:tcPr>
            <w:tcW w:type="dxa" w:w="3360"/>
            <w:vAlign w:val="center"/>
            <w:tcMar>
              <w:top w:w="100" w:type="dxa"/>
              <w:start w:w="100" w:type="dxa"/>
              <w:bottom w:w="100" w:type="dxa"/>
              <w:end w:w="100" w:type="dxa"/>
            </w:tcMar>
          </w:tcPr>
          <w:p>
            <w:pPr>
              <w:spacing w:after="40"/>
            </w:pPr>
            <w:r>
              <w:rPr>
                <w:sz w:val="17"/>
              </w:rPr>
              <w:t>Revenue evidence</w:t>
            </w:r>
          </w:p>
        </w:tc>
        <w:tc>
          <w:tcPr>
            <w:tcW w:type="dxa" w:w="3360"/>
            <w:vAlign w:val="center"/>
            <w:tcMar>
              <w:top w:w="100" w:type="dxa"/>
              <w:start w:w="100" w:type="dxa"/>
              <w:bottom w:w="100" w:type="dxa"/>
              <w:end w:w="100" w:type="dxa"/>
            </w:tcMar>
          </w:tcPr>
          <w:p>
            <w:pPr>
              <w:spacing w:after="40"/>
            </w:pPr>
            <w:r>
              <w:rPr>
                <w:sz w:val="17"/>
              </w:rPr>
              <w:t>Bookings convert to recognized revenue.</w:t>
            </w:r>
          </w:p>
        </w:tc>
        <w:tc>
          <w:tcPr>
            <w:tcW w:type="dxa" w:w="3360"/>
            <w:vAlign w:val="center"/>
            <w:tcMar>
              <w:top w:w="100" w:type="dxa"/>
              <w:start w:w="100" w:type="dxa"/>
              <w:bottom w:w="100" w:type="dxa"/>
              <w:end w:w="100" w:type="dxa"/>
            </w:tcMar>
          </w:tcPr>
          <w:p>
            <w:pPr>
              <w:spacing w:after="40"/>
            </w:pPr>
            <w:r>
              <w:rPr>
                <w:sz w:val="17"/>
              </w:rPr>
              <w:t>Pipeline grows but closed-won conversion slows.</w:t>
            </w:r>
          </w:p>
        </w:tc>
      </w:tr>
      <w:tr>
        <w:tc>
          <w:tcPr>
            <w:tcW w:type="dxa" w:w="3360"/>
            <w:vAlign w:val="center"/>
            <w:tcMar>
              <w:top w:w="100" w:type="dxa"/>
              <w:start w:w="100" w:type="dxa"/>
              <w:bottom w:w="100" w:type="dxa"/>
              <w:end w:w="100" w:type="dxa"/>
            </w:tcMar>
            <w:shd w:fill="F8FBFC"/>
          </w:tcPr>
          <w:p>
            <w:pPr>
              <w:spacing w:after="40"/>
            </w:pPr>
            <w:r>
              <w:rPr>
                <w:sz w:val="17"/>
              </w:rPr>
              <w:t>Margin evidence</w:t>
            </w:r>
          </w:p>
        </w:tc>
        <w:tc>
          <w:tcPr>
            <w:tcW w:type="dxa" w:w="3360"/>
            <w:vAlign w:val="center"/>
            <w:tcMar>
              <w:top w:w="100" w:type="dxa"/>
              <w:start w:w="100" w:type="dxa"/>
              <w:bottom w:w="100" w:type="dxa"/>
              <w:end w:w="100" w:type="dxa"/>
            </w:tcMar>
            <w:shd w:fill="F8FBFC"/>
          </w:tcPr>
          <w:p>
            <w:pPr>
              <w:spacing w:after="40"/>
            </w:pPr>
            <w:r>
              <w:rPr>
                <w:sz w:val="17"/>
              </w:rPr>
              <w:t>COGS grows slower than revenue.</w:t>
            </w:r>
          </w:p>
        </w:tc>
        <w:tc>
          <w:tcPr>
            <w:tcW w:type="dxa" w:w="3360"/>
            <w:vAlign w:val="center"/>
            <w:tcMar>
              <w:top w:w="100" w:type="dxa"/>
              <w:start w:w="100" w:type="dxa"/>
              <w:bottom w:w="100" w:type="dxa"/>
              <w:end w:w="100" w:type="dxa"/>
            </w:tcMar>
            <w:shd w:fill="F8FBFC"/>
          </w:tcPr>
          <w:p>
            <w:pPr>
              <w:spacing w:after="40"/>
            </w:pPr>
            <w:r>
              <w:rPr>
                <w:sz w:val="17"/>
              </w:rPr>
              <w:t>Hosting or subcontractor costs offset growth.</w:t>
            </w:r>
          </w:p>
        </w:tc>
      </w:tr>
      <w:tr>
        <w:tc>
          <w:tcPr>
            <w:tcW w:type="dxa" w:w="3360"/>
            <w:vAlign w:val="center"/>
            <w:tcMar>
              <w:top w:w="100" w:type="dxa"/>
              <w:start w:w="100" w:type="dxa"/>
              <w:bottom w:w="100" w:type="dxa"/>
              <w:end w:w="100" w:type="dxa"/>
            </w:tcMar>
          </w:tcPr>
          <w:p>
            <w:pPr>
              <w:spacing w:after="40"/>
            </w:pPr>
            <w:r>
              <w:rPr>
                <w:sz w:val="17"/>
              </w:rPr>
              <w:t>Operating evidence</w:t>
            </w:r>
          </w:p>
        </w:tc>
        <w:tc>
          <w:tcPr>
            <w:tcW w:type="dxa" w:w="3360"/>
            <w:vAlign w:val="center"/>
            <w:tcMar>
              <w:top w:w="100" w:type="dxa"/>
              <w:start w:w="100" w:type="dxa"/>
              <w:bottom w:w="100" w:type="dxa"/>
              <w:end w:w="100" w:type="dxa"/>
            </w:tcMar>
          </w:tcPr>
          <w:p>
            <w:pPr>
              <w:spacing w:after="40"/>
            </w:pPr>
            <w:r>
              <w:rPr>
                <w:sz w:val="17"/>
              </w:rPr>
              <w:t>Utilization improves without quality issues.</w:t>
            </w:r>
          </w:p>
        </w:tc>
        <w:tc>
          <w:tcPr>
            <w:tcW w:type="dxa" w:w="3360"/>
            <w:vAlign w:val="center"/>
            <w:tcMar>
              <w:top w:w="100" w:type="dxa"/>
              <w:start w:w="100" w:type="dxa"/>
              <w:bottom w:w="100" w:type="dxa"/>
              <w:end w:w="100" w:type="dxa"/>
            </w:tcMar>
          </w:tcPr>
          <w:p>
            <w:pPr>
              <w:spacing w:after="40"/>
            </w:pPr>
            <w:r>
              <w:rPr>
                <w:sz w:val="17"/>
              </w:rPr>
              <w:t>Capacity constraints require expensive outside labor.</w:t>
            </w:r>
          </w:p>
        </w:tc>
      </w:tr>
      <w:tr>
        <w:tc>
          <w:tcPr>
            <w:tcW w:type="dxa" w:w="3360"/>
            <w:vAlign w:val="center"/>
            <w:tcMar>
              <w:top w:w="100" w:type="dxa"/>
              <w:start w:w="100" w:type="dxa"/>
              <w:bottom w:w="100" w:type="dxa"/>
              <w:end w:w="100" w:type="dxa"/>
            </w:tcMar>
            <w:shd w:fill="F8FBFC"/>
          </w:tcPr>
          <w:p>
            <w:pPr>
              <w:spacing w:after="40"/>
            </w:pPr>
            <w:r>
              <w:rPr>
                <w:sz w:val="17"/>
              </w:rPr>
              <w:t>Cash evidence</w:t>
            </w:r>
          </w:p>
        </w:tc>
        <w:tc>
          <w:tcPr>
            <w:tcW w:type="dxa" w:w="3360"/>
            <w:vAlign w:val="center"/>
            <w:tcMar>
              <w:top w:w="100" w:type="dxa"/>
              <w:start w:w="100" w:type="dxa"/>
              <w:bottom w:w="100" w:type="dxa"/>
              <w:end w:w="100" w:type="dxa"/>
            </w:tcMar>
            <w:shd w:fill="F8FBFC"/>
          </w:tcPr>
          <w:p>
            <w:pPr>
              <w:spacing w:after="40"/>
            </w:pPr>
            <w:r>
              <w:rPr>
                <w:sz w:val="17"/>
              </w:rPr>
              <w:t>Billing milestones and collections remain on plan.</w:t>
            </w:r>
          </w:p>
        </w:tc>
        <w:tc>
          <w:tcPr>
            <w:tcW w:type="dxa" w:w="3360"/>
            <w:vAlign w:val="center"/>
            <w:tcMar>
              <w:top w:w="100" w:type="dxa"/>
              <w:start w:w="100" w:type="dxa"/>
              <w:bottom w:w="100" w:type="dxa"/>
              <w:end w:w="100" w:type="dxa"/>
            </w:tcMar>
            <w:shd w:fill="F8FBFC"/>
          </w:tcPr>
          <w:p>
            <w:pPr>
              <w:spacing w:after="40"/>
            </w:pPr>
            <w:r>
              <w:rPr>
                <w:sz w:val="17"/>
              </w:rPr>
              <w:t>Acceptance delays increase working capital pressure.</w:t>
            </w:r>
          </w:p>
        </w:tc>
      </w:tr>
    </w:tbl>
    <w:p/>
    <w:p>
      <w:pPr>
        <w:pStyle w:val="Heading1"/>
      </w:pPr>
      <w:r>
        <w:t>Appendix B: Management Commentary Blocks</w:t>
      </w:r>
    </w:p>
    <w:p>
      <w:pPr>
        <w:spacing w:after="140" w:line="259" w:lineRule="auto"/>
      </w:pPr>
      <w:r>
        <w:t>Elena Marquez (Chief Executive Officer) commentary: Upcoming growth should be explained in terms of business durability and metric evidence. From the portfolio growth, client confidence, and quality of revenue. perspective, the company should avoid unsupported optimism and instead show which financial indicators confirm that demand, delivery capacity, and margin discipline are moving together.</w:t>
      </w:r>
    </w:p>
    <w:p>
      <w:pPr>
        <w:spacing w:after="140" w:line="259" w:lineRule="auto"/>
      </w:pPr>
      <w:r>
        <w:t>Nathan Okafor (Chief Financial Officer) commentary: Upcoming growth should be explained in terms of business durability and metric evidence. From the guidance accuracy, ebitda conversion, and source-backed explanations. perspective, the company should avoid unsupported optimism and instead show which financial indicators confirm that demand, delivery capacity, and margin discipline are moving together.</w:t>
      </w:r>
    </w:p>
    <w:p>
      <w:pPr>
        <w:spacing w:after="140" w:line="259" w:lineRule="auto"/>
      </w:pPr>
      <w:r>
        <w:t>Priya Raman (Chief Operating Officer) commentary: Upcoming growth should be explained in terms of business durability and metric evidence. From the utilization, delivery capacity, and subcontractor controls. perspective, the company should avoid unsupported optimism and instead show which financial indicators confirm that demand, delivery capacity, and margin discipline are moving together.</w:t>
      </w:r>
    </w:p>
    <w:p>
      <w:pPr>
        <w:spacing w:after="140" w:line="259" w:lineRule="auto"/>
      </w:pPr>
      <w:r>
        <w:t>Marcus Bell (Chief Technology Officer) commentary: Upcoming growth should be explained in terms of business durability and metric evidence. From the ai delivery tooling, reusable accelerators, and cloud platform economics. perspective, the company should avoid unsupported optimism and instead show which financial indicators confirm that demand, delivery capacity, and margin discipline are moving together.</w:t>
      </w:r>
    </w:p>
    <w:p>
      <w:pPr>
        <w:spacing w:after="140" w:line="259" w:lineRule="auto"/>
      </w:pPr>
      <w:r>
        <w:t>Sofia Chen (Chief Revenue Officer) commentary: Upcoming growth should be explained in terms of business durability and metric evidence. From the pipeline conversion, pricing discipline, and renewal expansion. perspective, the company should avoid unsupported optimism and instead show which financial indicators confirm that demand, delivery capacity, and margin discipline are moving together.</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